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 Rochester, MI</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8-K/A (this “Amended Form 8-K”) amends the Current Report on Form 8-K furnished by OptimizeRx Corporation (the “Company”) on August 9, 2022 (the “Original Form 8-K”). The purpose of this Amended Form 8-K is to correct certain typographical errors contained in the press release furnished with the Original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9, 2022, OptimizeRx Corporation issued a press release announcing its financial results for the second quarter ended June 30, 2022. The press release was then reissued to (i) change two references from non-GAAP net loss to non-GAAP net income, and (ii) correct a typographical error in the Company’s June 30, 2022 condensed consolidated balance sheet. A copy of the corrected press release is furnished with this Current Report on Form 8-K/A as Exhibit 99.1 and is incorporated herein by reference.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9, 2022 (Corrected)</w:t>
      </w:r>
    </w:p>
    <w:p>
      <w:pPr>
        <w:spacing w:after="0" w:line="27" w:lineRule="exact"/>
        <w:rPr>
          <w:sz w:val="20"/>
          <w:szCs w:val="20"/>
          <w:color w:val="auto"/>
        </w:rPr>
      </w:pPr>
    </w:p>
    <w:p>
      <w:pPr>
        <w:ind w:left="5580" w:right="410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32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4200" w:type="dxa"/>
            <w:vAlign w:val="bottom"/>
          </w:tcPr>
          <w:p>
            <w:pPr>
              <w:spacing w:after="0"/>
              <w:rPr>
                <w:sz w:val="17"/>
                <w:szCs w:val="17"/>
                <w:color w:val="auto"/>
              </w:rPr>
            </w:pPr>
          </w:p>
        </w:tc>
        <w:tc>
          <w:tcPr>
            <w:tcW w:w="324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4200" w:type="dxa"/>
            <w:vAlign w:val="bottom"/>
          </w:tcPr>
          <w:p>
            <w:pPr>
              <w:spacing w:after="0"/>
              <w:rPr>
                <w:sz w:val="20"/>
                <w:szCs w:val="20"/>
                <w:color w:val="auto"/>
              </w:rPr>
            </w:pPr>
          </w:p>
        </w:tc>
        <w:tc>
          <w:tcPr>
            <w:tcW w:w="32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156845</wp:posOffset>
            </wp:positionV>
            <wp:extent cx="261429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Second Quarter 2022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Platform Expansions Now Extends Reach to HCPs Across Social Media and Patients at Point-of-Dispense</w:t>
      </w:r>
    </w:p>
    <w:p>
      <w:pPr>
        <w:spacing w:after="0" w:line="20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Up 3% to $14.0 million, driven by new customer and program launches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breadth and scope of brand deal size represents further momentum in the validation of our value proposition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$4.4 million in cash flow from operations during the first half of 2022</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August 9, 2022 – </w:t>
      </w:r>
      <w:r>
        <w:rPr>
          <w:rFonts w:ascii="Times New Roman" w:cs="Times New Roman" w:eastAsia="Times New Roman" w:hAnsi="Times New Roman"/>
          <w:sz w:val="18"/>
          <w:szCs w:val="18"/>
          <w:color w:val="auto"/>
        </w:rPr>
        <w:t>OptimizeRx Corp. (the “Company”) (Nasdaq: OPRX), a leading provider of point-of-care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patients start and stay on therapy, reported results for the three months ended June 30, 2022. Quarterly comparisons are to the same year-ago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2,389,969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2,361,254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661,319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668,395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second quarter of 2022 increased 3% to $14.0 million, from $13.6 million as compared to the same year ago period.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second quarter of 2022 increased 12% year-over-year to $9.0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$3.9 million or $(0.21) per basic and diluted share in the second quarter.</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second quarter totaled $0.7 million or $0.04 per basic and fully diluted shares outstanding.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$87.4 million as of June 30, 2022 as compared to $84.7 million as of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and Recent Highlights</w:t>
      </w:r>
    </w:p>
    <w:p>
      <w:pPr>
        <w:spacing w:after="0" w:line="25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we completed the acquisition of EvinceMed, a specialty drug prescription initiation platform.</w:t>
      </w:r>
    </w:p>
    <w:p>
      <w:pPr>
        <w:spacing w:after="0" w:line="252"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Omni-channel platform reach is extended through an exclusive partnership with Equals 5. This new extension is the only healthcare provider (HCP)-level solution providing targeted physician engagement on social media platforms.</w:t>
      </w:r>
    </w:p>
    <w:p>
      <w:pPr>
        <w:spacing w:after="0" w:line="188"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integration of TelaRep™ one-click prescriber connectivity solution completed. TelaRep allows doctors to text pharmaceutical representatives directly from within the electronic health record (EHR) platform and can now be accessed by over 200,000 in-network HCPs.</w:t>
      </w:r>
    </w:p>
    <w:p>
      <w:pPr>
        <w:spacing w:after="0" w:line="188" w:lineRule="exact"/>
        <w:rPr>
          <w:rFonts w:ascii="Times New Roman" w:cs="Times New Roman" w:eastAsia="Times New Roman" w:hAnsi="Times New Roman"/>
          <w:sz w:val="18"/>
          <w:szCs w:val="18"/>
          <w:color w:val="auto"/>
        </w:rPr>
      </w:pPr>
    </w:p>
    <w:p>
      <w:pPr>
        <w:ind w:left="340" w:right="40" w:hanging="332"/>
        <w:spacing w:after="0" w:line="312"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authorization of a share repurchase program, under which OptimizeRx may repurchase up to $20 million of its outstanding common stock. Through August 8, 2022, the Company repurchased 232,745 shares at an average price of $23.02 and had $14.6 million available under the program.</w:t>
      </w:r>
    </w:p>
    <w:p>
      <w:pPr>
        <w:spacing w:after="0" w:line="166" w:lineRule="exact"/>
        <w:rPr>
          <w:rFonts w:ascii="Times New Roman" w:cs="Times New Roman" w:eastAsia="Times New Roman" w:hAnsi="Times New Roman"/>
          <w:sz w:val="17"/>
          <w:szCs w:val="17"/>
          <w:color w:val="auto"/>
        </w:rPr>
      </w:pPr>
    </w:p>
    <w:p>
      <w:pPr>
        <w:ind w:left="340" w:right="6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industry results of a survey of 102 specialist physicians highlighting how inefficient access pathways negatively impact patient care. Physicians noted access challenges impact their care plans for up to 33% of patients.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Times ranked OptimizeRx amongst Americas’ fastest-growing companies for the third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Will Febbo, OptimizeRx CEO commented, “We continue to perform strongly against our long term land-and-expand strategy and continue to have favorable net revenue retention despite the various macro factors that resulted in a weaker than expected second quarter. We believe the impact is temporary in nature, and our value proposition remains strong, as is evidenced by the fact that we count 95% of the industry’s top 20 pharma manufacturers as our customers.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advanced our omnichannel reach through recent acquisitions and exclusive partnerships, strengthening our platform’s capabilities and its desirability to our customer base. These factors build on our already strong value proposition with our clients by driving broader and deeper opportunities to engage with HCPs and patients. As we work to address affordability, access, and adherence challenges in new ways, we reinforce our foundation for strong profitable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Q2 2022 Financial Summary</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reported for the three months ended June 30, 2022 was approximately $14.0 million, an increase of 3% over the approximately $13.6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from the same period in 2021. The increased revenue resulted from increases in sales from our access solutions.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increased to 64% from 59% in the year-ago quarter, with the increase related to a more favorable channel partner and solution mix.</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totaled $12.9 million and increased from $7.7 million in the same year-ago quarter. This increase in expense is primarily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and expansion of, our workforce to enable future growth and includes $3.1 million in additional stock based compensation than was recognized in the year-ago quarter.</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on a GAAP basis was approximately $3.9 million or $(0.21) per basic and diluted share, as compared to net income of $0.4 million or $0.02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basic and fully diluted share in the second quarter of 2021.</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was $0.7 million or $0.04 per basic and fully diluted shares outstanding, compared to non-GAAP net income of $1.8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$0.10 per basic and fully diluted share in the same year-ago period (see definition of this non-GAAP measure and reconciliation to GAAP, below).</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totaled $87.4 million as of June 30, 2022, as compared to $84.7 million as of December 31, 2021. The increase to our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was almost completely due to cash flows from operating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Outlook</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Based on first half results, the Company is updating its full year financial outlook for 2022 and now expects net revenue of $62 million to $68 million, representing year-over-year growth of 1% to 11%, respectively, and gross margins to be between 59% and 62%.</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change to the second half 2022's outlook is driven by what we perceive to be temporary life sciences industry challenges related to a slowdown in the number of new drug approvals, increased turnover rates at client companies and longer sales cycles associated with larger deal sizes in the funnel.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Tuesday, August 9,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 access: https://viavid.webcasts.com/starthere.jsp?ei=1559358&amp;tp_key=f1602f7af5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1-877-423-9813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1-201-689-8573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13731472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remain available for 12 months via the Investors section of the OptimizeRx website at www.optimizerx.com/investors.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(loss) per share or non-GAAP EPS, both of which are non-GAAP financial measures.</w:t>
      </w:r>
    </w:p>
    <w:p>
      <w:pPr>
        <w:spacing w:after="0" w:line="16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(loss) and non-GAAP EPS for the three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Top 20 pharmaceutical manufacturers are based on Fierce Pharma’s “The top 20 pharma companies by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 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2021, its subsequent Quarterly Reports on Form 10-Q, and its other filings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87,392,970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84,681,770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18,732,849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24,800,585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4,280,843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5,630,655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110,406,662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14,740,031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13,933,072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10,646,654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278,513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328,820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36,898,265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25,728,364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140,985,192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1,296,041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606,808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1,638,791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2,902,836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2,376,836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4,378,216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87,673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90,982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1,041,919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1,389,907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189,802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236,726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6,631,062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9,605,475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June 30,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18,174,182 and 17,860,975 shares issued at June 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18,188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183,698,497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166,615,514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(42,899,470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(35,253,658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140,817,202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131,379,717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140,985,192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13,978,665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13,625,639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27,710,195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24,854,850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4,988,716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5,580,964</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10,618,574</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10,685,567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8,989,949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4,981,549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3,906,796</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10,287,416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7,487,612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4,025,323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1,604,191</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3,891,607</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2,900,702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7,274,416</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5,375,649</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12,898,479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(3,908,530)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340,139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(7,669,632)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11,961</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23,820</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17,347,096</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18,000,958</w:t>
            </w:r>
          </w:p>
        </w:tc>
        <w:tc>
          <w:tcPr>
            <w:tcW w:w="28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18,104,807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18,000,958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vMerge w:val="continue"/>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Income (loss) per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(7,645,812)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(285,277)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1,049,656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issued for board service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98,727</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5,969,009</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1,266,478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64,232</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(2,001,379)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(1,628,556)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(1,264,045)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(393,778)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(347,989)</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33,814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(41,335)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including intellectual property rights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(145,257)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(176,822)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(321,054)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830,474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509,420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71,771,501</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73,406,679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84,681,770</w:t>
            </w: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10,516,776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87,392,970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83,923,455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(Loss) Depreciation and amortization Stock-based compensation Acquisition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2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22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(3,884,714)</w:t>
            </w:r>
          </w:p>
        </w:tc>
        <w:tc>
          <w:tcPr>
            <w:tcW w:w="26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352,100</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(7,645,812)</w:t>
            </w:r>
          </w:p>
        </w:tc>
        <w:tc>
          <w:tcPr>
            <w:tcW w:w="220" w:type="dxa"/>
            <w:vAlign w:val="bottom"/>
          </w:tcPr>
          <w:p>
            <w:pPr>
              <w:spacing w:after="0"/>
              <w:rPr>
                <w:sz w:val="17"/>
                <w:szCs w:val="17"/>
                <w:color w:val="auto"/>
              </w:rPr>
            </w:pPr>
          </w:p>
        </w:tc>
        <w:tc>
          <w:tcPr>
            <w:tcW w:w="3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(285,277)</w:t>
            </w:r>
          </w:p>
        </w:tc>
        <w:tc>
          <w:tcPr>
            <w:tcW w:w="60" w:type="dxa"/>
            <w:vAlign w:val="bottom"/>
            <w:gridSpan w:val="2"/>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578,117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527,958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1,049,656</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1,054,138</w:t>
            </w:r>
          </w:p>
        </w:tc>
        <w:tc>
          <w:tcPr>
            <w:tcW w:w="40" w:type="dxa"/>
            <w:vAlign w:val="bottom"/>
          </w:tcPr>
          <w:p>
            <w:pPr>
              <w:spacing w:after="0"/>
              <w:rPr>
                <w:sz w:val="18"/>
                <w:szCs w:val="18"/>
                <w:color w:val="auto"/>
              </w:rPr>
            </w:pPr>
          </w:p>
        </w:tc>
      </w:tr>
      <w:tr>
        <w:trPr>
          <w:trHeight w:val="23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4,025,323</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7,199,421</w:t>
            </w: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1,604,191</w:t>
            </w:r>
          </w:p>
        </w:tc>
        <w:tc>
          <w:tcPr>
            <w:tcW w:w="40" w:type="dxa"/>
            <w:vAlign w:val="bottom"/>
          </w:tcPr>
          <w:p>
            <w:pPr>
              <w:spacing w:after="0"/>
              <w:rPr>
                <w:sz w:val="19"/>
                <w:szCs w:val="19"/>
                <w:color w:val="auto"/>
              </w:rPr>
            </w:pP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2,579</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19,739</w:t>
            </w:r>
          </w:p>
        </w:tc>
        <w:tc>
          <w:tcPr>
            <w:tcW w:w="3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721,305</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1,777,096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623,004</w:t>
            </w:r>
          </w:p>
        </w:tc>
        <w:tc>
          <w:tcPr>
            <w:tcW w:w="3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2,373,052</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-779145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-496570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-205105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18,122,500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17,347,096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18,000,958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18,342,392</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18,104,807</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18,140,941</w:t>
            </w: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17,467,159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2022-08-10T07:03:39Z</dcterms:created>
  <dcterms:modified xsi:type="dcterms:W3CDTF">2022-08-10T07:03:39Z</dcterms:modified>
</cp:coreProperties>
</file>