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6993255" cy="5034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342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280"/>
            <w:col w:w="854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HALAS GUS D</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OPTIMIZERX CORPORATION</w:t>
            </w: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260 CHARLES STREET, SUITE 302</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02453</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OptimizeRx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OPRX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6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line="147"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7"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06/05/2024</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06/05/2024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10,061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220"/>
              <w:spacing w:after="0" w:line="310"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80,926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10,061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06/05/2024</w:t>
            </w:r>
          </w:p>
        </w:tc>
        <w:tc>
          <w:tcPr>
            <w:tcW w:w="114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0000FF"/>
              </w:rPr>
              <w:t>10,061</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7, 2023 the reporting person was granted 10,061 restricted stock units which vested in full on June 5, 2024.</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320"/>
        <w:spacing w:after="0" w:line="256"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Marion Odence-Ford, by</w:t>
            </w:r>
          </w:p>
        </w:tc>
        <w:tc>
          <w:tcPr>
            <w:tcW w:w="3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Power of 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032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2024-06-11T16:50:24Z</dcterms:created>
  <dcterms:modified xsi:type="dcterms:W3CDTF">2024-06-11T16:50:24Z</dcterms:modified>
</cp:coreProperties>
</file>