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223520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8"/>
          </w:tcPr>
          <w:p>
            <w:pPr>
              <w:jc w:val="center"/>
              <w:ind w:left="3150"/>
              <w:spacing w:after="0"/>
              <w:rPr>
                <w:sz w:val="20"/>
                <w:szCs w:val="20"/>
                <w:color w:val="auto"/>
              </w:rPr>
            </w:pPr>
            <w:r>
              <w:rPr>
                <w:rFonts w:ascii="Arial" w:cs="Arial" w:eastAsia="Arial" w:hAnsi="Arial"/>
                <w:sz w:val="18"/>
                <w:szCs w:val="18"/>
                <w:color w:val="auto"/>
                <w:w w:val="90"/>
              </w:rPr>
              <w:t>Date of Report (Date of earliest event reported): November 4, 2019</w:t>
            </w:r>
          </w:p>
        </w:tc>
        <w:tc>
          <w:tcPr>
            <w:tcW w:w="3240" w:type="dxa"/>
            <w:vAlign w:val="bottom"/>
          </w:tcPr>
          <w:p>
            <w:pPr>
              <w:spacing w:after="0"/>
              <w:rPr>
                <w:sz w:val="20"/>
                <w:szCs w:val="20"/>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4"/>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4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80" w:type="dxa"/>
            <w:vAlign w:val="bottom"/>
            <w:gridSpan w:val="8"/>
          </w:tcPr>
          <w:p>
            <w:pPr>
              <w:jc w:val="center"/>
              <w:ind w:right="64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323850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80" w:type="dxa"/>
            <w:vAlign w:val="bottom"/>
            <w:gridSpan w:val="5"/>
          </w:tcPr>
          <w:p>
            <w:pPr>
              <w:spacing w:after="0"/>
              <w:rPr>
                <w:sz w:val="20"/>
                <w:szCs w:val="20"/>
                <w:color w:val="auto"/>
              </w:rPr>
            </w:pPr>
            <w:r>
              <w:rPr>
                <w:rFonts w:ascii="Arial" w:cs="Arial" w:eastAsia="Arial" w:hAnsi="Arial"/>
                <w:sz w:val="18"/>
                <w:szCs w:val="18"/>
                <w:color w:val="auto"/>
                <w:w w:val="93"/>
              </w:rPr>
              <w:t>revised financial accounting standards provided pursuant to Section 13(a) of the Exchange Act.</w:t>
            </w:r>
          </w:p>
        </w:tc>
        <w:tc>
          <w:tcPr>
            <w:tcW w:w="4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7"/>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35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November 4, 2019, we held our 2019 Annual Meeting of the shareholders, at which the shareholders voted on the matters disclosed in our definitive Proxy Statement on Schedule 14A filed with the Securities and Exchange Commission on September 24, 2019. The final voting results for the matters submitted to a vote of the shareholders were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1 - Election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shareholders elected the persons listed below for a one-year term expiring at our 2020 Annual Meeting or until their respective successors are duly elected and qualified: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BROKER</w:t>
            </w: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FOR</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AGAINST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WITHHELD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NON-VOTES</w:t>
            </w:r>
          </w:p>
        </w:tc>
      </w:tr>
      <w:tr>
        <w:trPr>
          <w:trHeight w:val="216"/>
        </w:trPr>
        <w:tc>
          <w:tcPr>
            <w:tcW w:w="5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Febbo</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8,101,315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10,088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1,549,153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Gus D. Halas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5,563,974</w:t>
            </w:r>
          </w:p>
        </w:tc>
        <w:tc>
          <w:tcPr>
            <w:tcW w:w="2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2,547,429</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1,549,153</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Lynn Vos</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8,075,858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35,545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1,549,153</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James Lang</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5,497,990</w:t>
            </w:r>
          </w:p>
        </w:tc>
        <w:tc>
          <w:tcPr>
            <w:tcW w:w="2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2,613,413</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1,549,153</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Spangler</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5,793,202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2,318,201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1,549,153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b w:val="1"/>
          <w:bCs w:val="1"/>
          <w:color w:val="auto"/>
        </w:rPr>
        <w:t>Proposal No. 2 – Approval of the OptimizeRx Corp. 2013 Equity Incentive Plan and the reservation of 2,500,000 shares of common stock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shareholders approved the OptimizeRx Corp. 2013 Equity Incentive Plan and the reservation of 2,500,000 shares of common stock under the Plan.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gridSpan w:val="2"/>
          </w:tcPr>
          <w:p>
            <w:pPr>
              <w:ind w:left="1220"/>
              <w:spacing w:after="0"/>
              <w:rPr>
                <w:sz w:val="20"/>
                <w:szCs w:val="20"/>
                <w:color w:val="auto"/>
              </w:rPr>
            </w:pPr>
            <w:r>
              <w:rPr>
                <w:rFonts w:ascii="Arial" w:cs="Arial" w:eastAsia="Arial" w:hAnsi="Arial"/>
                <w:sz w:val="18"/>
                <w:szCs w:val="18"/>
                <w:color w:val="auto"/>
              </w:rPr>
              <w:t>FOR</w:t>
            </w:r>
          </w:p>
        </w:tc>
        <w:tc>
          <w:tcPr>
            <w:tcW w:w="2880" w:type="dxa"/>
            <w:vAlign w:val="bottom"/>
            <w:gridSpan w:val="2"/>
          </w:tcPr>
          <w:p>
            <w:pPr>
              <w:ind w:left="920"/>
              <w:spacing w:after="0"/>
              <w:rPr>
                <w:sz w:val="20"/>
                <w:szCs w:val="20"/>
                <w:color w:val="auto"/>
              </w:rPr>
            </w:pPr>
            <w:r>
              <w:rPr>
                <w:rFonts w:ascii="Arial" w:cs="Arial" w:eastAsia="Arial" w:hAnsi="Arial"/>
                <w:sz w:val="18"/>
                <w:szCs w:val="18"/>
                <w:color w:val="auto"/>
              </w:rPr>
              <w:t>AGAINST</w:t>
            </w:r>
          </w:p>
        </w:tc>
        <w:tc>
          <w:tcPr>
            <w:tcW w:w="2820" w:type="dxa"/>
            <w:vAlign w:val="bottom"/>
            <w:gridSpan w:val="2"/>
          </w:tcPr>
          <w:p>
            <w:pPr>
              <w:ind w:left="920"/>
              <w:spacing w:after="0"/>
              <w:rPr>
                <w:sz w:val="20"/>
                <w:szCs w:val="20"/>
                <w:color w:val="auto"/>
              </w:rPr>
            </w:pPr>
            <w:r>
              <w:rPr>
                <w:rFonts w:ascii="Arial" w:cs="Arial" w:eastAsia="Arial" w:hAnsi="Arial"/>
                <w:sz w:val="18"/>
                <w:szCs w:val="18"/>
                <w:color w:val="auto"/>
              </w:rPr>
              <w:t>ABSTAIN</w:t>
            </w:r>
          </w:p>
        </w:tc>
        <w:tc>
          <w:tcPr>
            <w:tcW w:w="2720" w:type="dxa"/>
            <w:vAlign w:val="bottom"/>
            <w:gridSpan w:val="2"/>
          </w:tcPr>
          <w:p>
            <w:pPr>
              <w:ind w:left="400"/>
              <w:spacing w:after="0"/>
              <w:rPr>
                <w:sz w:val="20"/>
                <w:szCs w:val="20"/>
                <w:color w:val="auto"/>
              </w:rPr>
            </w:pPr>
            <w:r>
              <w:rPr>
                <w:rFonts w:ascii="Arial" w:cs="Arial" w:eastAsia="Arial" w:hAnsi="Arial"/>
                <w:sz w:val="18"/>
                <w:szCs w:val="18"/>
                <w:color w:val="auto"/>
              </w:rPr>
              <w:t>BROKER NON-VOTES</w:t>
            </w:r>
          </w:p>
        </w:tc>
      </w:tr>
      <w:tr>
        <w:trPr>
          <w:trHeight w:val="216"/>
        </w:trPr>
        <w:tc>
          <w:tcPr>
            <w:tcW w:w="27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4,218,070</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3,865,731</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27,602</w:t>
            </w:r>
          </w:p>
        </w:tc>
        <w:tc>
          <w:tcPr>
            <w:tcW w:w="2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1,549,153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3 - Ratification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ratified the appointment of Marcum LLP as the Company’s independent registered public accounting firm for fiscal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FOR</w:t>
            </w: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rPr>
              <w:t>AGAINST</w:t>
            </w:r>
          </w:p>
        </w:tc>
        <w:tc>
          <w:tcPr>
            <w:tcW w:w="3640" w:type="dxa"/>
            <w:vAlign w:val="bottom"/>
            <w:gridSpan w:val="2"/>
          </w:tcPr>
          <w:p>
            <w:pPr>
              <w:jc w:val="center"/>
              <w:spacing w:after="0"/>
              <w:rPr>
                <w:sz w:val="20"/>
                <w:szCs w:val="20"/>
                <w:color w:val="auto"/>
              </w:rPr>
            </w:pPr>
            <w:r>
              <w:rPr>
                <w:rFonts w:ascii="Arial" w:cs="Arial" w:eastAsia="Arial" w:hAnsi="Arial"/>
                <w:sz w:val="18"/>
                <w:szCs w:val="18"/>
                <w:color w:val="auto"/>
                <w:w w:val="98"/>
              </w:rPr>
              <w:t>ABSTAIN</w:t>
            </w:r>
          </w:p>
        </w:tc>
      </w:tr>
      <w:tr>
        <w:trPr>
          <w:trHeight w:val="216"/>
        </w:trPr>
        <w:tc>
          <w:tcPr>
            <w:tcW w:w="366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9,656,879</w:t>
            </w:r>
          </w:p>
        </w:tc>
        <w:tc>
          <w:tcPr>
            <w:tcW w:w="26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rPr>
              <w:t>2,961</w:t>
            </w:r>
          </w:p>
        </w:tc>
        <w:tc>
          <w:tcPr>
            <w:tcW w:w="2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2019-12-04T22:22:19Z</dcterms:created>
  <dcterms:modified xsi:type="dcterms:W3CDTF">2019-12-04T22:22:19Z</dcterms:modified>
</cp:coreProperties>
</file>