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05947-10q_opti.htm"/>
      <w:bookmarkStart w:id="1" w:name="ksea020594710q_opti"/>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r>
        <w:rPr>
          <w:rFonts w:ascii="Times New Roman;Times;Serif" w:hAnsi="Times New Roman;Times;Serif"/>
          <w:b/>
          <w:i w:val="false"/>
          <w:caps w:val="false"/>
          <w:smallCaps w:val="false"/>
          <w:sz w:val="20"/>
        </w:rPr>
        <w:t>March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 to 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001-38543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OptimizeRx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26-1265381</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260 Charles Street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Suite 302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Waltham</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MA 02453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248-651-6568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under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750" w:type="dxa"/>
            <w:tcBorders/>
            <w:shd w:fill="CCEEFF" w:val="clear"/>
            <w:tcMar>
              <w:bottom w:w="0" w:type="dxa"/>
            </w:tcMar>
            <w:vAlign w:val="center"/>
          </w:tcPr>
          <w:p>
            <w:pPr>
              <w:pStyle w:val="TableContents"/>
              <w:bidi w:val="0"/>
              <w:spacing w:before="0" w:after="283"/>
              <w:jc w:val="center"/>
              <w:rPr>
                <w:sz w:val="20"/>
              </w:rPr>
            </w:pPr>
            <w:r>
              <w:rPr>
                <w:sz w:val="20"/>
              </w:rPr>
              <w:t>Common Stock, par value $0.001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r>
              <w:rPr>
                <w:sz w:val="20"/>
              </w:rPr>
              <w:t>OPRX</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75"/>
        <w:gridCol w:w="230"/>
        <w:gridCol w:w="1820"/>
        <w:gridCol w:w="230"/>
        <w:gridCol w:w="2630"/>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pPr>
            <w:r>
              <w:rPr/>
              <w:t>☐</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630" w:type="dxa"/>
            <w:tcBorders/>
            <w:vAlign w:val="center"/>
          </w:tcPr>
          <w:p>
            <w:pPr>
              <w:pStyle w:val="TableContents"/>
              <w:bidi w:val="0"/>
              <w:spacing w:before="0" w:after="283"/>
              <w:jc w:val="left"/>
              <w:rPr/>
            </w:pPr>
            <w:r>
              <w:rPr/>
              <w:t>Emerging growth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the number of shares outstanding of each of the issuer’s classes of common stock, as of the latest practicable date: 18,269,823 common shares as of May 10,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520" w:type="dxa"/>
        <w:jc w:val="left"/>
        <w:tblInd w:w="0" w:type="dxa"/>
        <w:tblLayout w:type="fixed"/>
        <w:tblCellMar>
          <w:top w:w="0" w:type="dxa"/>
          <w:left w:w="0" w:type="dxa"/>
          <w:bottom w:w="0" w:type="dxa"/>
          <w:right w:w="0" w:type="dxa"/>
        </w:tblCellMar>
      </w:tblPr>
      <w:tblGrid>
        <w:gridCol w:w="740"/>
        <w:gridCol w:w="7280"/>
        <w:gridCol w:w="500"/>
      </w:tblGrid>
      <w:tr>
        <w:trPr/>
        <w:tc>
          <w:tcPr>
            <w:tcW w:w="74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Page </w:t>
            </w:r>
          </w:p>
        </w:tc>
      </w:tr>
      <w:tr>
        <w:trPr/>
        <w:tc>
          <w:tcPr>
            <w:tcW w:w="74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center"/>
              <w:rPr/>
            </w:pPr>
            <w:hyperlink w:anchor="a_001">
              <w:r>
                <w:rPr>
                  <w:rStyle w:val="InternetLink"/>
                  <w:b/>
                  <w:sz w:val="20"/>
                </w:rPr>
                <w:t>PART I – FINANCIAL INFORMATION</w:t>
              </w:r>
            </w:hyperlink>
          </w:p>
        </w:tc>
        <w:tc>
          <w:tcPr>
            <w:tcW w:w="500"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283"/>
              <w:jc w:val="left"/>
              <w:rPr>
                <w:sz w:val="20"/>
              </w:rPr>
            </w:pPr>
            <w:r>
              <w:rPr>
                <w:sz w:val="20"/>
              </w:rPr>
              <w:t>Item 1:</w:t>
            </w:r>
          </w:p>
        </w:tc>
        <w:tc>
          <w:tcPr>
            <w:tcW w:w="7280" w:type="dxa"/>
            <w:tcBorders/>
            <w:shd w:fill="CCEEFF" w:val="clear"/>
            <w:vAlign w:val="center"/>
          </w:tcPr>
          <w:p>
            <w:pPr>
              <w:pStyle w:val="TableContents"/>
              <w:bidi w:val="0"/>
              <w:spacing w:before="0" w:after="283"/>
              <w:jc w:val="left"/>
              <w:rPr/>
            </w:pPr>
            <w:hyperlink w:anchor="a_002">
              <w:r>
                <w:rPr>
                  <w:rStyle w:val="InternetLink"/>
                  <w:sz w:val="20"/>
                </w:rPr>
                <w:t>Financial Statements (unaudited)</w:t>
              </w:r>
            </w:hyperlink>
          </w:p>
        </w:tc>
        <w:tc>
          <w:tcPr>
            <w:tcW w:w="500" w:type="dxa"/>
            <w:tcBorders/>
            <w:shd w:fill="CCEEFF" w:val="clear"/>
            <w:vAlign w:val="center"/>
          </w:tcPr>
          <w:p>
            <w:pPr>
              <w:pStyle w:val="TableContents"/>
              <w:bidi w:val="0"/>
              <w:spacing w:before="0" w:after="283"/>
              <w:jc w:val="center"/>
              <w:rPr>
                <w:sz w:val="20"/>
              </w:rPr>
            </w:pPr>
            <w:r>
              <w:rPr>
                <w:sz w:val="20"/>
              </w:rPr>
              <w:t>1</w:t>
            </w:r>
          </w:p>
        </w:tc>
      </w:tr>
      <w:tr>
        <w:trPr/>
        <w:tc>
          <w:tcPr>
            <w:tcW w:w="740" w:type="dxa"/>
            <w:tcBorders/>
            <w:vAlign w:val="center"/>
          </w:tcPr>
          <w:p>
            <w:pPr>
              <w:pStyle w:val="TableContents"/>
              <w:bidi w:val="0"/>
              <w:spacing w:before="0" w:after="283"/>
              <w:jc w:val="left"/>
              <w:rPr>
                <w:sz w:val="20"/>
              </w:rPr>
            </w:pPr>
            <w:r>
              <w:rPr>
                <w:sz w:val="20"/>
              </w:rPr>
              <w:t>Item 2:</w:t>
            </w:r>
          </w:p>
        </w:tc>
        <w:tc>
          <w:tcPr>
            <w:tcW w:w="7280" w:type="dxa"/>
            <w:tcBorders/>
            <w:vAlign w:val="center"/>
          </w:tcPr>
          <w:p>
            <w:pPr>
              <w:pStyle w:val="TableContents"/>
              <w:bidi w:val="0"/>
              <w:spacing w:before="0" w:after="283"/>
              <w:jc w:val="left"/>
              <w:rPr/>
            </w:pPr>
            <w:hyperlink w:anchor="a_003">
              <w:r>
                <w:rPr>
                  <w:rStyle w:val="InternetLink"/>
                  <w:sz w:val="20"/>
                </w:rPr>
                <w:t>Management’s Discussion and Analysis of Financial Condition and Results of Operations</w:t>
              </w:r>
            </w:hyperlink>
          </w:p>
        </w:tc>
        <w:tc>
          <w:tcPr>
            <w:tcW w:w="500" w:type="dxa"/>
            <w:tcBorders/>
            <w:vAlign w:val="center"/>
          </w:tcPr>
          <w:p>
            <w:pPr>
              <w:pStyle w:val="TableContents"/>
              <w:bidi w:val="0"/>
              <w:spacing w:before="0" w:after="283"/>
              <w:jc w:val="center"/>
              <w:rPr>
                <w:sz w:val="20"/>
              </w:rPr>
            </w:pPr>
            <w:r>
              <w:rPr>
                <w:sz w:val="20"/>
              </w:rPr>
              <w:t>14</w:t>
            </w:r>
          </w:p>
        </w:tc>
      </w:tr>
      <w:tr>
        <w:trPr/>
        <w:tc>
          <w:tcPr>
            <w:tcW w:w="740" w:type="dxa"/>
            <w:tcBorders/>
            <w:shd w:fill="CCEEFF" w:val="clear"/>
            <w:vAlign w:val="center"/>
          </w:tcPr>
          <w:p>
            <w:pPr>
              <w:pStyle w:val="TableContents"/>
              <w:bidi w:val="0"/>
              <w:spacing w:before="0" w:after="283"/>
              <w:jc w:val="left"/>
              <w:rPr>
                <w:sz w:val="20"/>
              </w:rPr>
            </w:pPr>
            <w:r>
              <w:rPr>
                <w:sz w:val="20"/>
              </w:rPr>
              <w:t>Item 3:</w:t>
            </w:r>
          </w:p>
        </w:tc>
        <w:tc>
          <w:tcPr>
            <w:tcW w:w="7280" w:type="dxa"/>
            <w:tcBorders/>
            <w:shd w:fill="CCEEFF" w:val="clear"/>
            <w:vAlign w:val="center"/>
          </w:tcPr>
          <w:p>
            <w:pPr>
              <w:pStyle w:val="TableContents"/>
              <w:bidi w:val="0"/>
              <w:spacing w:before="0" w:after="283"/>
              <w:jc w:val="left"/>
              <w:rPr/>
            </w:pPr>
            <w:hyperlink w:anchor="a_004">
              <w:r>
                <w:rPr>
                  <w:rStyle w:val="InternetLink"/>
                  <w:sz w:val="20"/>
                </w:rPr>
                <w:t>Quantitative and Qualitative Disclosures About Market Risk</w:t>
              </w:r>
            </w:hyperlink>
          </w:p>
        </w:tc>
        <w:tc>
          <w:tcPr>
            <w:tcW w:w="500" w:type="dxa"/>
            <w:tcBorders/>
            <w:shd w:fill="CCEEFF" w:val="clear"/>
            <w:vAlign w:val="center"/>
          </w:tcPr>
          <w:p>
            <w:pPr>
              <w:pStyle w:val="TableContents"/>
              <w:bidi w:val="0"/>
              <w:spacing w:before="0" w:after="283"/>
              <w:jc w:val="center"/>
              <w:rPr>
                <w:sz w:val="20"/>
              </w:rPr>
            </w:pPr>
            <w:r>
              <w:rPr>
                <w:sz w:val="20"/>
              </w:rPr>
              <w:t>20</w:t>
            </w:r>
          </w:p>
        </w:tc>
      </w:tr>
      <w:tr>
        <w:trPr/>
        <w:tc>
          <w:tcPr>
            <w:tcW w:w="740" w:type="dxa"/>
            <w:tcBorders/>
            <w:vAlign w:val="center"/>
          </w:tcPr>
          <w:p>
            <w:pPr>
              <w:pStyle w:val="TableContents"/>
              <w:bidi w:val="0"/>
              <w:spacing w:before="0" w:after="283"/>
              <w:jc w:val="left"/>
              <w:rPr>
                <w:sz w:val="20"/>
              </w:rPr>
            </w:pPr>
            <w:r>
              <w:rPr>
                <w:sz w:val="20"/>
              </w:rPr>
              <w:t>Item 4:</w:t>
            </w:r>
          </w:p>
        </w:tc>
        <w:tc>
          <w:tcPr>
            <w:tcW w:w="7280" w:type="dxa"/>
            <w:tcBorders/>
            <w:vAlign w:val="center"/>
          </w:tcPr>
          <w:p>
            <w:pPr>
              <w:pStyle w:val="TableContents"/>
              <w:bidi w:val="0"/>
              <w:spacing w:before="0" w:after="283"/>
              <w:jc w:val="left"/>
              <w:rPr/>
            </w:pPr>
            <w:hyperlink w:anchor="a_005">
              <w:r>
                <w:rPr>
                  <w:rStyle w:val="InternetLink"/>
                  <w:sz w:val="20"/>
                </w:rPr>
                <w:t>Controls and Procedures</w:t>
              </w:r>
            </w:hyperlink>
          </w:p>
        </w:tc>
        <w:tc>
          <w:tcPr>
            <w:tcW w:w="500" w:type="dxa"/>
            <w:tcBorders/>
            <w:vAlign w:val="center"/>
          </w:tcPr>
          <w:p>
            <w:pPr>
              <w:pStyle w:val="TableContents"/>
              <w:bidi w:val="0"/>
              <w:spacing w:before="0" w:after="283"/>
              <w:jc w:val="center"/>
              <w:rPr>
                <w:sz w:val="20"/>
              </w:rPr>
            </w:pPr>
            <w:r>
              <w:rPr>
                <w:sz w:val="20"/>
              </w:rPr>
              <w:t>20</w:t>
            </w:r>
          </w:p>
        </w:tc>
      </w:tr>
      <w:tr>
        <w:trPr/>
        <w:tc>
          <w:tcPr>
            <w:tcW w:w="74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r>
      <w:tr>
        <w:trPr/>
        <w:tc>
          <w:tcPr>
            <w:tcW w:w="74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center"/>
              <w:rPr/>
            </w:pPr>
            <w:hyperlink w:anchor="a_006">
              <w:r>
                <w:rPr>
                  <w:rStyle w:val="InternetLink"/>
                  <w:b/>
                  <w:sz w:val="20"/>
                </w:rPr>
                <w:t>PART II — OTHER INFORMATION</w:t>
              </w:r>
            </w:hyperlink>
          </w:p>
        </w:tc>
        <w:tc>
          <w:tcPr>
            <w:tcW w:w="500" w:type="dxa"/>
            <w:tcBorders/>
            <w:vAlign w:val="center"/>
          </w:tcPr>
          <w:p>
            <w:pPr>
              <w:pStyle w:val="TableContents"/>
              <w:bidi w:val="0"/>
              <w:spacing w:before="0" w:after="283"/>
              <w:jc w:val="center"/>
              <w:rPr/>
            </w:pPr>
            <w:r>
              <w:rPr/>
              <w:t> </w:t>
            </w:r>
          </w:p>
        </w:tc>
      </w:tr>
      <w:tr>
        <w:trPr/>
        <w:tc>
          <w:tcPr>
            <w:tcW w:w="74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Item 1:</w:t>
            </w:r>
          </w:p>
        </w:tc>
        <w:tc>
          <w:tcPr>
            <w:tcW w:w="7280" w:type="dxa"/>
            <w:tcBorders/>
            <w:vAlign w:val="center"/>
          </w:tcPr>
          <w:p>
            <w:pPr>
              <w:pStyle w:val="TableContents"/>
              <w:bidi w:val="0"/>
              <w:spacing w:before="0" w:after="283"/>
              <w:jc w:val="left"/>
              <w:rPr/>
            </w:pPr>
            <w:hyperlink w:anchor="a_007">
              <w:r>
                <w:rPr>
                  <w:rStyle w:val="InternetLink"/>
                  <w:sz w:val="20"/>
                </w:rPr>
                <w:t>Legal Proceedings</w:t>
              </w:r>
            </w:hyperlink>
          </w:p>
        </w:tc>
        <w:tc>
          <w:tcPr>
            <w:tcW w:w="500" w:type="dxa"/>
            <w:tcBorders/>
            <w:vAlign w:val="center"/>
          </w:tcPr>
          <w:p>
            <w:pPr>
              <w:pStyle w:val="TableContents"/>
              <w:bidi w:val="0"/>
              <w:spacing w:before="0" w:after="283"/>
              <w:jc w:val="center"/>
              <w:rPr>
                <w:sz w:val="20"/>
              </w:rPr>
            </w:pPr>
            <w:r>
              <w:rPr>
                <w:sz w:val="20"/>
              </w:rPr>
              <w:t>21</w:t>
            </w:r>
          </w:p>
        </w:tc>
      </w:tr>
      <w:tr>
        <w:trPr/>
        <w:tc>
          <w:tcPr>
            <w:tcW w:w="740" w:type="dxa"/>
            <w:tcBorders/>
            <w:shd w:fill="CCEEFF" w:val="clear"/>
            <w:vAlign w:val="center"/>
          </w:tcPr>
          <w:p>
            <w:pPr>
              <w:pStyle w:val="TableContents"/>
              <w:bidi w:val="0"/>
              <w:spacing w:before="0" w:after="283"/>
              <w:jc w:val="left"/>
              <w:rPr>
                <w:sz w:val="20"/>
              </w:rPr>
            </w:pPr>
            <w:r>
              <w:rPr>
                <w:sz w:val="20"/>
              </w:rPr>
              <w:t>Item 1A:</w:t>
            </w:r>
          </w:p>
        </w:tc>
        <w:tc>
          <w:tcPr>
            <w:tcW w:w="7280" w:type="dxa"/>
            <w:tcBorders/>
            <w:shd w:fill="CCEEFF" w:val="clear"/>
            <w:vAlign w:val="center"/>
          </w:tcPr>
          <w:p>
            <w:pPr>
              <w:pStyle w:val="TableContents"/>
              <w:bidi w:val="0"/>
              <w:spacing w:before="0" w:after="283"/>
              <w:jc w:val="left"/>
              <w:rPr/>
            </w:pPr>
            <w:hyperlink w:anchor="a_008">
              <w:r>
                <w:rPr>
                  <w:rStyle w:val="InternetLink"/>
                  <w:sz w:val="20"/>
                </w:rPr>
                <w:t>Risk Factors</w:t>
              </w:r>
            </w:hyperlink>
          </w:p>
        </w:tc>
        <w:tc>
          <w:tcPr>
            <w:tcW w:w="500" w:type="dxa"/>
            <w:tcBorders/>
            <w:shd w:fill="CCEEFF" w:val="clear"/>
            <w:vAlign w:val="center"/>
          </w:tcPr>
          <w:p>
            <w:pPr>
              <w:pStyle w:val="TableContents"/>
              <w:bidi w:val="0"/>
              <w:spacing w:before="0" w:after="283"/>
              <w:jc w:val="center"/>
              <w:rPr>
                <w:sz w:val="20"/>
              </w:rPr>
            </w:pPr>
            <w:r>
              <w:rPr>
                <w:sz w:val="20"/>
              </w:rPr>
              <w:t>21</w:t>
            </w:r>
          </w:p>
        </w:tc>
      </w:tr>
      <w:tr>
        <w:trPr/>
        <w:tc>
          <w:tcPr>
            <w:tcW w:w="740" w:type="dxa"/>
            <w:tcBorders/>
            <w:vAlign w:val="center"/>
          </w:tcPr>
          <w:p>
            <w:pPr>
              <w:pStyle w:val="TableContents"/>
              <w:bidi w:val="0"/>
              <w:spacing w:before="0" w:after="283"/>
              <w:jc w:val="left"/>
              <w:rPr>
                <w:sz w:val="20"/>
              </w:rPr>
            </w:pPr>
            <w:r>
              <w:rPr>
                <w:sz w:val="20"/>
              </w:rPr>
              <w:t>Item 2:</w:t>
            </w:r>
          </w:p>
        </w:tc>
        <w:tc>
          <w:tcPr>
            <w:tcW w:w="7280" w:type="dxa"/>
            <w:tcBorders/>
            <w:vAlign w:val="center"/>
          </w:tcPr>
          <w:p>
            <w:pPr>
              <w:pStyle w:val="TableContents"/>
              <w:bidi w:val="0"/>
              <w:spacing w:before="0" w:after="283"/>
              <w:jc w:val="left"/>
              <w:rPr/>
            </w:pPr>
            <w:hyperlink w:anchor="a_009">
              <w:r>
                <w:rPr>
                  <w:rStyle w:val="InternetLink"/>
                  <w:sz w:val="20"/>
                </w:rPr>
                <w:t>Unregistered Sales of Equity Securities and Use of Proceeds</w:t>
              </w:r>
            </w:hyperlink>
          </w:p>
        </w:tc>
        <w:tc>
          <w:tcPr>
            <w:tcW w:w="500" w:type="dxa"/>
            <w:tcBorders/>
            <w:vAlign w:val="center"/>
          </w:tcPr>
          <w:p>
            <w:pPr>
              <w:pStyle w:val="TableContents"/>
              <w:bidi w:val="0"/>
              <w:spacing w:before="0" w:after="283"/>
              <w:jc w:val="center"/>
              <w:rPr>
                <w:sz w:val="20"/>
              </w:rPr>
            </w:pPr>
            <w:r>
              <w:rPr>
                <w:sz w:val="20"/>
              </w:rPr>
              <w:t>21</w:t>
            </w:r>
          </w:p>
        </w:tc>
      </w:tr>
      <w:tr>
        <w:trPr/>
        <w:tc>
          <w:tcPr>
            <w:tcW w:w="740" w:type="dxa"/>
            <w:tcBorders/>
            <w:shd w:fill="CCEEFF" w:val="clear"/>
            <w:vAlign w:val="center"/>
          </w:tcPr>
          <w:p>
            <w:pPr>
              <w:pStyle w:val="TableContents"/>
              <w:bidi w:val="0"/>
              <w:spacing w:before="0" w:after="283"/>
              <w:jc w:val="left"/>
              <w:rPr>
                <w:sz w:val="20"/>
              </w:rPr>
            </w:pPr>
            <w:r>
              <w:rPr>
                <w:sz w:val="20"/>
              </w:rPr>
              <w:t>Item 3:</w:t>
            </w:r>
          </w:p>
        </w:tc>
        <w:tc>
          <w:tcPr>
            <w:tcW w:w="7280" w:type="dxa"/>
            <w:tcBorders/>
            <w:shd w:fill="CCEEFF" w:val="clear"/>
            <w:vAlign w:val="center"/>
          </w:tcPr>
          <w:p>
            <w:pPr>
              <w:pStyle w:val="TableContents"/>
              <w:bidi w:val="0"/>
              <w:spacing w:before="0" w:after="283"/>
              <w:jc w:val="left"/>
              <w:rPr/>
            </w:pPr>
            <w:hyperlink w:anchor="a_013">
              <w:r>
                <w:rPr>
                  <w:rStyle w:val="InternetLink"/>
                  <w:sz w:val="20"/>
                </w:rPr>
                <w:t>Defaults Upon Senior Securities</w:t>
              </w:r>
            </w:hyperlink>
          </w:p>
        </w:tc>
        <w:tc>
          <w:tcPr>
            <w:tcW w:w="500" w:type="dxa"/>
            <w:tcBorders/>
            <w:shd w:fill="CCEEFF" w:val="clear"/>
            <w:vAlign w:val="center"/>
          </w:tcPr>
          <w:p>
            <w:pPr>
              <w:pStyle w:val="TableContents"/>
              <w:bidi w:val="0"/>
              <w:spacing w:before="0" w:after="283"/>
              <w:jc w:val="center"/>
              <w:rPr>
                <w:sz w:val="20"/>
              </w:rPr>
            </w:pPr>
            <w:r>
              <w:rPr>
                <w:sz w:val="20"/>
              </w:rPr>
              <w:t>21</w:t>
            </w:r>
          </w:p>
        </w:tc>
      </w:tr>
      <w:tr>
        <w:trPr/>
        <w:tc>
          <w:tcPr>
            <w:tcW w:w="740" w:type="dxa"/>
            <w:tcBorders/>
            <w:vAlign w:val="center"/>
          </w:tcPr>
          <w:p>
            <w:pPr>
              <w:pStyle w:val="TableContents"/>
              <w:bidi w:val="0"/>
              <w:spacing w:before="0" w:after="283"/>
              <w:jc w:val="left"/>
              <w:rPr>
                <w:sz w:val="20"/>
              </w:rPr>
            </w:pPr>
            <w:r>
              <w:rPr>
                <w:sz w:val="20"/>
              </w:rPr>
              <w:t>Item 4:</w:t>
            </w:r>
          </w:p>
        </w:tc>
        <w:tc>
          <w:tcPr>
            <w:tcW w:w="7280" w:type="dxa"/>
            <w:tcBorders/>
            <w:vAlign w:val="center"/>
          </w:tcPr>
          <w:p>
            <w:pPr>
              <w:pStyle w:val="TableContents"/>
              <w:bidi w:val="0"/>
              <w:spacing w:before="0" w:after="283"/>
              <w:jc w:val="left"/>
              <w:rPr/>
            </w:pPr>
            <w:hyperlink w:anchor="a_010">
              <w:r>
                <w:rPr>
                  <w:rStyle w:val="InternetLink"/>
                  <w:sz w:val="20"/>
                </w:rPr>
                <w:t>Mine Safety Disclosure</w:t>
              </w:r>
            </w:hyperlink>
          </w:p>
        </w:tc>
        <w:tc>
          <w:tcPr>
            <w:tcW w:w="500" w:type="dxa"/>
            <w:tcBorders/>
            <w:vAlign w:val="center"/>
          </w:tcPr>
          <w:p>
            <w:pPr>
              <w:pStyle w:val="TableContents"/>
              <w:bidi w:val="0"/>
              <w:spacing w:before="0" w:after="283"/>
              <w:jc w:val="center"/>
              <w:rPr>
                <w:sz w:val="20"/>
              </w:rPr>
            </w:pPr>
            <w:r>
              <w:rPr>
                <w:sz w:val="20"/>
              </w:rPr>
              <w:t>21</w:t>
            </w:r>
          </w:p>
        </w:tc>
      </w:tr>
      <w:tr>
        <w:trPr/>
        <w:tc>
          <w:tcPr>
            <w:tcW w:w="740" w:type="dxa"/>
            <w:tcBorders/>
            <w:shd w:fill="CCEEFF" w:val="clear"/>
            <w:vAlign w:val="center"/>
          </w:tcPr>
          <w:p>
            <w:pPr>
              <w:pStyle w:val="TableContents"/>
              <w:bidi w:val="0"/>
              <w:spacing w:before="0" w:after="283"/>
              <w:jc w:val="left"/>
              <w:rPr>
                <w:sz w:val="20"/>
              </w:rPr>
            </w:pPr>
            <w:r>
              <w:rPr>
                <w:sz w:val="20"/>
              </w:rPr>
              <w:t>Item 5:</w:t>
            </w:r>
          </w:p>
        </w:tc>
        <w:tc>
          <w:tcPr>
            <w:tcW w:w="7280" w:type="dxa"/>
            <w:tcBorders/>
            <w:shd w:fill="CCEEFF" w:val="clear"/>
            <w:vAlign w:val="center"/>
          </w:tcPr>
          <w:p>
            <w:pPr>
              <w:pStyle w:val="TableContents"/>
              <w:bidi w:val="0"/>
              <w:spacing w:before="0" w:after="283"/>
              <w:jc w:val="left"/>
              <w:rPr/>
            </w:pPr>
            <w:hyperlink w:anchor="a_011">
              <w:r>
                <w:rPr>
                  <w:rStyle w:val="InternetLink"/>
                  <w:sz w:val="20"/>
                </w:rPr>
                <w:t>Other Information</w:t>
              </w:r>
            </w:hyperlink>
          </w:p>
        </w:tc>
        <w:tc>
          <w:tcPr>
            <w:tcW w:w="500" w:type="dxa"/>
            <w:tcBorders/>
            <w:shd w:fill="CCEEFF" w:val="clear"/>
            <w:vAlign w:val="center"/>
          </w:tcPr>
          <w:p>
            <w:pPr>
              <w:pStyle w:val="TableContents"/>
              <w:bidi w:val="0"/>
              <w:spacing w:before="0" w:after="283"/>
              <w:jc w:val="center"/>
              <w:rPr>
                <w:sz w:val="20"/>
              </w:rPr>
            </w:pPr>
            <w:r>
              <w:rPr>
                <w:sz w:val="20"/>
              </w:rPr>
              <w:t>21</w:t>
            </w:r>
          </w:p>
        </w:tc>
      </w:tr>
      <w:tr>
        <w:trPr/>
        <w:tc>
          <w:tcPr>
            <w:tcW w:w="740" w:type="dxa"/>
            <w:tcBorders/>
            <w:vAlign w:val="center"/>
          </w:tcPr>
          <w:p>
            <w:pPr>
              <w:pStyle w:val="TableContents"/>
              <w:bidi w:val="0"/>
              <w:spacing w:before="0" w:after="283"/>
              <w:jc w:val="left"/>
              <w:rPr>
                <w:sz w:val="20"/>
              </w:rPr>
            </w:pPr>
            <w:r>
              <w:rPr>
                <w:sz w:val="20"/>
              </w:rPr>
              <w:t>Item 6:</w:t>
            </w:r>
          </w:p>
        </w:tc>
        <w:tc>
          <w:tcPr>
            <w:tcW w:w="7280" w:type="dxa"/>
            <w:tcBorders/>
            <w:vAlign w:val="center"/>
          </w:tcPr>
          <w:p>
            <w:pPr>
              <w:pStyle w:val="TableContents"/>
              <w:bidi w:val="0"/>
              <w:spacing w:before="0" w:after="283"/>
              <w:jc w:val="left"/>
              <w:rPr/>
            </w:pPr>
            <w:hyperlink w:anchor="a_012">
              <w:r>
                <w:rPr>
                  <w:rStyle w:val="InternetLink"/>
                  <w:sz w:val="20"/>
                </w:rPr>
                <w:t>Exhibits</w:t>
              </w:r>
            </w:hyperlink>
          </w:p>
        </w:tc>
        <w:tc>
          <w:tcPr>
            <w:tcW w:w="500" w:type="dxa"/>
            <w:tcBorders/>
            <w:vAlign w:val="center"/>
          </w:tcPr>
          <w:p>
            <w:pPr>
              <w:pStyle w:val="TableContents"/>
              <w:bidi w:val="0"/>
              <w:spacing w:before="0" w:after="283"/>
              <w:jc w:val="center"/>
              <w:rPr>
                <w:sz w:val="20"/>
              </w:rPr>
            </w:pPr>
            <w:r>
              <w:rPr>
                <w:sz w:val="20"/>
              </w:rPr>
              <w:t>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condensed consolidated financial statements included in this Form 10-Q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shd w:fill="CCEEFF" w:val="clear"/>
            <w:vAlign w:val="center"/>
          </w:tcPr>
          <w:p>
            <w:pPr>
              <w:pStyle w:val="TableContents"/>
              <w:bidi w:val="0"/>
              <w:spacing w:before="0" w:after="0"/>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73" w:type="dxa"/>
            <w:tcBorders/>
            <w:shd w:fill="CCEEFF" w:val="clear"/>
            <w:vAlign w:val="center"/>
          </w:tcPr>
          <w:p>
            <w:pPr>
              <w:pStyle w:val="TableContents"/>
              <w:bidi w:val="0"/>
              <w:spacing w:before="0" w:after="283"/>
              <w:jc w:val="both"/>
              <w:rPr/>
            </w:pPr>
            <w:hyperlink w:anchor="f_001">
              <w:r>
                <w:rPr>
                  <w:rStyle w:val="InternetLink"/>
                  <w:sz w:val="20"/>
                </w:rPr>
                <w:t>Condensed Consolidated Balance Sheets as of March 31, 2024 (unaudited) and December 31, 2023 (unaudited);</w:t>
              </w:r>
            </w:hyperlink>
          </w:p>
        </w:tc>
      </w:tr>
      <w:tr>
        <w:trPr/>
        <w:tc>
          <w:tcPr>
            <w:tcW w:w="132" w:type="dxa"/>
            <w:tcBorders/>
            <w:vAlign w:val="center"/>
          </w:tcPr>
          <w:p>
            <w:pPr>
              <w:pStyle w:val="TableContents"/>
              <w:bidi w:val="0"/>
              <w:spacing w:before="0" w:after="283"/>
              <w:ind w:left="0" w:right="0" w:hanging="180"/>
              <w:jc w:val="center"/>
              <w:rPr>
                <w:sz w:val="20"/>
              </w:rPr>
            </w:pPr>
            <w:r>
              <w:rPr>
                <w:sz w:val="20"/>
              </w:rPr>
              <w:t>3</w:t>
            </w:r>
          </w:p>
        </w:tc>
        <w:tc>
          <w:tcPr>
            <w:tcW w:w="10073" w:type="dxa"/>
            <w:tcBorders/>
            <w:vAlign w:val="center"/>
          </w:tcPr>
          <w:p>
            <w:pPr>
              <w:pStyle w:val="TableContents"/>
              <w:bidi w:val="0"/>
              <w:spacing w:before="0" w:after="283"/>
              <w:jc w:val="both"/>
              <w:rPr/>
            </w:pPr>
            <w:hyperlink w:anchor="f_002">
              <w:r>
                <w:rPr>
                  <w:rStyle w:val="InternetLink"/>
                  <w:sz w:val="20"/>
                </w:rPr>
                <w:t>Condensed Consolidated Statements of Operations for the three months ended March 31, 2024 and 2023 (unaudited);</w:t>
              </w:r>
            </w:hyperlink>
          </w:p>
        </w:tc>
      </w:tr>
      <w:tr>
        <w:trPr/>
        <w:tc>
          <w:tcPr>
            <w:tcW w:w="132" w:type="dxa"/>
            <w:tcBorders/>
            <w:shd w:fill="CCEEFF" w:val="clear"/>
            <w:vAlign w:val="center"/>
          </w:tcPr>
          <w:p>
            <w:pPr>
              <w:pStyle w:val="TableContents"/>
              <w:bidi w:val="0"/>
              <w:spacing w:before="0" w:after="283"/>
              <w:ind w:left="0" w:right="0" w:hanging="180"/>
              <w:jc w:val="center"/>
              <w:rPr>
                <w:sz w:val="20"/>
              </w:rPr>
            </w:pPr>
            <w:r>
              <w:rPr>
                <w:sz w:val="20"/>
              </w:rPr>
              <w:t>4</w:t>
            </w:r>
          </w:p>
        </w:tc>
        <w:tc>
          <w:tcPr>
            <w:tcW w:w="10073" w:type="dxa"/>
            <w:tcBorders/>
            <w:shd w:fill="CCEEFF" w:val="clear"/>
            <w:vAlign w:val="center"/>
          </w:tcPr>
          <w:p>
            <w:pPr>
              <w:pStyle w:val="TableContents"/>
              <w:bidi w:val="0"/>
              <w:spacing w:before="0" w:after="283"/>
              <w:jc w:val="both"/>
              <w:rPr/>
            </w:pPr>
            <w:hyperlink w:anchor="f_003">
              <w:r>
                <w:rPr>
                  <w:rStyle w:val="InternetLink"/>
                  <w:sz w:val="20"/>
                </w:rPr>
                <w:t>Condensed Consolidated Statements of Changes in Stockholders’ Equity for the three months March 31, 2024 and 2023 (unaudited);</w:t>
              </w:r>
            </w:hyperlink>
          </w:p>
        </w:tc>
      </w:tr>
      <w:tr>
        <w:trPr/>
        <w:tc>
          <w:tcPr>
            <w:tcW w:w="132" w:type="dxa"/>
            <w:tcBorders/>
            <w:vAlign w:val="center"/>
          </w:tcPr>
          <w:p>
            <w:pPr>
              <w:pStyle w:val="TableContents"/>
              <w:bidi w:val="0"/>
              <w:spacing w:before="0" w:after="283"/>
              <w:ind w:left="0" w:right="0" w:hanging="180"/>
              <w:jc w:val="center"/>
              <w:rPr>
                <w:sz w:val="20"/>
              </w:rPr>
            </w:pPr>
            <w:r>
              <w:rPr>
                <w:sz w:val="20"/>
              </w:rPr>
              <w:t>6</w:t>
            </w:r>
          </w:p>
        </w:tc>
        <w:tc>
          <w:tcPr>
            <w:tcW w:w="10073" w:type="dxa"/>
            <w:tcBorders/>
            <w:vAlign w:val="center"/>
          </w:tcPr>
          <w:p>
            <w:pPr>
              <w:pStyle w:val="TableContents"/>
              <w:bidi w:val="0"/>
              <w:spacing w:before="0" w:after="283"/>
              <w:jc w:val="both"/>
              <w:rPr/>
            </w:pPr>
            <w:hyperlink w:anchor="f_005">
              <w:r>
                <w:rPr>
                  <w:rStyle w:val="InternetLink"/>
                  <w:sz w:val="20"/>
                </w:rPr>
                <w:t>Condensed Consolidated Statements of Cash Flows for the three months ended March 31, 2024 and 2023 (unaudited);</w:t>
              </w:r>
            </w:hyperlink>
          </w:p>
        </w:tc>
      </w:tr>
      <w:tr>
        <w:trPr/>
        <w:tc>
          <w:tcPr>
            <w:tcW w:w="132" w:type="dxa"/>
            <w:tcBorders/>
            <w:shd w:fill="CCEEFF" w:val="clear"/>
            <w:vAlign w:val="center"/>
          </w:tcPr>
          <w:p>
            <w:pPr>
              <w:pStyle w:val="TableContents"/>
              <w:bidi w:val="0"/>
              <w:spacing w:before="0" w:after="283"/>
              <w:ind w:left="0" w:right="0" w:hanging="180"/>
              <w:jc w:val="center"/>
              <w:rPr>
                <w:sz w:val="20"/>
              </w:rPr>
            </w:pPr>
            <w:r>
              <w:rPr>
                <w:sz w:val="20"/>
              </w:rPr>
              <w:t>7</w:t>
            </w:r>
          </w:p>
        </w:tc>
        <w:tc>
          <w:tcPr>
            <w:tcW w:w="10073" w:type="dxa"/>
            <w:tcBorders/>
            <w:shd w:fill="CCEEFF" w:val="clear"/>
            <w:vAlign w:val="center"/>
          </w:tcPr>
          <w:p>
            <w:pPr>
              <w:pStyle w:val="TableContents"/>
              <w:bidi w:val="0"/>
              <w:spacing w:before="0" w:after="283"/>
              <w:jc w:val="both"/>
              <w:rPr/>
            </w:pPr>
            <w:hyperlink w:anchor="f_006">
              <w:r>
                <w:rPr>
                  <w:rStyle w:val="InternetLink"/>
                  <w:sz w:val="20"/>
                </w:rPr>
                <w:t>Notes to Condensed Consolidated Financial Statements (unaudited).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f_001"/>
      <w:bookmarkEnd w:id="4"/>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4"/>
        <w:gridCol w:w="60"/>
        <w:gridCol w:w="147"/>
        <w:gridCol w:w="843"/>
        <w:gridCol w:w="95"/>
        <w:gridCol w:w="60"/>
        <w:gridCol w:w="210"/>
        <w:gridCol w:w="1205"/>
        <w:gridCol w:w="91"/>
      </w:tblGrid>
      <w:tr>
        <w:trPr/>
        <w:tc>
          <w:tcPr>
            <w:tcW w:w="749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9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91" w:type="dxa"/>
            <w:tcBorders/>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99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99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180"/>
              <w:jc w:val="left"/>
              <w:rPr/>
            </w:pPr>
            <w:r>
              <w:rPr/>
              <w:t> </w:t>
            </w:r>
          </w:p>
        </w:tc>
      </w:tr>
      <w:tr>
        <w:trPr/>
        <w:tc>
          <w:tcPr>
            <w:tcW w:w="7494"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843" w:type="dxa"/>
            <w:tcBorders/>
            <w:shd w:fill="CCEEFF" w:val="clear"/>
            <w:vAlign w:val="center"/>
          </w:tcPr>
          <w:p>
            <w:pPr>
              <w:pStyle w:val="TableContents"/>
              <w:bidi w:val="0"/>
              <w:spacing w:before="0" w:after="283"/>
              <w:jc w:val="right"/>
              <w:rPr/>
            </w:pPr>
            <w:r>
              <w:rPr/>
              <w:t>15,177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13,852</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Accounts receivable, net of allowance for credit losses of $371 and $480 at March 31, 2024 and December 31, 2023, respectively</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29,748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36,253</w:t>
            </w:r>
          </w:p>
        </w:tc>
        <w:tc>
          <w:tcPr>
            <w:tcW w:w="91" w:type="dxa"/>
            <w:tcBorders/>
            <w:vAlign w:val="center"/>
          </w:tcPr>
          <w:p>
            <w:pPr>
              <w:pStyle w:val="TableContents"/>
              <w:bidi w:val="0"/>
              <w:spacing w:before="0" w:after="283"/>
              <w:ind w:left="0" w:right="0" w:hanging="180"/>
              <w:jc w:val="left"/>
              <w:rPr/>
            </w:pPr>
            <w:r>
              <w:rPr/>
              <w:t> </w:t>
            </w:r>
          </w:p>
        </w:tc>
      </w:tr>
      <w:tr>
        <w:trPr/>
        <w:tc>
          <w:tcPr>
            <w:tcW w:w="7494" w:type="dxa"/>
            <w:tcBorders/>
            <w:shd w:fill="CCEEFF" w:val="clear"/>
            <w:vAlign w:val="center"/>
          </w:tcPr>
          <w:p>
            <w:pPr>
              <w:pStyle w:val="TableContents"/>
              <w:bidi w:val="0"/>
              <w:spacing w:before="0" w:after="283"/>
              <w:jc w:val="left"/>
              <w:rPr/>
            </w:pPr>
            <w:r>
              <w:rPr/>
              <w:t>Taxes receivable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1,036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1,036</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Prepaid expenses and other</w:t>
            </w:r>
          </w:p>
        </w:tc>
        <w:tc>
          <w:tcPr>
            <w:tcW w:w="6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 </w:t>
            </w:r>
          </w:p>
        </w:tc>
        <w:tc>
          <w:tcPr>
            <w:tcW w:w="843" w:type="dxa"/>
            <w:tcBorders>
              <w:bottom w:val="single" w:sz="12" w:space="0" w:color="000000"/>
            </w:tcBorders>
            <w:tcMar>
              <w:bottom w:w="28" w:type="dxa"/>
            </w:tcMar>
            <w:vAlign w:val="center"/>
          </w:tcPr>
          <w:p>
            <w:pPr>
              <w:pStyle w:val="TableContents"/>
              <w:bidi w:val="0"/>
              <w:spacing w:before="0" w:after="283"/>
              <w:jc w:val="right"/>
              <w:rPr/>
            </w:pPr>
            <w:r>
              <w:rPr/>
              <w:t>2,390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3,190</w:t>
            </w:r>
          </w:p>
        </w:tc>
        <w:tc>
          <w:tcPr>
            <w:tcW w:w="91" w:type="dxa"/>
            <w:tcBorders/>
            <w:vAlign w:val="center"/>
          </w:tcPr>
          <w:p>
            <w:pPr>
              <w:pStyle w:val="TableContents"/>
              <w:bidi w:val="0"/>
              <w:spacing w:before="0" w:after="283"/>
              <w:ind w:left="0" w:right="0" w:hanging="180"/>
              <w:jc w:val="left"/>
              <w:rPr/>
            </w:pPr>
            <w:r>
              <w:rPr/>
              <w:t> </w:t>
            </w:r>
          </w:p>
        </w:tc>
      </w:tr>
      <w:tr>
        <w:trPr/>
        <w:tc>
          <w:tcPr>
            <w:tcW w:w="7494"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48,351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54,331</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Property and equipment, net</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153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149</w:t>
            </w:r>
          </w:p>
        </w:tc>
        <w:tc>
          <w:tcPr>
            <w:tcW w:w="91" w:type="dxa"/>
            <w:tcBorders/>
            <w:vAlign w:val="center"/>
          </w:tcPr>
          <w:p>
            <w:pPr>
              <w:pStyle w:val="TableContents"/>
              <w:bidi w:val="0"/>
              <w:spacing w:before="0" w:after="283"/>
              <w:ind w:left="0" w:right="0" w:hanging="180"/>
              <w:jc w:val="left"/>
              <w:rPr/>
            </w:pPr>
            <w:r>
              <w:rPr/>
              <w:t> </w:t>
            </w:r>
          </w:p>
        </w:tc>
      </w:tr>
      <w:tr>
        <w:trPr/>
        <w:tc>
          <w:tcPr>
            <w:tcW w:w="7494"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Goodwill</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78,357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78,357</w:t>
            </w:r>
          </w:p>
        </w:tc>
        <w:tc>
          <w:tcPr>
            <w:tcW w:w="91" w:type="dxa"/>
            <w:tcBorders/>
            <w:vAlign w:val="center"/>
          </w:tcPr>
          <w:p>
            <w:pPr>
              <w:pStyle w:val="TableContents"/>
              <w:bidi w:val="0"/>
              <w:spacing w:before="0" w:after="283"/>
              <w:ind w:left="0" w:right="0" w:hanging="180"/>
              <w:jc w:val="left"/>
              <w:rPr/>
            </w:pPr>
            <w:r>
              <w:rPr/>
              <w:t> </w:t>
            </w:r>
          </w:p>
        </w:tc>
      </w:tr>
      <w:tr>
        <w:trPr/>
        <w:tc>
          <w:tcPr>
            <w:tcW w:w="7494" w:type="dxa"/>
            <w:tcBorders/>
            <w:shd w:fill="CCEEFF" w:val="clear"/>
            <w:vAlign w:val="center"/>
          </w:tcPr>
          <w:p>
            <w:pPr>
              <w:pStyle w:val="TableContents"/>
              <w:bidi w:val="0"/>
              <w:spacing w:before="0" w:after="283"/>
              <w:jc w:val="left"/>
              <w:rPr/>
            </w:pPr>
            <w:r>
              <w:rPr/>
              <w:t>Other intangibles, net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14,882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15,198</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Tradename and customer relationships, net</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33,596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34,198</w:t>
            </w:r>
          </w:p>
        </w:tc>
        <w:tc>
          <w:tcPr>
            <w:tcW w:w="91" w:type="dxa"/>
            <w:tcBorders/>
            <w:vAlign w:val="center"/>
          </w:tcPr>
          <w:p>
            <w:pPr>
              <w:pStyle w:val="TableContents"/>
              <w:bidi w:val="0"/>
              <w:spacing w:before="0" w:after="283"/>
              <w:ind w:left="0" w:right="0" w:hanging="180"/>
              <w:jc w:val="left"/>
              <w:rPr/>
            </w:pPr>
            <w:r>
              <w:rPr/>
              <w:t> </w:t>
            </w:r>
          </w:p>
        </w:tc>
      </w:tr>
      <w:tr>
        <w:trPr/>
        <w:tc>
          <w:tcPr>
            <w:tcW w:w="7494" w:type="dxa"/>
            <w:tcBorders/>
            <w:shd w:fill="CCEEFF" w:val="clear"/>
            <w:vAlign w:val="center"/>
          </w:tcPr>
          <w:p>
            <w:pPr>
              <w:pStyle w:val="TableContents"/>
              <w:bidi w:val="0"/>
              <w:spacing w:before="0" w:after="283"/>
              <w:jc w:val="left"/>
              <w:rPr/>
            </w:pPr>
            <w:r>
              <w:rPr/>
              <w:t>Operating lease right of use assets, net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573</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Security deposits and other assets</w:t>
            </w:r>
          </w:p>
        </w:tc>
        <w:tc>
          <w:tcPr>
            <w:tcW w:w="6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 </w:t>
            </w:r>
          </w:p>
        </w:tc>
        <w:tc>
          <w:tcPr>
            <w:tcW w:w="843" w:type="dxa"/>
            <w:tcBorders>
              <w:bottom w:val="single" w:sz="12" w:space="0" w:color="000000"/>
            </w:tcBorders>
            <w:tcMar>
              <w:bottom w:w="28" w:type="dxa"/>
            </w:tcMar>
            <w:vAlign w:val="center"/>
          </w:tcPr>
          <w:p>
            <w:pPr>
              <w:pStyle w:val="TableContents"/>
              <w:bidi w:val="0"/>
              <w:spacing w:before="0" w:after="283"/>
              <w:jc w:val="right"/>
              <w:rPr/>
            </w:pPr>
            <w:r>
              <w:rPr/>
              <w:t>501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568</w:t>
            </w:r>
          </w:p>
        </w:tc>
        <w:tc>
          <w:tcPr>
            <w:tcW w:w="91" w:type="dxa"/>
            <w:tcBorders/>
            <w:vAlign w:val="center"/>
          </w:tcPr>
          <w:p>
            <w:pPr>
              <w:pStyle w:val="TableContents"/>
              <w:bidi w:val="0"/>
              <w:spacing w:before="0" w:after="283"/>
              <w:ind w:left="0" w:right="0" w:hanging="180"/>
              <w:jc w:val="left"/>
              <w:rPr/>
            </w:pPr>
            <w:r>
              <w:rPr/>
              <w:t> </w:t>
            </w:r>
          </w:p>
        </w:tc>
      </w:tr>
      <w:tr>
        <w:trPr/>
        <w:tc>
          <w:tcPr>
            <w:tcW w:w="7494" w:type="dxa"/>
            <w:tcBorders/>
            <w:shd w:fill="CCEEFF" w:val="clear"/>
            <w:vAlign w:val="center"/>
          </w:tcPr>
          <w:p>
            <w:pPr>
              <w:pStyle w:val="TableContents"/>
              <w:bidi w:val="0"/>
              <w:spacing w:before="0" w:after="283"/>
              <w:jc w:val="left"/>
              <w:rPr/>
            </w:pPr>
            <w:r>
              <w:rPr/>
              <w:t>Total other assets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single" w:sz="12" w:space="0" w:color="000000"/>
            </w:tcBorders>
            <w:shd w:fill="CCEEFF" w:val="clear"/>
            <w:tcMar>
              <w:bottom w:w="28" w:type="dxa"/>
            </w:tcMar>
            <w:vAlign w:val="center"/>
          </w:tcPr>
          <w:p>
            <w:pPr>
              <w:pStyle w:val="TableContents"/>
              <w:bidi w:val="0"/>
              <w:spacing w:before="0" w:after="283"/>
              <w:jc w:val="right"/>
              <w:rPr/>
            </w:pPr>
            <w:r>
              <w:rPr/>
              <w:t>127,863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128,894</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TOTAL ASSETS</w:t>
            </w:r>
          </w:p>
        </w:tc>
        <w:tc>
          <w:tcPr>
            <w:tcW w:w="60" w:type="dxa"/>
            <w:tcBorders/>
            <w:vAlign w:val="center"/>
          </w:tcPr>
          <w:p>
            <w:pPr>
              <w:pStyle w:val="TableContents"/>
              <w:bidi w:val="0"/>
              <w:spacing w:before="0" w:after="283"/>
              <w:jc w:val="left"/>
              <w:rPr/>
            </w:pPr>
            <w:r>
              <w:rPr/>
              <w:t> </w:t>
            </w:r>
          </w:p>
        </w:tc>
        <w:tc>
          <w:tcPr>
            <w:tcW w:w="147" w:type="dxa"/>
            <w:tcBorders>
              <w:bottom w:val="double" w:sz="10" w:space="0" w:color="000000"/>
            </w:tcBorders>
            <w:tcMar>
              <w:bottom w:w="28" w:type="dxa"/>
            </w:tcMar>
            <w:vAlign w:val="center"/>
          </w:tcPr>
          <w:p>
            <w:pPr>
              <w:pStyle w:val="TableContents"/>
              <w:bidi w:val="0"/>
              <w:spacing w:before="0" w:after="283"/>
              <w:jc w:val="left"/>
              <w:rPr/>
            </w:pPr>
            <w:r>
              <w:rPr/>
              <w:t>$</w:t>
            </w:r>
          </w:p>
        </w:tc>
        <w:tc>
          <w:tcPr>
            <w:tcW w:w="843" w:type="dxa"/>
            <w:tcBorders>
              <w:bottom w:val="double" w:sz="10" w:space="0" w:color="000000"/>
            </w:tcBorders>
            <w:tcMar>
              <w:bottom w:w="28" w:type="dxa"/>
            </w:tcMar>
            <w:vAlign w:val="center"/>
          </w:tcPr>
          <w:p>
            <w:pPr>
              <w:pStyle w:val="TableContents"/>
              <w:bidi w:val="0"/>
              <w:spacing w:before="0" w:after="283"/>
              <w:jc w:val="right"/>
              <w:rPr/>
            </w:pPr>
            <w:r>
              <w:rPr/>
              <w:t>176,367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183,374</w:t>
            </w:r>
          </w:p>
        </w:tc>
        <w:tc>
          <w:tcPr>
            <w:tcW w:w="91" w:type="dxa"/>
            <w:tcBorders/>
            <w:vAlign w:val="center"/>
          </w:tcPr>
          <w:p>
            <w:pPr>
              <w:pStyle w:val="TableContents"/>
              <w:bidi w:val="0"/>
              <w:spacing w:before="0" w:after="283"/>
              <w:jc w:val="left"/>
              <w:rPr/>
            </w:pPr>
            <w:r>
              <w:rPr/>
              <w:t> </w:t>
            </w:r>
          </w:p>
        </w:tc>
      </w:tr>
      <w:tr>
        <w:trPr/>
        <w:tc>
          <w:tcPr>
            <w:tcW w:w="7494" w:type="dxa"/>
            <w:tcBorders/>
            <w:shd w:fill="CCEEFF" w:val="clear"/>
            <w:vAlign w:val="center"/>
          </w:tcPr>
          <w:p>
            <w:pPr>
              <w:pStyle w:val="TableContents"/>
              <w:bidi w:val="0"/>
              <w:spacing w:before="0" w:after="283"/>
              <w:jc w:val="center"/>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Current liabilities</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ind w:left="0" w:right="0" w:hanging="180"/>
              <w:jc w:val="left"/>
              <w:rPr/>
            </w:pPr>
            <w:r>
              <w:rPr/>
              <w:t> </w:t>
            </w:r>
          </w:p>
        </w:tc>
      </w:tr>
      <w:tr>
        <w:trPr/>
        <w:tc>
          <w:tcPr>
            <w:tcW w:w="7494" w:type="dxa"/>
            <w:tcBorders/>
            <w:shd w:fill="CCEEFF" w:val="clear"/>
            <w:vAlign w:val="center"/>
          </w:tcPr>
          <w:p>
            <w:pPr>
              <w:pStyle w:val="TableContents"/>
              <w:bidi w:val="0"/>
              <w:spacing w:before="0" w:after="283"/>
              <w:jc w:val="left"/>
              <w:rPr/>
            </w:pPr>
            <w:r>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843" w:type="dxa"/>
            <w:tcBorders/>
            <w:shd w:fill="CCEEFF" w:val="clear"/>
            <w:vAlign w:val="center"/>
          </w:tcPr>
          <w:p>
            <w:pPr>
              <w:pStyle w:val="TableContents"/>
              <w:bidi w:val="0"/>
              <w:spacing w:before="0" w:after="283"/>
              <w:jc w:val="right"/>
              <w:rPr/>
            </w:pPr>
            <w:r>
              <w:rPr/>
              <w:t>3,500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2,000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Accounts payable – trade</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1,665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2,227</w:t>
            </w:r>
          </w:p>
        </w:tc>
        <w:tc>
          <w:tcPr>
            <w:tcW w:w="91" w:type="dxa"/>
            <w:tcBorders/>
            <w:vAlign w:val="center"/>
          </w:tcPr>
          <w:p>
            <w:pPr>
              <w:pStyle w:val="TableContents"/>
              <w:bidi w:val="0"/>
              <w:spacing w:before="0" w:after="283"/>
              <w:ind w:left="0" w:right="0" w:hanging="180"/>
              <w:jc w:val="left"/>
              <w:rPr/>
            </w:pPr>
            <w:r>
              <w:rPr/>
              <w:t> </w:t>
            </w:r>
          </w:p>
        </w:tc>
      </w:tr>
      <w:tr>
        <w:trPr/>
        <w:tc>
          <w:tcPr>
            <w:tcW w:w="7494"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7,278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7,706</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Revenue share payable</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2,814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5,506</w:t>
            </w:r>
          </w:p>
        </w:tc>
        <w:tc>
          <w:tcPr>
            <w:tcW w:w="91" w:type="dxa"/>
            <w:tcBorders/>
            <w:vAlign w:val="center"/>
          </w:tcPr>
          <w:p>
            <w:pPr>
              <w:pStyle w:val="TableContents"/>
              <w:bidi w:val="0"/>
              <w:spacing w:before="0" w:after="283"/>
              <w:ind w:left="0" w:right="0" w:hanging="180"/>
              <w:jc w:val="left"/>
              <w:rPr/>
            </w:pPr>
            <w:r>
              <w:rPr/>
              <w:t> </w:t>
            </w:r>
          </w:p>
        </w:tc>
      </w:tr>
      <w:tr>
        <w:trPr/>
        <w:tc>
          <w:tcPr>
            <w:tcW w:w="7494"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49</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Current portion of lease liabilities</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233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222</w:t>
            </w:r>
          </w:p>
        </w:tc>
        <w:tc>
          <w:tcPr>
            <w:tcW w:w="91" w:type="dxa"/>
            <w:tcBorders/>
            <w:vAlign w:val="center"/>
          </w:tcPr>
          <w:p>
            <w:pPr>
              <w:pStyle w:val="TableContents"/>
              <w:bidi w:val="0"/>
              <w:spacing w:before="0" w:after="283"/>
              <w:ind w:left="0" w:right="0" w:hanging="180"/>
              <w:jc w:val="left"/>
              <w:rPr/>
            </w:pPr>
            <w:r>
              <w:rPr/>
              <w:t> </w:t>
            </w:r>
          </w:p>
        </w:tc>
      </w:tr>
      <w:tr>
        <w:trPr/>
        <w:tc>
          <w:tcPr>
            <w:tcW w:w="7494"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single" w:sz="12" w:space="0" w:color="000000"/>
            </w:tcBorders>
            <w:shd w:fill="CCEEFF" w:val="clear"/>
            <w:tcMar>
              <w:bottom w:w="28" w:type="dxa"/>
            </w:tcMar>
            <w:vAlign w:val="center"/>
          </w:tcPr>
          <w:p>
            <w:pPr>
              <w:pStyle w:val="TableContents"/>
              <w:bidi w:val="0"/>
              <w:spacing w:before="0" w:after="283"/>
              <w:jc w:val="right"/>
              <w:rPr/>
            </w:pPr>
            <w:r>
              <w:rPr/>
              <w:t>904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172</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Total current liabilities</w:t>
            </w:r>
          </w:p>
        </w:tc>
        <w:tc>
          <w:tcPr>
            <w:tcW w:w="6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 </w:t>
            </w:r>
          </w:p>
        </w:tc>
        <w:tc>
          <w:tcPr>
            <w:tcW w:w="843" w:type="dxa"/>
            <w:tcBorders>
              <w:bottom w:val="single" w:sz="12" w:space="0" w:color="000000"/>
            </w:tcBorders>
            <w:tcMar>
              <w:bottom w:w="28" w:type="dxa"/>
            </w:tcMar>
            <w:vAlign w:val="center"/>
          </w:tcPr>
          <w:p>
            <w:pPr>
              <w:pStyle w:val="TableContents"/>
              <w:bidi w:val="0"/>
              <w:spacing w:before="0" w:after="283"/>
              <w:jc w:val="right"/>
              <w:rPr/>
            </w:pPr>
            <w:r>
              <w:rPr/>
              <w:t>16,765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17,882</w:t>
            </w:r>
          </w:p>
        </w:tc>
        <w:tc>
          <w:tcPr>
            <w:tcW w:w="91" w:type="dxa"/>
            <w:tcBorders/>
            <w:vAlign w:val="center"/>
          </w:tcPr>
          <w:p>
            <w:pPr>
              <w:pStyle w:val="TableContents"/>
              <w:bidi w:val="0"/>
              <w:spacing w:before="0" w:after="283"/>
              <w:ind w:left="0" w:right="0" w:hanging="180"/>
              <w:jc w:val="left"/>
              <w:rPr/>
            </w:pPr>
            <w:r>
              <w:rPr/>
              <w:t> </w:t>
            </w:r>
          </w:p>
        </w:tc>
      </w:tr>
      <w:tr>
        <w:trPr/>
        <w:tc>
          <w:tcPr>
            <w:tcW w:w="7494"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Long-term debt, net</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32,413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34,231</w:t>
            </w:r>
          </w:p>
        </w:tc>
        <w:tc>
          <w:tcPr>
            <w:tcW w:w="91" w:type="dxa"/>
            <w:tcBorders/>
            <w:vAlign w:val="center"/>
          </w:tcPr>
          <w:p>
            <w:pPr>
              <w:pStyle w:val="TableContents"/>
              <w:bidi w:val="0"/>
              <w:spacing w:before="0" w:after="283"/>
              <w:ind w:left="0" w:right="0" w:hanging="180"/>
              <w:jc w:val="left"/>
              <w:rPr/>
            </w:pPr>
            <w:r>
              <w:rPr/>
              <w:t> </w:t>
            </w:r>
          </w:p>
        </w:tc>
      </w:tr>
      <w:tr>
        <w:trPr/>
        <w:tc>
          <w:tcPr>
            <w:tcW w:w="7494" w:type="dxa"/>
            <w:tcBorders/>
            <w:shd w:fill="CCEEFF" w:val="clear"/>
            <w:vAlign w:val="center"/>
          </w:tcPr>
          <w:p>
            <w:pPr>
              <w:pStyle w:val="TableContents"/>
              <w:bidi w:val="0"/>
              <w:spacing w:before="0" w:after="283"/>
              <w:jc w:val="left"/>
              <w:rPr/>
            </w:pPr>
            <w:r>
              <w:rPr/>
              <w:t>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371</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Deferred tax liabilities, net</w:t>
            </w:r>
          </w:p>
        </w:tc>
        <w:tc>
          <w:tcPr>
            <w:tcW w:w="6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 </w:t>
            </w:r>
          </w:p>
        </w:tc>
        <w:tc>
          <w:tcPr>
            <w:tcW w:w="843" w:type="dxa"/>
            <w:tcBorders>
              <w:bottom w:val="single" w:sz="12" w:space="0" w:color="000000"/>
            </w:tcBorders>
            <w:tcMar>
              <w:bottom w:w="28" w:type="dxa"/>
            </w:tcMar>
            <w:vAlign w:val="center"/>
          </w:tcPr>
          <w:p>
            <w:pPr>
              <w:pStyle w:val="TableContents"/>
              <w:bidi w:val="0"/>
              <w:spacing w:before="0" w:after="283"/>
              <w:jc w:val="right"/>
              <w:rPr/>
            </w:pPr>
            <w:r>
              <w:rPr/>
              <w:t>4,337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4,337</w:t>
            </w:r>
          </w:p>
        </w:tc>
        <w:tc>
          <w:tcPr>
            <w:tcW w:w="91" w:type="dxa"/>
            <w:tcBorders/>
            <w:vAlign w:val="center"/>
          </w:tcPr>
          <w:p>
            <w:pPr>
              <w:pStyle w:val="TableContents"/>
              <w:bidi w:val="0"/>
              <w:spacing w:before="0" w:after="283"/>
              <w:ind w:left="0" w:right="0" w:hanging="180"/>
              <w:jc w:val="left"/>
              <w:rPr/>
            </w:pPr>
            <w:r>
              <w:rPr/>
              <w:t> </w:t>
            </w:r>
          </w:p>
        </w:tc>
      </w:tr>
      <w:tr>
        <w:trPr/>
        <w:tc>
          <w:tcPr>
            <w:tcW w:w="7494"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single" w:sz="12" w:space="0" w:color="000000"/>
            </w:tcBorders>
            <w:shd w:fill="CCEEFF" w:val="clear"/>
            <w:tcMar>
              <w:bottom w:w="28" w:type="dxa"/>
            </w:tcMar>
            <w:vAlign w:val="center"/>
          </w:tcPr>
          <w:p>
            <w:pPr>
              <w:pStyle w:val="TableContents"/>
              <w:bidi w:val="0"/>
              <w:spacing w:before="0" w:after="283"/>
              <w:jc w:val="right"/>
              <w:rPr/>
            </w:pPr>
            <w:r>
              <w:rPr/>
              <w:t>53,829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56,821</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Commitments and contingencies (See note 10)</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 </w:t>
            </w:r>
          </w:p>
        </w:tc>
        <w:tc>
          <w:tcPr>
            <w:tcW w:w="91" w:type="dxa"/>
            <w:tcBorders/>
            <w:vAlign w:val="center"/>
          </w:tcPr>
          <w:p>
            <w:pPr>
              <w:pStyle w:val="TableContents"/>
              <w:bidi w:val="0"/>
              <w:spacing w:before="0" w:after="283"/>
              <w:ind w:left="0" w:right="0" w:hanging="180"/>
              <w:jc w:val="left"/>
              <w:rPr/>
            </w:pPr>
            <w:r>
              <w:rPr/>
              <w:t> </w:t>
            </w:r>
          </w:p>
        </w:tc>
      </w:tr>
      <w:tr>
        <w:trPr/>
        <w:tc>
          <w:tcPr>
            <w:tcW w:w="7494"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Preferred stock, $0.001 par value, 10,000,000 shares authorized, none issued and outstanding at March 31, 2024 or December 31, 2023</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91" w:type="dxa"/>
            <w:tcBorders/>
            <w:vAlign w:val="center"/>
          </w:tcPr>
          <w:p>
            <w:pPr>
              <w:pStyle w:val="TableContents"/>
              <w:bidi w:val="0"/>
              <w:spacing w:before="0" w:after="283"/>
              <w:ind w:left="0" w:right="0" w:hanging="180"/>
              <w:jc w:val="left"/>
              <w:rPr/>
            </w:pPr>
            <w:r>
              <w:rPr/>
              <w:t> </w:t>
            </w:r>
          </w:p>
        </w:tc>
      </w:tr>
      <w:tr>
        <w:trPr/>
        <w:tc>
          <w:tcPr>
            <w:tcW w:w="7494" w:type="dxa"/>
            <w:tcBorders/>
            <w:shd w:fill="CCEEFF" w:val="clear"/>
            <w:vAlign w:val="center"/>
          </w:tcPr>
          <w:p>
            <w:pPr>
              <w:pStyle w:val="TableContents"/>
              <w:bidi w:val="0"/>
              <w:spacing w:before="0" w:after="283"/>
              <w:jc w:val="left"/>
              <w:rPr/>
            </w:pPr>
            <w:r>
              <w:rPr/>
              <w:t>Common stock, $0.001 par value, 166,666,667 shares authorized, 19,921,879 and 19,899,679 shares issued at March 31, 2024 and December 31, 2023, respectively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20</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Treasury stock, $0.001 par value, 1,741,397 shares held at March 31, 2024 and December 31, 2023</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w:t>
            </w:r>
          </w:p>
        </w:tc>
        <w:tc>
          <w:tcPr>
            <w:tcW w:w="91" w:type="dxa"/>
            <w:tcBorders/>
            <w:vAlign w:val="center"/>
          </w:tcPr>
          <w:p>
            <w:pPr>
              <w:pStyle w:val="TableContents"/>
              <w:bidi w:val="0"/>
              <w:spacing w:before="0" w:after="283"/>
              <w:ind w:left="0" w:right="0" w:hanging="180"/>
              <w:jc w:val="left"/>
              <w:rPr/>
            </w:pPr>
            <w:r>
              <w:rPr/>
              <w:t>)</w:t>
            </w:r>
          </w:p>
        </w:tc>
      </w:tr>
      <w:tr>
        <w:trPr/>
        <w:tc>
          <w:tcPr>
            <w:tcW w:w="7494" w:type="dxa"/>
            <w:tcBorders/>
            <w:shd w:fill="CCEEFF" w:val="clear"/>
            <w:vAlign w:val="center"/>
          </w:tcPr>
          <w:p>
            <w:pPr>
              <w:pStyle w:val="TableContents"/>
              <w:bidi w:val="0"/>
              <w:spacing w:before="0" w:after="283"/>
              <w:jc w:val="left"/>
              <w:rPr/>
            </w:pPr>
            <w:r>
              <w:rPr/>
              <w:t>Additional paid-in-capital</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193,677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190,793</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Accumulated deficit</w:t>
            </w:r>
          </w:p>
        </w:tc>
        <w:tc>
          <w:tcPr>
            <w:tcW w:w="6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 </w:t>
            </w:r>
          </w:p>
        </w:tc>
        <w:tc>
          <w:tcPr>
            <w:tcW w:w="843" w:type="dxa"/>
            <w:tcBorders>
              <w:bottom w:val="single" w:sz="12" w:space="0" w:color="000000"/>
            </w:tcBorders>
            <w:tcMar>
              <w:bottom w:w="28" w:type="dxa"/>
            </w:tcMar>
            <w:vAlign w:val="center"/>
          </w:tcPr>
          <w:p>
            <w:pPr>
              <w:pStyle w:val="TableContents"/>
              <w:bidi w:val="0"/>
              <w:spacing w:before="0" w:after="283"/>
              <w:jc w:val="right"/>
              <w:rPr/>
            </w:pPr>
            <w:r>
              <w:rPr/>
              <w:t>(71,157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(64,258</w:t>
            </w:r>
          </w:p>
        </w:tc>
        <w:tc>
          <w:tcPr>
            <w:tcW w:w="91" w:type="dxa"/>
            <w:tcBorders/>
            <w:vAlign w:val="center"/>
          </w:tcPr>
          <w:p>
            <w:pPr>
              <w:pStyle w:val="TableContents"/>
              <w:bidi w:val="0"/>
              <w:spacing w:before="0" w:after="283"/>
              <w:ind w:left="0" w:right="0" w:hanging="180"/>
              <w:jc w:val="left"/>
              <w:rPr/>
            </w:pPr>
            <w:r>
              <w:rPr/>
              <w:t>)</w:t>
            </w:r>
          </w:p>
        </w:tc>
      </w:tr>
      <w:tr>
        <w:trPr/>
        <w:tc>
          <w:tcPr>
            <w:tcW w:w="7494"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single" w:sz="12" w:space="0" w:color="000000"/>
            </w:tcBorders>
            <w:shd w:fill="CCEEFF" w:val="clear"/>
            <w:tcMar>
              <w:bottom w:w="28" w:type="dxa"/>
            </w:tcMar>
            <w:vAlign w:val="center"/>
          </w:tcPr>
          <w:p>
            <w:pPr>
              <w:pStyle w:val="TableContents"/>
              <w:bidi w:val="0"/>
              <w:spacing w:before="0" w:after="283"/>
              <w:jc w:val="right"/>
              <w:rPr/>
            </w:pPr>
            <w:r>
              <w:rPr/>
              <w:t>122,538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126,553</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494" w:type="dxa"/>
            <w:tcBorders/>
            <w:vAlign w:val="center"/>
          </w:tcPr>
          <w:p>
            <w:pPr>
              <w:pStyle w:val="TableContents"/>
              <w:bidi w:val="0"/>
              <w:spacing w:before="0" w:after="283"/>
              <w:jc w:val="left"/>
              <w:rPr/>
            </w:pPr>
            <w:r>
              <w:rPr/>
              <w:t>TOTAL LIABILITIES AND STOCKHOLDERS’ EQUITY</w:t>
            </w:r>
          </w:p>
        </w:tc>
        <w:tc>
          <w:tcPr>
            <w:tcW w:w="60" w:type="dxa"/>
            <w:tcBorders/>
            <w:vAlign w:val="center"/>
          </w:tcPr>
          <w:p>
            <w:pPr>
              <w:pStyle w:val="TableContents"/>
              <w:bidi w:val="0"/>
              <w:spacing w:before="0" w:after="283"/>
              <w:jc w:val="left"/>
              <w:rPr/>
            </w:pPr>
            <w:r>
              <w:rPr/>
              <w:t> </w:t>
            </w:r>
          </w:p>
        </w:tc>
        <w:tc>
          <w:tcPr>
            <w:tcW w:w="147" w:type="dxa"/>
            <w:tcBorders>
              <w:bottom w:val="double" w:sz="10" w:space="0" w:color="000000"/>
            </w:tcBorders>
            <w:tcMar>
              <w:bottom w:w="28" w:type="dxa"/>
            </w:tcMar>
            <w:vAlign w:val="center"/>
          </w:tcPr>
          <w:p>
            <w:pPr>
              <w:pStyle w:val="TableContents"/>
              <w:bidi w:val="0"/>
              <w:spacing w:before="0" w:after="283"/>
              <w:jc w:val="left"/>
              <w:rPr/>
            </w:pPr>
            <w:r>
              <w:rPr/>
              <w:t>$</w:t>
            </w:r>
          </w:p>
        </w:tc>
        <w:tc>
          <w:tcPr>
            <w:tcW w:w="843" w:type="dxa"/>
            <w:tcBorders>
              <w:bottom w:val="double" w:sz="10" w:space="0" w:color="000000"/>
            </w:tcBorders>
            <w:tcMar>
              <w:bottom w:w="28" w:type="dxa"/>
            </w:tcMar>
            <w:vAlign w:val="center"/>
          </w:tcPr>
          <w:p>
            <w:pPr>
              <w:pStyle w:val="TableContents"/>
              <w:bidi w:val="0"/>
              <w:spacing w:before="0" w:after="283"/>
              <w:jc w:val="right"/>
              <w:rPr/>
            </w:pPr>
            <w:r>
              <w:rPr/>
              <w:t>176,367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183,374</w:t>
            </w:r>
          </w:p>
        </w:tc>
        <w:tc>
          <w:tcPr>
            <w:tcW w:w="91"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jc w:val="center"/>
        <w:rPr>
          <w:rFonts w:ascii="Times New Roman;Times;Serif" w:hAnsi="Times New Roman;Times;Serif"/>
          <w:b/>
          <w:i w:val="false"/>
          <w:caps w:val="false"/>
          <w:smallCaps w:val="false"/>
          <w:sz w:val="20"/>
        </w:rPr>
      </w:pPr>
      <w:bookmarkStart w:id="5" w:name="f_002"/>
      <w:bookmarkEnd w:id="5"/>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87"/>
        <w:gridCol w:w="60"/>
        <w:gridCol w:w="156"/>
        <w:gridCol w:w="1231"/>
        <w:gridCol w:w="105"/>
        <w:gridCol w:w="66"/>
        <w:gridCol w:w="156"/>
        <w:gridCol w:w="1231"/>
        <w:gridCol w:w="113"/>
      </w:tblGrid>
      <w:tr>
        <w:trPr/>
        <w:tc>
          <w:tcPr>
            <w:tcW w:w="7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113" w:type="dxa"/>
            <w:tcBorders/>
            <w:vAlign w:val="center"/>
          </w:tcPr>
          <w:p>
            <w:pPr>
              <w:pStyle w:val="TableContents"/>
              <w:bidi w:val="0"/>
              <w:spacing w:before="0" w:after="283"/>
              <w:jc w:val="left"/>
              <w:rPr/>
            </w:pPr>
            <w:r>
              <w:rPr/>
              <w:t> </w:t>
            </w:r>
          </w:p>
        </w:tc>
      </w:tr>
      <w:tr>
        <w:trPr/>
        <w:tc>
          <w:tcPr>
            <w:tcW w:w="7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3" w:type="dxa"/>
            <w:tcBorders/>
            <w:vAlign w:val="center"/>
          </w:tcPr>
          <w:p>
            <w:pPr>
              <w:pStyle w:val="TableContents"/>
              <w:bidi w:val="0"/>
              <w:spacing w:before="0" w:after="283"/>
              <w:jc w:val="left"/>
              <w:rPr/>
            </w:pPr>
            <w:r>
              <w:rPr/>
              <w:t> </w:t>
            </w:r>
          </w:p>
        </w:tc>
      </w:tr>
      <w:tr>
        <w:trPr/>
        <w:tc>
          <w:tcPr>
            <w:tcW w:w="7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7"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87"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7087"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31" w:type="dxa"/>
            <w:tcBorders/>
            <w:shd w:fill="CCEEFF" w:val="clear"/>
            <w:vAlign w:val="center"/>
          </w:tcPr>
          <w:p>
            <w:pPr>
              <w:pStyle w:val="TableContents"/>
              <w:bidi w:val="0"/>
              <w:spacing w:before="0" w:after="283"/>
              <w:jc w:val="right"/>
              <w:rPr/>
            </w:pPr>
            <w:r>
              <w:rPr/>
              <w:t>19,690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31" w:type="dxa"/>
            <w:tcBorders/>
            <w:shd w:fill="CCEEFF" w:val="clear"/>
            <w:vAlign w:val="center"/>
          </w:tcPr>
          <w:p>
            <w:pPr>
              <w:pStyle w:val="TableContents"/>
              <w:bidi w:val="0"/>
              <w:spacing w:before="0" w:after="283"/>
              <w:jc w:val="right"/>
              <w:rPr/>
            </w:pPr>
            <w:r>
              <w:rPr/>
              <w:t>13,003</w:t>
            </w:r>
          </w:p>
        </w:tc>
        <w:tc>
          <w:tcPr>
            <w:tcW w:w="113" w:type="dxa"/>
            <w:tcBorders/>
            <w:shd w:fill="CCEEFF" w:val="clear"/>
            <w:vAlign w:val="center"/>
          </w:tcPr>
          <w:p>
            <w:pPr>
              <w:pStyle w:val="TableContents"/>
              <w:bidi w:val="0"/>
              <w:spacing w:before="0" w:after="283"/>
              <w:jc w:val="left"/>
              <w:rPr/>
            </w:pPr>
            <w:r>
              <w:rPr/>
              <w:t> </w:t>
            </w:r>
          </w:p>
        </w:tc>
      </w:tr>
      <w:tr>
        <w:trPr/>
        <w:tc>
          <w:tcPr>
            <w:tcW w:w="7087" w:type="dxa"/>
            <w:tcBorders/>
            <w:vAlign w:val="center"/>
          </w:tcPr>
          <w:p>
            <w:pPr>
              <w:pStyle w:val="TableContents"/>
              <w:bidi w:val="0"/>
              <w:spacing w:before="0" w:after="283"/>
              <w:jc w:val="left"/>
              <w:rPr/>
            </w:pPr>
            <w:r>
              <w:rPr/>
              <w:t>Cost of revenues, exclusive of depreciation and amortization presented separately below</w:t>
            </w:r>
          </w:p>
        </w:tc>
        <w:tc>
          <w:tcPr>
            <w:tcW w:w="60"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tcMar>
              <w:bottom w:w="28" w:type="dxa"/>
            </w:tcMar>
            <w:vAlign w:val="center"/>
          </w:tcPr>
          <w:p>
            <w:pPr>
              <w:pStyle w:val="TableContents"/>
              <w:bidi w:val="0"/>
              <w:spacing w:before="0" w:after="283"/>
              <w:jc w:val="right"/>
              <w:rPr/>
            </w:pPr>
            <w:r>
              <w:rPr/>
              <w:t>7,486</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tcMar>
              <w:bottom w:w="28" w:type="dxa"/>
            </w:tcMar>
            <w:vAlign w:val="center"/>
          </w:tcPr>
          <w:p>
            <w:pPr>
              <w:pStyle w:val="TableContents"/>
              <w:bidi w:val="0"/>
              <w:spacing w:before="0" w:after="283"/>
              <w:jc w:val="right"/>
              <w:rPr/>
            </w:pPr>
            <w:r>
              <w:rPr/>
              <w:t>5,570</w:t>
            </w:r>
          </w:p>
        </w:tc>
        <w:tc>
          <w:tcPr>
            <w:tcW w:w="113" w:type="dxa"/>
            <w:tcBorders/>
            <w:vAlign w:val="center"/>
          </w:tcPr>
          <w:p>
            <w:pPr>
              <w:pStyle w:val="TableContents"/>
              <w:bidi w:val="0"/>
              <w:spacing w:before="0" w:after="283"/>
              <w:jc w:val="left"/>
              <w:rPr/>
            </w:pPr>
            <w:r>
              <w:rPr/>
              <w:t> </w:t>
            </w:r>
          </w:p>
        </w:tc>
      </w:tr>
      <w:tr>
        <w:trPr/>
        <w:tc>
          <w:tcPr>
            <w:tcW w:w="7087"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CCEEFF" w:val="clear"/>
            <w:tcMar>
              <w:bottom w:w="28" w:type="dxa"/>
            </w:tcMar>
            <w:vAlign w:val="center"/>
          </w:tcPr>
          <w:p>
            <w:pPr>
              <w:pStyle w:val="TableContents"/>
              <w:bidi w:val="0"/>
              <w:spacing w:before="0" w:after="283"/>
              <w:jc w:val="right"/>
              <w:rPr/>
            </w:pPr>
            <w:r>
              <w:rPr/>
              <w:t>12,204</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CCEEFF" w:val="clear"/>
            <w:tcMar>
              <w:bottom w:w="28" w:type="dxa"/>
            </w:tcMar>
            <w:vAlign w:val="center"/>
          </w:tcPr>
          <w:p>
            <w:pPr>
              <w:pStyle w:val="TableContents"/>
              <w:bidi w:val="0"/>
              <w:spacing w:before="0" w:after="283"/>
              <w:jc w:val="right"/>
              <w:rPr/>
            </w:pPr>
            <w:r>
              <w:rPr/>
              <w:t>7,433</w:t>
            </w:r>
          </w:p>
        </w:tc>
        <w:tc>
          <w:tcPr>
            <w:tcW w:w="113" w:type="dxa"/>
            <w:tcBorders/>
            <w:shd w:fill="CCEEFF" w:val="clear"/>
            <w:vAlign w:val="center"/>
          </w:tcPr>
          <w:p>
            <w:pPr>
              <w:pStyle w:val="TableContents"/>
              <w:bidi w:val="0"/>
              <w:spacing w:before="0" w:after="283"/>
              <w:jc w:val="left"/>
              <w:rPr/>
            </w:pPr>
            <w:r>
              <w:rPr/>
              <w:t> </w:t>
            </w:r>
          </w:p>
        </w:tc>
      </w:tr>
      <w:tr>
        <w:trPr/>
        <w:tc>
          <w:tcPr>
            <w:tcW w:w="7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7087"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87" w:type="dxa"/>
            <w:tcBorders/>
            <w:vAlign w:val="center"/>
          </w:tcPr>
          <w:p>
            <w:pPr>
              <w:pStyle w:val="TableContents"/>
              <w:bidi w:val="0"/>
              <w:spacing w:before="0" w:after="283"/>
              <w:jc w:val="left"/>
              <w:rPr/>
            </w:pPr>
            <w:r>
              <w:rPr/>
              <w:t>General and administrative expenses</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16,166</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14,032</w:t>
            </w:r>
          </w:p>
        </w:tc>
        <w:tc>
          <w:tcPr>
            <w:tcW w:w="113" w:type="dxa"/>
            <w:tcBorders/>
            <w:vAlign w:val="center"/>
          </w:tcPr>
          <w:p>
            <w:pPr>
              <w:pStyle w:val="TableContents"/>
              <w:bidi w:val="0"/>
              <w:spacing w:before="0" w:after="283"/>
              <w:jc w:val="left"/>
              <w:rPr/>
            </w:pPr>
            <w:r>
              <w:rPr/>
              <w:t> </w:t>
            </w:r>
          </w:p>
        </w:tc>
      </w:tr>
      <w:tr>
        <w:trPr/>
        <w:tc>
          <w:tcPr>
            <w:tcW w:w="7087"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CCEEFF" w:val="clear"/>
            <w:tcMar>
              <w:bottom w:w="28" w:type="dxa"/>
            </w:tcMar>
            <w:vAlign w:val="center"/>
          </w:tcPr>
          <w:p>
            <w:pPr>
              <w:pStyle w:val="TableContents"/>
              <w:bidi w:val="0"/>
              <w:spacing w:before="0" w:after="283"/>
              <w:jc w:val="right"/>
              <w:rPr/>
            </w:pPr>
            <w:r>
              <w:rPr/>
              <w:t>1,067</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CCEEFF" w:val="clear"/>
            <w:tcMar>
              <w:bottom w:w="28" w:type="dxa"/>
            </w:tcMar>
            <w:vAlign w:val="center"/>
          </w:tcPr>
          <w:p>
            <w:pPr>
              <w:pStyle w:val="TableContents"/>
              <w:bidi w:val="0"/>
              <w:spacing w:before="0" w:after="283"/>
              <w:jc w:val="right"/>
              <w:rPr/>
            </w:pPr>
            <w:r>
              <w:rPr/>
              <w:t>464</w:t>
            </w:r>
          </w:p>
        </w:tc>
        <w:tc>
          <w:tcPr>
            <w:tcW w:w="113" w:type="dxa"/>
            <w:tcBorders/>
            <w:shd w:fill="CCEEFF" w:val="clear"/>
            <w:vAlign w:val="center"/>
          </w:tcPr>
          <w:p>
            <w:pPr>
              <w:pStyle w:val="TableContents"/>
              <w:bidi w:val="0"/>
              <w:spacing w:before="0" w:after="283"/>
              <w:jc w:val="left"/>
              <w:rPr/>
            </w:pPr>
            <w:r>
              <w:rPr/>
              <w:t> </w:t>
            </w:r>
          </w:p>
        </w:tc>
      </w:tr>
      <w:tr>
        <w:trPr/>
        <w:tc>
          <w:tcPr>
            <w:tcW w:w="7087" w:type="dxa"/>
            <w:tcBorders/>
            <w:vAlign w:val="center"/>
          </w:tcPr>
          <w:p>
            <w:pPr>
              <w:pStyle w:val="TableContents"/>
              <w:bidi w:val="0"/>
              <w:spacing w:before="0" w:after="283"/>
              <w:jc w:val="left"/>
              <w:rPr/>
            </w:pPr>
            <w:r>
              <w:rPr/>
              <w:t>Total operating expenses</w:t>
            </w:r>
          </w:p>
        </w:tc>
        <w:tc>
          <w:tcPr>
            <w:tcW w:w="60"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tcMar>
              <w:bottom w:w="28" w:type="dxa"/>
            </w:tcMar>
            <w:vAlign w:val="center"/>
          </w:tcPr>
          <w:p>
            <w:pPr>
              <w:pStyle w:val="TableContents"/>
              <w:bidi w:val="0"/>
              <w:spacing w:before="0" w:after="283"/>
              <w:jc w:val="right"/>
              <w:rPr/>
            </w:pPr>
            <w:r>
              <w:rPr/>
              <w:t>17,233</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tcMar>
              <w:bottom w:w="28" w:type="dxa"/>
            </w:tcMar>
            <w:vAlign w:val="center"/>
          </w:tcPr>
          <w:p>
            <w:pPr>
              <w:pStyle w:val="TableContents"/>
              <w:bidi w:val="0"/>
              <w:spacing w:before="0" w:after="283"/>
              <w:jc w:val="right"/>
              <w:rPr/>
            </w:pPr>
            <w:r>
              <w:rPr/>
              <w:t>14,496</w:t>
            </w:r>
          </w:p>
        </w:tc>
        <w:tc>
          <w:tcPr>
            <w:tcW w:w="113" w:type="dxa"/>
            <w:tcBorders/>
            <w:vAlign w:val="center"/>
          </w:tcPr>
          <w:p>
            <w:pPr>
              <w:pStyle w:val="TableContents"/>
              <w:bidi w:val="0"/>
              <w:spacing w:before="0" w:after="283"/>
              <w:jc w:val="left"/>
              <w:rPr/>
            </w:pPr>
            <w:r>
              <w:rPr/>
              <w:t> </w:t>
            </w:r>
          </w:p>
        </w:tc>
      </w:tr>
      <w:tr>
        <w:trPr/>
        <w:tc>
          <w:tcPr>
            <w:tcW w:w="7087"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(5,029</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(7,063</w:t>
            </w:r>
          </w:p>
        </w:tc>
        <w:tc>
          <w:tcPr>
            <w:tcW w:w="113" w:type="dxa"/>
            <w:tcBorders/>
            <w:shd w:fill="CCEEFF" w:val="clear"/>
            <w:vAlign w:val="center"/>
          </w:tcPr>
          <w:p>
            <w:pPr>
              <w:pStyle w:val="TableContents"/>
              <w:bidi w:val="0"/>
              <w:spacing w:before="0" w:after="283"/>
              <w:jc w:val="left"/>
              <w:rPr/>
            </w:pPr>
            <w:r>
              <w:rPr/>
              <w:t>)</w:t>
            </w:r>
          </w:p>
        </w:tc>
      </w:tr>
      <w:tr>
        <w:trPr/>
        <w:tc>
          <w:tcPr>
            <w:tcW w:w="7087" w:type="dxa"/>
            <w:tcBorders/>
            <w:vAlign w:val="center"/>
          </w:tcPr>
          <w:p>
            <w:pPr>
              <w:pStyle w:val="TableContents"/>
              <w:bidi w:val="0"/>
              <w:spacing w:before="0" w:after="283"/>
              <w:jc w:val="left"/>
              <w:rPr/>
            </w:pPr>
            <w:r>
              <w:rPr/>
              <w:t>Other income (expense)</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7087"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(1,546</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087" w:type="dxa"/>
            <w:tcBorders/>
            <w:vAlign w:val="center"/>
          </w:tcPr>
          <w:p>
            <w:pPr>
              <w:pStyle w:val="TableContents"/>
              <w:bidi w:val="0"/>
              <w:spacing w:before="0" w:after="283"/>
              <w:jc w:val="left"/>
              <w:rPr/>
            </w:pPr>
            <w:r>
              <w:rPr/>
              <w:t>Interest income</w:t>
            </w:r>
          </w:p>
        </w:tc>
        <w:tc>
          <w:tcPr>
            <w:tcW w:w="60"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tcMar>
              <w:bottom w:w="28" w:type="dxa"/>
            </w:tcMar>
            <w:vAlign w:val="center"/>
          </w:tcPr>
          <w:p>
            <w:pPr>
              <w:pStyle w:val="TableContents"/>
              <w:bidi w:val="0"/>
              <w:spacing w:before="0" w:after="283"/>
              <w:jc w:val="right"/>
              <w:rPr/>
            </w:pPr>
            <w:r>
              <w:rPr/>
              <w:t>20</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tcMar>
              <w:bottom w:w="28" w:type="dxa"/>
            </w:tcMar>
            <w:vAlign w:val="center"/>
          </w:tcPr>
          <w:p>
            <w:pPr>
              <w:pStyle w:val="TableContents"/>
              <w:bidi w:val="0"/>
              <w:spacing w:before="0" w:after="283"/>
              <w:jc w:val="right"/>
              <w:rPr/>
            </w:pPr>
            <w:r>
              <w:rPr/>
              <w:t>665</w:t>
            </w:r>
          </w:p>
        </w:tc>
        <w:tc>
          <w:tcPr>
            <w:tcW w:w="113" w:type="dxa"/>
            <w:tcBorders/>
            <w:vAlign w:val="center"/>
          </w:tcPr>
          <w:p>
            <w:pPr>
              <w:pStyle w:val="TableContents"/>
              <w:bidi w:val="0"/>
              <w:spacing w:before="0" w:after="283"/>
              <w:jc w:val="left"/>
              <w:rPr/>
            </w:pPr>
            <w:r>
              <w:rPr/>
              <w:t> </w:t>
            </w:r>
          </w:p>
        </w:tc>
      </w:tr>
      <w:tr>
        <w:trPr/>
        <w:tc>
          <w:tcPr>
            <w:tcW w:w="7087"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CCEEFF" w:val="clear"/>
            <w:tcMar>
              <w:bottom w:w="28" w:type="dxa"/>
            </w:tcMar>
            <w:vAlign w:val="center"/>
          </w:tcPr>
          <w:p>
            <w:pPr>
              <w:pStyle w:val="TableContents"/>
              <w:bidi w:val="0"/>
              <w:spacing w:before="0" w:after="283"/>
              <w:jc w:val="right"/>
              <w:rPr/>
            </w:pPr>
            <w:r>
              <w:rPr/>
              <w:t>(1,526</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CCEEFF" w:val="clear"/>
            <w:tcMar>
              <w:bottom w:w="28" w:type="dxa"/>
            </w:tcMar>
            <w:vAlign w:val="center"/>
          </w:tcPr>
          <w:p>
            <w:pPr>
              <w:pStyle w:val="TableContents"/>
              <w:bidi w:val="0"/>
              <w:spacing w:before="0" w:after="283"/>
              <w:jc w:val="right"/>
              <w:rPr/>
            </w:pPr>
            <w:r>
              <w:rPr/>
              <w:t>665</w:t>
            </w:r>
          </w:p>
        </w:tc>
        <w:tc>
          <w:tcPr>
            <w:tcW w:w="113" w:type="dxa"/>
            <w:tcBorders/>
            <w:shd w:fill="CCEEFF" w:val="clear"/>
            <w:vAlign w:val="center"/>
          </w:tcPr>
          <w:p>
            <w:pPr>
              <w:pStyle w:val="TableContents"/>
              <w:bidi w:val="0"/>
              <w:spacing w:before="0" w:after="283"/>
              <w:jc w:val="left"/>
              <w:rPr/>
            </w:pPr>
            <w:r>
              <w:rPr/>
              <w:t> </w:t>
            </w:r>
          </w:p>
        </w:tc>
      </w:tr>
      <w:tr>
        <w:trPr/>
        <w:tc>
          <w:tcPr>
            <w:tcW w:w="7087" w:type="dxa"/>
            <w:tcBorders/>
            <w:vAlign w:val="center"/>
          </w:tcPr>
          <w:p>
            <w:pPr>
              <w:pStyle w:val="TableContents"/>
              <w:bidi w:val="0"/>
              <w:spacing w:before="0" w:after="283"/>
              <w:jc w:val="left"/>
              <w:rPr/>
            </w:pPr>
            <w:r>
              <w:rPr/>
              <w:t>Loss before provision for income taxes</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(6,555</w:t>
            </w:r>
          </w:p>
        </w:tc>
        <w:tc>
          <w:tcPr>
            <w:tcW w:w="105" w:type="dxa"/>
            <w:tcBorders/>
            <w:vAlign w:val="center"/>
          </w:tcPr>
          <w:p>
            <w:pPr>
              <w:pStyle w:val="TableContents"/>
              <w:bidi w:val="0"/>
              <w:spacing w:before="0" w:after="283"/>
              <w:jc w:val="left"/>
              <w:rPr/>
            </w:pPr>
            <w:r>
              <w:rPr/>
              <w:t>)</w:t>
            </w:r>
          </w:p>
        </w:tc>
        <w:tc>
          <w:tcPr>
            <w:tcW w:w="6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(6,398</w:t>
            </w:r>
          </w:p>
        </w:tc>
        <w:tc>
          <w:tcPr>
            <w:tcW w:w="113" w:type="dxa"/>
            <w:tcBorders/>
            <w:vAlign w:val="center"/>
          </w:tcPr>
          <w:p>
            <w:pPr>
              <w:pStyle w:val="TableContents"/>
              <w:bidi w:val="0"/>
              <w:spacing w:before="0" w:after="283"/>
              <w:jc w:val="left"/>
              <w:rPr/>
            </w:pPr>
            <w:r>
              <w:rPr/>
              <w:t>)</w:t>
            </w:r>
          </w:p>
        </w:tc>
      </w:tr>
      <w:tr>
        <w:trPr/>
        <w:tc>
          <w:tcPr>
            <w:tcW w:w="7087"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CCEEFF" w:val="clear"/>
            <w:tcMar>
              <w:bottom w:w="28" w:type="dxa"/>
            </w:tcMar>
            <w:vAlign w:val="center"/>
          </w:tcPr>
          <w:p>
            <w:pPr>
              <w:pStyle w:val="TableContents"/>
              <w:bidi w:val="0"/>
              <w:spacing w:before="0" w:after="283"/>
              <w:jc w:val="right"/>
              <w:rPr/>
            </w:pPr>
            <w:r>
              <w:rPr/>
              <w:t>(344</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087"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156" w:type="dxa"/>
            <w:tcBorders>
              <w:bottom w:val="double" w:sz="10" w:space="0" w:color="000000"/>
            </w:tcBorders>
            <w:tcMar>
              <w:bottom w:w="28" w:type="dxa"/>
            </w:tcMar>
            <w:vAlign w:val="center"/>
          </w:tcPr>
          <w:p>
            <w:pPr>
              <w:pStyle w:val="TableContents"/>
              <w:bidi w:val="0"/>
              <w:spacing w:before="0" w:after="283"/>
              <w:jc w:val="left"/>
              <w:rPr/>
            </w:pPr>
            <w:r>
              <w:rPr/>
              <w:t>$</w:t>
            </w:r>
          </w:p>
        </w:tc>
        <w:tc>
          <w:tcPr>
            <w:tcW w:w="1231" w:type="dxa"/>
            <w:tcBorders>
              <w:bottom w:val="double" w:sz="10" w:space="0" w:color="000000"/>
            </w:tcBorders>
            <w:tcMar>
              <w:bottom w:w="28" w:type="dxa"/>
            </w:tcMar>
            <w:vAlign w:val="center"/>
          </w:tcPr>
          <w:p>
            <w:pPr>
              <w:pStyle w:val="TableContents"/>
              <w:bidi w:val="0"/>
              <w:spacing w:before="0" w:after="283"/>
              <w:jc w:val="right"/>
              <w:rPr/>
            </w:pPr>
            <w:r>
              <w:rPr/>
              <w:t>(6,899</w:t>
            </w:r>
          </w:p>
        </w:tc>
        <w:tc>
          <w:tcPr>
            <w:tcW w:w="105" w:type="dxa"/>
            <w:tcBorders/>
            <w:vAlign w:val="center"/>
          </w:tcPr>
          <w:p>
            <w:pPr>
              <w:pStyle w:val="TableContents"/>
              <w:bidi w:val="0"/>
              <w:spacing w:before="0" w:after="283"/>
              <w:jc w:val="left"/>
              <w:rPr/>
            </w:pPr>
            <w:r>
              <w:rPr/>
              <w:t>)</w:t>
            </w:r>
          </w:p>
        </w:tc>
        <w:tc>
          <w:tcPr>
            <w:tcW w:w="66" w:type="dxa"/>
            <w:tcBorders/>
            <w:vAlign w:val="center"/>
          </w:tcPr>
          <w:p>
            <w:pPr>
              <w:pStyle w:val="TableContents"/>
              <w:bidi w:val="0"/>
              <w:spacing w:before="0" w:after="283"/>
              <w:jc w:val="left"/>
              <w:rPr/>
            </w:pPr>
            <w:r>
              <w:rPr/>
              <w:t> </w:t>
            </w:r>
          </w:p>
        </w:tc>
        <w:tc>
          <w:tcPr>
            <w:tcW w:w="156" w:type="dxa"/>
            <w:tcBorders>
              <w:bottom w:val="double" w:sz="10" w:space="0" w:color="000000"/>
            </w:tcBorders>
            <w:tcMar>
              <w:bottom w:w="28" w:type="dxa"/>
            </w:tcMar>
            <w:vAlign w:val="center"/>
          </w:tcPr>
          <w:p>
            <w:pPr>
              <w:pStyle w:val="TableContents"/>
              <w:bidi w:val="0"/>
              <w:spacing w:before="0" w:after="283"/>
              <w:jc w:val="left"/>
              <w:rPr/>
            </w:pPr>
            <w:r>
              <w:rPr/>
              <w:t>$</w:t>
            </w:r>
          </w:p>
        </w:tc>
        <w:tc>
          <w:tcPr>
            <w:tcW w:w="1231" w:type="dxa"/>
            <w:tcBorders>
              <w:bottom w:val="double" w:sz="10" w:space="0" w:color="000000"/>
            </w:tcBorders>
            <w:tcMar>
              <w:bottom w:w="28" w:type="dxa"/>
            </w:tcMar>
            <w:vAlign w:val="center"/>
          </w:tcPr>
          <w:p>
            <w:pPr>
              <w:pStyle w:val="TableContents"/>
              <w:bidi w:val="0"/>
              <w:spacing w:before="0" w:after="283"/>
              <w:jc w:val="right"/>
              <w:rPr/>
            </w:pPr>
            <w:r>
              <w:rPr/>
              <w:t>(6,398</w:t>
            </w:r>
          </w:p>
        </w:tc>
        <w:tc>
          <w:tcPr>
            <w:tcW w:w="113" w:type="dxa"/>
            <w:tcBorders/>
            <w:vAlign w:val="center"/>
          </w:tcPr>
          <w:p>
            <w:pPr>
              <w:pStyle w:val="TableContents"/>
              <w:bidi w:val="0"/>
              <w:spacing w:before="0" w:after="283"/>
              <w:jc w:val="left"/>
              <w:rPr/>
            </w:pPr>
            <w:r>
              <w:rPr/>
              <w:t>)</w:t>
            </w:r>
          </w:p>
        </w:tc>
      </w:tr>
      <w:tr>
        <w:trPr/>
        <w:tc>
          <w:tcPr>
            <w:tcW w:w="7087" w:type="dxa"/>
            <w:tcBorders/>
            <w:shd w:fill="CCEEFF" w:val="clear"/>
            <w:vAlign w:val="center"/>
          </w:tcPr>
          <w:p>
            <w:pPr>
              <w:pStyle w:val="TableContents"/>
              <w:bidi w:val="0"/>
              <w:spacing w:before="0" w:after="283"/>
              <w:jc w:val="left"/>
              <w:rPr/>
            </w:pPr>
            <w:r>
              <w:rPr/>
              <w:t>Weighted average number of shares outstanding – basic</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double" w:sz="10" w:space="0" w:color="000000"/>
            </w:tcBorders>
            <w:shd w:fill="CCEEFF" w:val="clear"/>
            <w:tcMar>
              <w:bottom w:w="28" w:type="dxa"/>
            </w:tcMar>
            <w:vAlign w:val="center"/>
          </w:tcPr>
          <w:p>
            <w:pPr>
              <w:pStyle w:val="TableContents"/>
              <w:bidi w:val="0"/>
              <w:spacing w:before="0" w:after="283"/>
              <w:jc w:val="right"/>
              <w:rPr/>
            </w:pPr>
            <w:r>
              <w:rPr/>
              <w:t>18,170,108</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double" w:sz="10" w:space="0" w:color="000000"/>
            </w:tcBorders>
            <w:shd w:fill="CCEEFF" w:val="clear"/>
            <w:tcMar>
              <w:bottom w:w="28" w:type="dxa"/>
            </w:tcMar>
            <w:vAlign w:val="center"/>
          </w:tcPr>
          <w:p>
            <w:pPr>
              <w:pStyle w:val="TableContents"/>
              <w:bidi w:val="0"/>
              <w:spacing w:before="0" w:after="283"/>
              <w:jc w:val="right"/>
              <w:rPr/>
            </w:pPr>
            <w:r>
              <w:rPr/>
              <w:t>17,094,676</w:t>
            </w:r>
          </w:p>
        </w:tc>
        <w:tc>
          <w:tcPr>
            <w:tcW w:w="113" w:type="dxa"/>
            <w:tcBorders/>
            <w:shd w:fill="CCEEFF" w:val="clear"/>
            <w:vAlign w:val="center"/>
          </w:tcPr>
          <w:p>
            <w:pPr>
              <w:pStyle w:val="TableContents"/>
              <w:bidi w:val="0"/>
              <w:spacing w:before="0" w:after="283"/>
              <w:jc w:val="left"/>
              <w:rPr/>
            </w:pPr>
            <w:r>
              <w:rPr/>
              <w:t> </w:t>
            </w:r>
          </w:p>
        </w:tc>
      </w:tr>
      <w:tr>
        <w:trPr/>
        <w:tc>
          <w:tcPr>
            <w:tcW w:w="7087" w:type="dxa"/>
            <w:tcBorders/>
            <w:vAlign w:val="center"/>
          </w:tcPr>
          <w:p>
            <w:pPr>
              <w:pStyle w:val="TableContents"/>
              <w:bidi w:val="0"/>
              <w:spacing w:before="0" w:after="283"/>
              <w:jc w:val="left"/>
              <w:rPr/>
            </w:pPr>
            <w:r>
              <w:rPr/>
              <w:t>Weighted average number of shares outstanding – diluted</w:t>
            </w:r>
          </w:p>
        </w:tc>
        <w:tc>
          <w:tcPr>
            <w:tcW w:w="60" w:type="dxa"/>
            <w:tcBorders/>
            <w:vAlign w:val="center"/>
          </w:tcPr>
          <w:p>
            <w:pPr>
              <w:pStyle w:val="TableContents"/>
              <w:bidi w:val="0"/>
              <w:spacing w:before="0" w:after="283"/>
              <w:jc w:val="left"/>
              <w:rPr/>
            </w:pPr>
            <w:r>
              <w:rPr/>
              <w:t> </w:t>
            </w:r>
          </w:p>
        </w:tc>
        <w:tc>
          <w:tcPr>
            <w:tcW w:w="156" w:type="dxa"/>
            <w:tcBorders>
              <w:bottom w:val="double" w:sz="10" w:space="0" w:color="000000"/>
            </w:tcBorders>
            <w:tcMar>
              <w:bottom w:w="28" w:type="dxa"/>
            </w:tcMar>
            <w:vAlign w:val="center"/>
          </w:tcPr>
          <w:p>
            <w:pPr>
              <w:pStyle w:val="TableContents"/>
              <w:bidi w:val="0"/>
              <w:spacing w:before="0" w:after="283"/>
              <w:jc w:val="left"/>
              <w:rPr/>
            </w:pPr>
            <w:r>
              <w:rPr/>
              <w:t> </w:t>
            </w:r>
          </w:p>
        </w:tc>
        <w:tc>
          <w:tcPr>
            <w:tcW w:w="1231" w:type="dxa"/>
            <w:tcBorders>
              <w:bottom w:val="double" w:sz="10" w:space="0" w:color="000000"/>
            </w:tcBorders>
            <w:tcMar>
              <w:bottom w:w="28" w:type="dxa"/>
            </w:tcMar>
            <w:vAlign w:val="center"/>
          </w:tcPr>
          <w:p>
            <w:pPr>
              <w:pStyle w:val="TableContents"/>
              <w:bidi w:val="0"/>
              <w:spacing w:before="0" w:after="283"/>
              <w:jc w:val="right"/>
              <w:rPr/>
            </w:pPr>
            <w:r>
              <w:rPr/>
              <w:t>18,170,108</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6" w:type="dxa"/>
            <w:tcBorders>
              <w:bottom w:val="double" w:sz="10" w:space="0" w:color="000000"/>
            </w:tcBorders>
            <w:tcMar>
              <w:bottom w:w="28" w:type="dxa"/>
            </w:tcMar>
            <w:vAlign w:val="center"/>
          </w:tcPr>
          <w:p>
            <w:pPr>
              <w:pStyle w:val="TableContents"/>
              <w:bidi w:val="0"/>
              <w:spacing w:before="0" w:after="283"/>
              <w:jc w:val="left"/>
              <w:rPr/>
            </w:pPr>
            <w:r>
              <w:rPr/>
              <w:t> </w:t>
            </w:r>
          </w:p>
        </w:tc>
        <w:tc>
          <w:tcPr>
            <w:tcW w:w="1231" w:type="dxa"/>
            <w:tcBorders>
              <w:bottom w:val="double" w:sz="10" w:space="0" w:color="000000"/>
            </w:tcBorders>
            <w:tcMar>
              <w:bottom w:w="28" w:type="dxa"/>
            </w:tcMar>
            <w:vAlign w:val="center"/>
          </w:tcPr>
          <w:p>
            <w:pPr>
              <w:pStyle w:val="TableContents"/>
              <w:bidi w:val="0"/>
              <w:spacing w:before="0" w:after="283"/>
              <w:jc w:val="right"/>
              <w:rPr/>
            </w:pPr>
            <w:r>
              <w:rPr/>
              <w:t>17,094,676</w:t>
            </w:r>
          </w:p>
        </w:tc>
        <w:tc>
          <w:tcPr>
            <w:tcW w:w="113" w:type="dxa"/>
            <w:tcBorders/>
            <w:vAlign w:val="center"/>
          </w:tcPr>
          <w:p>
            <w:pPr>
              <w:pStyle w:val="TableContents"/>
              <w:bidi w:val="0"/>
              <w:spacing w:before="0" w:after="283"/>
              <w:jc w:val="left"/>
              <w:rPr/>
            </w:pPr>
            <w:r>
              <w:rPr/>
              <w:t> </w:t>
            </w:r>
          </w:p>
        </w:tc>
      </w:tr>
      <w:tr>
        <w:trPr/>
        <w:tc>
          <w:tcPr>
            <w:tcW w:w="7087" w:type="dxa"/>
            <w:tcBorders/>
            <w:shd w:fill="CCEEFF" w:val="clear"/>
            <w:vAlign w:val="center"/>
          </w:tcPr>
          <w:p>
            <w:pPr>
              <w:pStyle w:val="TableContents"/>
              <w:bidi w:val="0"/>
              <w:spacing w:before="0" w:after="283"/>
              <w:jc w:val="left"/>
              <w:rPr/>
            </w:pPr>
            <w:r>
              <w:rPr/>
              <w:t>Loss per share – basic</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1" w:type="dxa"/>
            <w:tcBorders>
              <w:bottom w:val="double" w:sz="10" w:space="0" w:color="000000"/>
            </w:tcBorders>
            <w:shd w:fill="CCEEFF" w:val="clear"/>
            <w:tcMar>
              <w:bottom w:w="28" w:type="dxa"/>
            </w:tcMar>
            <w:vAlign w:val="center"/>
          </w:tcPr>
          <w:p>
            <w:pPr>
              <w:pStyle w:val="TableContents"/>
              <w:bidi w:val="0"/>
              <w:spacing w:before="0" w:after="283"/>
              <w:jc w:val="right"/>
              <w:rPr/>
            </w:pPr>
            <w:r>
              <w:rPr/>
              <w:t>(0.38</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1" w:type="dxa"/>
            <w:tcBorders>
              <w:bottom w:val="double" w:sz="10" w:space="0" w:color="000000"/>
            </w:tcBorders>
            <w:shd w:fill="CCEEFF" w:val="clear"/>
            <w:tcMar>
              <w:bottom w:w="28" w:type="dxa"/>
            </w:tcMar>
            <w:vAlign w:val="center"/>
          </w:tcPr>
          <w:p>
            <w:pPr>
              <w:pStyle w:val="TableContents"/>
              <w:bidi w:val="0"/>
              <w:spacing w:before="0" w:after="283"/>
              <w:jc w:val="right"/>
              <w:rPr/>
            </w:pPr>
            <w:r>
              <w:rPr/>
              <w:t>(0.37</w:t>
            </w:r>
          </w:p>
        </w:tc>
        <w:tc>
          <w:tcPr>
            <w:tcW w:w="113" w:type="dxa"/>
            <w:tcBorders/>
            <w:shd w:fill="CCEEFF" w:val="clear"/>
            <w:vAlign w:val="center"/>
          </w:tcPr>
          <w:p>
            <w:pPr>
              <w:pStyle w:val="TableContents"/>
              <w:bidi w:val="0"/>
              <w:spacing w:before="0" w:after="283"/>
              <w:jc w:val="left"/>
              <w:rPr/>
            </w:pPr>
            <w:r>
              <w:rPr/>
              <w:t>)</w:t>
            </w:r>
          </w:p>
        </w:tc>
      </w:tr>
      <w:tr>
        <w:trPr/>
        <w:tc>
          <w:tcPr>
            <w:tcW w:w="7087" w:type="dxa"/>
            <w:tcBorders/>
            <w:vAlign w:val="center"/>
          </w:tcPr>
          <w:p>
            <w:pPr>
              <w:pStyle w:val="TableContents"/>
              <w:bidi w:val="0"/>
              <w:spacing w:before="0" w:after="283"/>
              <w:jc w:val="left"/>
              <w:rPr/>
            </w:pPr>
            <w:r>
              <w:rPr/>
              <w:t>Loss per share – diluted</w:t>
            </w:r>
          </w:p>
        </w:tc>
        <w:tc>
          <w:tcPr>
            <w:tcW w:w="60" w:type="dxa"/>
            <w:tcBorders/>
            <w:vAlign w:val="center"/>
          </w:tcPr>
          <w:p>
            <w:pPr>
              <w:pStyle w:val="TableContents"/>
              <w:bidi w:val="0"/>
              <w:spacing w:before="0" w:after="283"/>
              <w:jc w:val="left"/>
              <w:rPr/>
            </w:pPr>
            <w:r>
              <w:rPr/>
              <w:t> </w:t>
            </w:r>
          </w:p>
        </w:tc>
        <w:tc>
          <w:tcPr>
            <w:tcW w:w="156" w:type="dxa"/>
            <w:tcBorders>
              <w:bottom w:val="double" w:sz="10" w:space="0" w:color="000000"/>
            </w:tcBorders>
            <w:tcMar>
              <w:bottom w:w="28" w:type="dxa"/>
            </w:tcMar>
            <w:vAlign w:val="center"/>
          </w:tcPr>
          <w:p>
            <w:pPr>
              <w:pStyle w:val="TableContents"/>
              <w:bidi w:val="0"/>
              <w:spacing w:before="0" w:after="283"/>
              <w:jc w:val="left"/>
              <w:rPr/>
            </w:pPr>
            <w:r>
              <w:rPr/>
              <w:t>$</w:t>
            </w:r>
          </w:p>
        </w:tc>
        <w:tc>
          <w:tcPr>
            <w:tcW w:w="1231" w:type="dxa"/>
            <w:tcBorders>
              <w:bottom w:val="double" w:sz="10" w:space="0" w:color="000000"/>
            </w:tcBorders>
            <w:tcMar>
              <w:bottom w:w="28" w:type="dxa"/>
            </w:tcMar>
            <w:vAlign w:val="center"/>
          </w:tcPr>
          <w:p>
            <w:pPr>
              <w:pStyle w:val="TableContents"/>
              <w:bidi w:val="0"/>
              <w:spacing w:before="0" w:after="283"/>
              <w:jc w:val="right"/>
              <w:rPr/>
            </w:pPr>
            <w:r>
              <w:rPr/>
              <w:t>(0.38</w:t>
            </w:r>
          </w:p>
        </w:tc>
        <w:tc>
          <w:tcPr>
            <w:tcW w:w="105" w:type="dxa"/>
            <w:tcBorders/>
            <w:vAlign w:val="center"/>
          </w:tcPr>
          <w:p>
            <w:pPr>
              <w:pStyle w:val="TableContents"/>
              <w:bidi w:val="0"/>
              <w:spacing w:before="0" w:after="283"/>
              <w:jc w:val="left"/>
              <w:rPr/>
            </w:pPr>
            <w:r>
              <w:rPr/>
              <w:t>)</w:t>
            </w:r>
          </w:p>
        </w:tc>
        <w:tc>
          <w:tcPr>
            <w:tcW w:w="66" w:type="dxa"/>
            <w:tcBorders/>
            <w:vAlign w:val="center"/>
          </w:tcPr>
          <w:p>
            <w:pPr>
              <w:pStyle w:val="TableContents"/>
              <w:bidi w:val="0"/>
              <w:spacing w:before="0" w:after="283"/>
              <w:jc w:val="left"/>
              <w:rPr/>
            </w:pPr>
            <w:r>
              <w:rPr/>
              <w:t> </w:t>
            </w:r>
          </w:p>
        </w:tc>
        <w:tc>
          <w:tcPr>
            <w:tcW w:w="156" w:type="dxa"/>
            <w:tcBorders>
              <w:bottom w:val="double" w:sz="10" w:space="0" w:color="000000"/>
            </w:tcBorders>
            <w:tcMar>
              <w:bottom w:w="28" w:type="dxa"/>
            </w:tcMar>
            <w:vAlign w:val="center"/>
          </w:tcPr>
          <w:p>
            <w:pPr>
              <w:pStyle w:val="TableContents"/>
              <w:bidi w:val="0"/>
              <w:spacing w:before="0" w:after="283"/>
              <w:jc w:val="left"/>
              <w:rPr/>
            </w:pPr>
            <w:r>
              <w:rPr/>
              <w:t>$</w:t>
            </w:r>
          </w:p>
        </w:tc>
        <w:tc>
          <w:tcPr>
            <w:tcW w:w="1231" w:type="dxa"/>
            <w:tcBorders>
              <w:bottom w:val="double" w:sz="10" w:space="0" w:color="000000"/>
            </w:tcBorders>
            <w:tcMar>
              <w:bottom w:w="28" w:type="dxa"/>
            </w:tcMar>
            <w:vAlign w:val="center"/>
          </w:tcPr>
          <w:p>
            <w:pPr>
              <w:pStyle w:val="TableContents"/>
              <w:bidi w:val="0"/>
              <w:spacing w:before="0" w:after="283"/>
              <w:jc w:val="right"/>
              <w:rPr/>
            </w:pPr>
            <w:r>
              <w:rPr/>
              <w:t>(0.37</w:t>
            </w:r>
          </w:p>
        </w:tc>
        <w:tc>
          <w:tcPr>
            <w:tcW w:w="113"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f_003"/>
      <w:bookmarkEnd w:id="6"/>
      <w:r>
        <w:rPr>
          <w:rFonts w:ascii="Times New Roman;Times;Serif" w:hAnsi="Times New Roman;Times;Serif"/>
          <w:b/>
          <w:i w:val="false"/>
          <w:caps w:val="false"/>
          <w:smallCaps w:val="false"/>
          <w:sz w:val="20"/>
        </w:rPr>
        <w:t>CONDENSED CONSOLIDATED STATEMENTS OF CHANGES IN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4"/>
        <w:gridCol w:w="60"/>
        <w:gridCol w:w="60"/>
        <w:gridCol w:w="1100"/>
        <w:gridCol w:w="60"/>
        <w:gridCol w:w="60"/>
        <w:gridCol w:w="301"/>
        <w:gridCol w:w="559"/>
        <w:gridCol w:w="60"/>
        <w:gridCol w:w="60"/>
        <w:gridCol w:w="60"/>
        <w:gridCol w:w="1055"/>
        <w:gridCol w:w="95"/>
        <w:gridCol w:w="60"/>
        <w:gridCol w:w="301"/>
        <w:gridCol w:w="559"/>
        <w:gridCol w:w="95"/>
        <w:gridCol w:w="60"/>
        <w:gridCol w:w="164"/>
        <w:gridCol w:w="948"/>
        <w:gridCol w:w="95"/>
        <w:gridCol w:w="60"/>
        <w:gridCol w:w="214"/>
        <w:gridCol w:w="1156"/>
        <w:gridCol w:w="95"/>
        <w:gridCol w:w="60"/>
        <w:gridCol w:w="140"/>
        <w:gridCol w:w="800"/>
        <w:gridCol w:w="84"/>
      </w:tblGrid>
      <w:tr>
        <w:trPr/>
        <w:tc>
          <w:tcPr>
            <w:tcW w:w="1784"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2" w:type="dxa"/>
            <w:gridSpan w:val="2"/>
            <w:tcBorders/>
            <w:vAlign w:val="center"/>
          </w:tcPr>
          <w:p>
            <w:pPr>
              <w:pStyle w:val="TableContents"/>
              <w:bidi w:val="0"/>
              <w:spacing w:before="0" w:after="283"/>
              <w:jc w:val="center"/>
              <w:rPr>
                <w:b/>
              </w:rPr>
            </w:pPr>
            <w:r>
              <w:rPr>
                <w:b/>
              </w:rPr>
              <w:t xml:space="preserve">Additional </w:t>
              <w:br/>
              <w:t>Paid 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ind w:left="0" w:right="0" w:hanging="180"/>
              <w:jc w:val="center"/>
              <w:rPr/>
            </w:pPr>
            <w:r>
              <w:rPr/>
              <w:t> </w:t>
            </w:r>
          </w:p>
        </w:tc>
      </w:tr>
      <w:tr>
        <w:trPr/>
        <w:tc>
          <w:tcPr>
            <w:tcW w:w="17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4" w:type="dxa"/>
            <w:tcBorders/>
            <w:vAlign w:val="center"/>
          </w:tcPr>
          <w:p>
            <w:pPr>
              <w:pStyle w:val="TableContents"/>
              <w:bidi w:val="0"/>
              <w:spacing w:before="0" w:after="283"/>
              <w:ind w:left="0" w:right="0" w:hanging="180"/>
              <w:jc w:val="center"/>
              <w:rPr/>
            </w:pPr>
            <w:r>
              <w:rPr/>
              <w:t> </w:t>
            </w:r>
          </w:p>
        </w:tc>
      </w:tr>
      <w:tr>
        <w:trPr/>
        <w:tc>
          <w:tcPr>
            <w:tcW w:w="1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1784" w:type="dxa"/>
            <w:tcBorders/>
            <w:shd w:fill="CCEEFF" w:val="clear"/>
            <w:vAlign w:val="center"/>
          </w:tcPr>
          <w:p>
            <w:pPr>
              <w:pStyle w:val="TableContents"/>
              <w:bidi w:val="0"/>
              <w:spacing w:before="0" w:after="283"/>
              <w:jc w:val="left"/>
              <w:rPr/>
            </w:pPr>
            <w:r>
              <w:rPr/>
              <w:t>Balance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19,899,679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(1,741,397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190,793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(64,258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126,553</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1784" w:type="dxa"/>
            <w:tcBorders/>
            <w:shd w:fill="CCEEFF" w:val="clear"/>
            <w:vAlign w:val="center"/>
          </w:tcPr>
          <w:p>
            <w:pPr>
              <w:pStyle w:val="TableContents"/>
              <w:bidi w:val="0"/>
              <w:spacing w:before="0" w:after="283"/>
              <w:jc w:val="left"/>
              <w:rPr/>
            </w:pPr>
            <w:r>
              <w:rPr/>
              <w:t>Stock 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784" w:type="dxa"/>
            <w:tcBorders/>
            <w:vAlign w:val="center"/>
          </w:tcPr>
          <w:p>
            <w:pPr>
              <w:pStyle w:val="TableContents"/>
              <w:bidi w:val="0"/>
              <w:spacing w:before="0" w:after="283"/>
              <w:jc w:val="left"/>
              <w:rPr/>
            </w:pPr>
            <w:r>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1,353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1,353</w:t>
            </w:r>
          </w:p>
        </w:tc>
        <w:tc>
          <w:tcPr>
            <w:tcW w:w="84" w:type="dxa"/>
            <w:tcBorders/>
            <w:vAlign w:val="center"/>
          </w:tcPr>
          <w:p>
            <w:pPr>
              <w:pStyle w:val="TableContents"/>
              <w:bidi w:val="0"/>
              <w:spacing w:before="0" w:after="283"/>
              <w:ind w:left="0" w:right="0" w:hanging="180"/>
              <w:jc w:val="left"/>
              <w:rPr/>
            </w:pPr>
            <w:r>
              <w:rPr/>
              <w:t> </w:t>
            </w:r>
          </w:p>
        </w:tc>
      </w:tr>
      <w:tr>
        <w:trPr/>
        <w:tc>
          <w:tcPr>
            <w:tcW w:w="1784" w:type="dxa"/>
            <w:tcBorders/>
            <w:shd w:fill="CCEEFF" w:val="clear"/>
            <w:vAlign w:val="center"/>
          </w:tcPr>
          <w:p>
            <w:pPr>
              <w:pStyle w:val="TableContents"/>
              <w:bidi w:val="0"/>
              <w:spacing w:before="0" w:after="283"/>
              <w:jc w:val="left"/>
              <w:rPr/>
            </w:pPr>
            <w:r>
              <w:rPr/>
              <w:t>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1,671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1,671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784" w:type="dxa"/>
            <w:tcBorders/>
            <w:vAlign w:val="center"/>
          </w:tcPr>
          <w:p>
            <w:pPr>
              <w:pStyle w:val="TableContents"/>
              <w:bidi w:val="0"/>
              <w:spacing w:before="0" w:after="283"/>
              <w:jc w:val="left"/>
              <w:rPr/>
            </w:pPr>
            <w:r>
              <w:rPr/>
              <w:t>Issuance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1784" w:type="dxa"/>
            <w:tcBorders/>
            <w:shd w:fill="CCEEFF" w:val="clear"/>
            <w:vAlign w:val="center"/>
          </w:tcPr>
          <w:p>
            <w:pPr>
              <w:pStyle w:val="TableContents"/>
              <w:bidi w:val="0"/>
              <w:spacing w:before="0" w:after="283"/>
              <w:jc w:val="left"/>
              <w:rPr/>
            </w:pPr>
            <w:r>
              <w:rPr/>
              <w:t>For 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784" w:type="dxa"/>
            <w:tcBorders/>
            <w:vAlign w:val="center"/>
          </w:tcPr>
          <w:p>
            <w:pPr>
              <w:pStyle w:val="TableContents"/>
              <w:bidi w:val="0"/>
              <w:spacing w:before="0" w:after="283"/>
              <w:jc w:val="left"/>
              <w:rPr/>
            </w:pPr>
            <w:r>
              <w:rPr/>
              <w:t>For restricted stock units vested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(140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(140</w:t>
            </w:r>
          </w:p>
        </w:tc>
        <w:tc>
          <w:tcPr>
            <w:tcW w:w="84" w:type="dxa"/>
            <w:tcBorders/>
            <w:vAlign w:val="center"/>
          </w:tcPr>
          <w:p>
            <w:pPr>
              <w:pStyle w:val="TableContents"/>
              <w:bidi w:val="0"/>
              <w:spacing w:before="0" w:after="283"/>
              <w:ind w:left="0" w:right="0" w:hanging="180"/>
              <w:jc w:val="left"/>
              <w:rPr/>
            </w:pPr>
            <w:r>
              <w:rPr/>
              <w:t>)</w:t>
            </w:r>
          </w:p>
        </w:tc>
      </w:tr>
      <w:tr>
        <w:trPr/>
        <w:tc>
          <w:tcPr>
            <w:tcW w:w="178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(6,899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(6,899</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1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1784" w:type="dxa"/>
            <w:tcBorders/>
            <w:shd w:fill="CCEEFF" w:val="clear"/>
            <w:vAlign w:val="center"/>
          </w:tcPr>
          <w:p>
            <w:pPr>
              <w:pStyle w:val="TableContents"/>
              <w:bidi w:val="0"/>
              <w:spacing w:before="0" w:after="283"/>
              <w:jc w:val="left"/>
              <w:rPr/>
            </w:pPr>
            <w:r>
              <w:rPr/>
              <w:t>Balance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19,921,879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10" w:space="0" w:color="000000"/>
            </w:tcBorders>
            <w:shd w:fill="CCEEFF" w:val="clear"/>
            <w:tcMar>
              <w:bottom w:w="28" w:type="dxa"/>
            </w:tcM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(1,741,397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10"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8" w:type="dxa"/>
            <w:tcBorders>
              <w:bottom w:val="double" w:sz="10" w:space="0" w:color="000000"/>
            </w:tcBorders>
            <w:shd w:fill="CCEEFF" w:val="clear"/>
            <w:tcMar>
              <w:bottom w:w="28" w:type="dxa"/>
            </w:tcMar>
            <w:vAlign w:val="center"/>
          </w:tcPr>
          <w:p>
            <w:pPr>
              <w:pStyle w:val="TableContents"/>
              <w:bidi w:val="0"/>
              <w:spacing w:before="0" w:after="283"/>
              <w:jc w:val="right"/>
              <w:rPr/>
            </w:pPr>
            <w:r>
              <w:rPr/>
              <w:t>193,677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double" w:sz="10" w:space="0" w:color="000000"/>
            </w:tcBorders>
            <w:shd w:fill="CCEEFF" w:val="clear"/>
            <w:tcMar>
              <w:bottom w:w="28" w:type="dxa"/>
            </w:tcMar>
            <w:vAlign w:val="center"/>
          </w:tcPr>
          <w:p>
            <w:pPr>
              <w:pStyle w:val="TableContents"/>
              <w:bidi w:val="0"/>
              <w:spacing w:before="0" w:after="283"/>
              <w:jc w:val="right"/>
              <w:rPr/>
            </w:pPr>
            <w:r>
              <w:rPr/>
              <w:t>(71,157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122,538</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f_004"/>
      <w:bookmarkEnd w:id="7"/>
      <w:r>
        <w:rPr>
          <w:rFonts w:ascii="Times New Roman;Times;Serif" w:hAnsi="Times New Roman;Times;Serif"/>
          <w:b/>
          <w:i w:val="false"/>
          <w:caps w:val="false"/>
          <w:smallCaps w:val="false"/>
          <w:sz w:val="20"/>
        </w:rPr>
        <w:t>CONDENSED CONSOLIDATED STATEMENTS OF CHANGES IN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4"/>
        <w:gridCol w:w="60"/>
        <w:gridCol w:w="60"/>
        <w:gridCol w:w="1100"/>
        <w:gridCol w:w="60"/>
        <w:gridCol w:w="60"/>
        <w:gridCol w:w="207"/>
        <w:gridCol w:w="653"/>
        <w:gridCol w:w="60"/>
        <w:gridCol w:w="60"/>
        <w:gridCol w:w="60"/>
        <w:gridCol w:w="1055"/>
        <w:gridCol w:w="95"/>
        <w:gridCol w:w="60"/>
        <w:gridCol w:w="202"/>
        <w:gridCol w:w="658"/>
        <w:gridCol w:w="95"/>
        <w:gridCol w:w="60"/>
        <w:gridCol w:w="140"/>
        <w:gridCol w:w="800"/>
        <w:gridCol w:w="95"/>
        <w:gridCol w:w="60"/>
        <w:gridCol w:w="214"/>
        <w:gridCol w:w="1156"/>
        <w:gridCol w:w="95"/>
        <w:gridCol w:w="60"/>
        <w:gridCol w:w="140"/>
        <w:gridCol w:w="800"/>
        <w:gridCol w:w="86"/>
      </w:tblGrid>
      <w:tr>
        <w:trPr/>
        <w:tc>
          <w:tcPr>
            <w:tcW w:w="1954"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ind w:left="0" w:right="0" w:hanging="180"/>
              <w:jc w:val="center"/>
              <w:rPr/>
            </w:pPr>
            <w:r>
              <w:rPr/>
              <w:t> </w:t>
            </w:r>
          </w:p>
        </w:tc>
      </w:tr>
      <w:tr>
        <w:trPr/>
        <w:tc>
          <w:tcPr>
            <w:tcW w:w="19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6" w:type="dxa"/>
            <w:tcBorders/>
            <w:vAlign w:val="center"/>
          </w:tcPr>
          <w:p>
            <w:pPr>
              <w:pStyle w:val="TableContents"/>
              <w:bidi w:val="0"/>
              <w:spacing w:before="0" w:after="283"/>
              <w:ind w:left="0" w:right="0" w:hanging="180"/>
              <w:jc w:val="left"/>
              <w:rPr/>
            </w:pPr>
            <w:r>
              <w:rPr/>
              <w:t> </w:t>
            </w:r>
          </w:p>
        </w:tc>
      </w:tr>
      <w:tr>
        <w:trPr/>
        <w:tc>
          <w:tcPr>
            <w:tcW w:w="19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1954" w:type="dxa"/>
            <w:tcBorders/>
            <w:shd w:fill="CCEEFF" w:val="clear"/>
            <w:vAlign w:val="center"/>
          </w:tcPr>
          <w:p>
            <w:pPr>
              <w:pStyle w:val="TableContents"/>
              <w:bidi w:val="0"/>
              <w:spacing w:before="0" w:after="283"/>
              <w:jc w:val="left"/>
              <w:rPr/>
            </w:pPr>
            <w:r>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18,288,571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   </w:t>
            </w: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(1,214,398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r>
              <w:rPr/>
              <w:t>    </w:t>
            </w: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172,786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(46,692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126,111</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9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1954" w:type="dxa"/>
            <w:tcBorders/>
            <w:shd w:fill="CCEEFF" w:val="clear"/>
            <w:vAlign w:val="center"/>
          </w:tcPr>
          <w:p>
            <w:pPr>
              <w:pStyle w:val="TableContents"/>
              <w:bidi w:val="0"/>
              <w:spacing w:before="0" w:after="283"/>
              <w:jc w:val="left"/>
              <w:rPr/>
            </w:pPr>
            <w:r>
              <w:rPr/>
              <w:t>Stock 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954" w:type="dxa"/>
            <w:tcBorders/>
            <w:vAlign w:val="center"/>
          </w:tcPr>
          <w:p>
            <w:pPr>
              <w:pStyle w:val="TableContents"/>
              <w:bidi w:val="0"/>
              <w:spacing w:before="0" w:after="283"/>
              <w:jc w:val="left"/>
              <w:rPr/>
            </w:pPr>
            <w:r>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1,467</w:t>
            </w:r>
          </w:p>
        </w:tc>
        <w:tc>
          <w:tcPr>
            <w:tcW w:w="86" w:type="dxa"/>
            <w:tcBorders/>
            <w:vAlign w:val="center"/>
          </w:tcPr>
          <w:p>
            <w:pPr>
              <w:pStyle w:val="TableContents"/>
              <w:bidi w:val="0"/>
              <w:spacing w:before="0" w:after="283"/>
              <w:ind w:left="0" w:right="0" w:hanging="180"/>
              <w:jc w:val="left"/>
              <w:rPr/>
            </w:pPr>
            <w:r>
              <w:rPr/>
              <w:t> </w:t>
            </w:r>
          </w:p>
        </w:tc>
      </w:tr>
      <w:tr>
        <w:trPr/>
        <w:tc>
          <w:tcPr>
            <w:tcW w:w="1954" w:type="dxa"/>
            <w:tcBorders/>
            <w:shd w:fill="CCEEFF" w:val="clear"/>
            <w:vAlign w:val="center"/>
          </w:tcPr>
          <w:p>
            <w:pPr>
              <w:pStyle w:val="TableContents"/>
              <w:bidi w:val="0"/>
              <w:spacing w:before="0" w:after="283"/>
              <w:jc w:val="left"/>
              <w:rPr/>
            </w:pPr>
            <w:r>
              <w:rPr/>
              <w:t>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2,914</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954" w:type="dxa"/>
            <w:tcBorders/>
            <w:vAlign w:val="center"/>
          </w:tcPr>
          <w:p>
            <w:pPr>
              <w:pStyle w:val="TableContents"/>
              <w:bidi w:val="0"/>
              <w:spacing w:before="0" w:after="283"/>
              <w:jc w:val="left"/>
              <w:rPr/>
            </w:pPr>
            <w:r>
              <w:rPr/>
              <w:t>Issuance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1954" w:type="dxa"/>
            <w:tcBorders/>
            <w:shd w:fill="CCEEFF" w:val="clear"/>
            <w:vAlign w:val="center"/>
          </w:tcPr>
          <w:p>
            <w:pPr>
              <w:pStyle w:val="TableContents"/>
              <w:bidi w:val="0"/>
              <w:spacing w:before="0" w:after="283"/>
              <w:jc w:val="left"/>
              <w:rPr/>
            </w:pPr>
            <w:r>
              <w:rPr/>
              <w:t>For 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1954" w:type="dxa"/>
            <w:tcBorders/>
            <w:vAlign w:val="center"/>
          </w:tcPr>
          <w:p>
            <w:pPr>
              <w:pStyle w:val="TableContents"/>
              <w:bidi w:val="0"/>
              <w:spacing w:before="0" w:after="283"/>
              <w:jc w:val="left"/>
              <w:rPr/>
            </w:pPr>
            <w:r>
              <w:rPr/>
              <w:t>For restricted stock units vested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33,272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(171</w:t>
            </w:r>
          </w:p>
        </w:tc>
        <w:tc>
          <w:tcPr>
            <w:tcW w:w="86" w:type="dxa"/>
            <w:tcBorders/>
            <w:vAlign w:val="center"/>
          </w:tcPr>
          <w:p>
            <w:pPr>
              <w:pStyle w:val="TableContents"/>
              <w:bidi w:val="0"/>
              <w:spacing w:before="0" w:after="283"/>
              <w:ind w:left="0" w:right="0" w:hanging="180"/>
              <w:jc w:val="left"/>
              <w:rPr/>
            </w:pPr>
            <w:r>
              <w:rPr/>
              <w:t>)</w:t>
            </w:r>
          </w:p>
        </w:tc>
      </w:tr>
      <w:tr>
        <w:trPr/>
        <w:tc>
          <w:tcPr>
            <w:tcW w:w="195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(6,398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(6,398</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19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1954" w:type="dxa"/>
            <w:tcBorders/>
            <w:shd w:fill="CCEEFF" w:val="clear"/>
            <w:vAlign w:val="center"/>
          </w:tcPr>
          <w:p>
            <w:pPr>
              <w:pStyle w:val="TableContents"/>
              <w:bidi w:val="0"/>
              <w:spacing w:before="0" w:after="283"/>
              <w:jc w:val="left"/>
              <w:rPr/>
            </w:pPr>
            <w:r>
              <w:rPr/>
              <w:t>Balance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18,331,511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3" w:type="dxa"/>
            <w:tcBorders>
              <w:bottom w:val="double" w:sz="10" w:space="0" w:color="000000"/>
            </w:tcBorders>
            <w:shd w:fill="CCEEFF" w:val="clear"/>
            <w:tcMar>
              <w:bottom w:w="28" w:type="dxa"/>
            </w:tcM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(1,214,398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8" w:type="dxa"/>
            <w:tcBorders>
              <w:bottom w:val="double" w:sz="10"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177,036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double" w:sz="10" w:space="0" w:color="000000"/>
            </w:tcBorders>
            <w:shd w:fill="CCEEFF" w:val="clear"/>
            <w:tcMar>
              <w:bottom w:w="28" w:type="dxa"/>
            </w:tcMar>
            <w:vAlign w:val="center"/>
          </w:tcPr>
          <w:p>
            <w:pPr>
              <w:pStyle w:val="TableContents"/>
              <w:bidi w:val="0"/>
              <w:spacing w:before="0" w:after="283"/>
              <w:jc w:val="right"/>
              <w:rPr/>
            </w:pPr>
            <w:r>
              <w:rPr/>
              <w:t>(53,090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123,963</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f_005"/>
      <w:bookmarkEnd w:id="8"/>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37"/>
        <w:gridCol w:w="60"/>
        <w:gridCol w:w="202"/>
        <w:gridCol w:w="981"/>
        <w:gridCol w:w="136"/>
        <w:gridCol w:w="85"/>
        <w:gridCol w:w="202"/>
        <w:gridCol w:w="1089"/>
        <w:gridCol w:w="113"/>
      </w:tblGrid>
      <w:tr>
        <w:trPr/>
        <w:tc>
          <w:tcPr>
            <w:tcW w:w="73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113" w:type="dxa"/>
            <w:tcBorders/>
            <w:vAlign w:val="center"/>
          </w:tcPr>
          <w:p>
            <w:pPr>
              <w:pStyle w:val="TableContents"/>
              <w:bidi w:val="0"/>
              <w:spacing w:before="0" w:after="283"/>
              <w:jc w:val="left"/>
              <w:rPr/>
            </w:pPr>
            <w:r>
              <w:rPr/>
              <w:t> </w:t>
            </w:r>
          </w:p>
        </w:tc>
      </w:tr>
      <w:tr>
        <w:trPr/>
        <w:tc>
          <w:tcPr>
            <w:tcW w:w="73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3" w:type="dxa"/>
            <w:tcBorders/>
            <w:vAlign w:val="center"/>
          </w:tcPr>
          <w:p>
            <w:pPr>
              <w:pStyle w:val="TableContents"/>
              <w:bidi w:val="0"/>
              <w:spacing w:before="0" w:after="283"/>
              <w:jc w:val="left"/>
              <w:rPr/>
            </w:pPr>
            <w:r>
              <w:rPr/>
              <w:t> </w:t>
            </w:r>
          </w:p>
        </w:tc>
      </w:tr>
      <w:tr>
        <w:trPr/>
        <w:tc>
          <w:tcPr>
            <w:tcW w:w="7337" w:type="dxa"/>
            <w:tcBorders/>
            <w:vAlign w:val="center"/>
          </w:tcPr>
          <w:p>
            <w:pPr>
              <w:pStyle w:val="TableContents"/>
              <w:bidi w:val="0"/>
              <w:spacing w:before="0" w:after="283"/>
              <w:jc w:val="left"/>
              <w:rPr>
                <w:b/>
              </w:rPr>
            </w:pPr>
            <w:r>
              <w:rPr>
                <w:b/>
              </w:rPr>
              <w:t>OPERATING ACTIVITIES:</w:t>
            </w:r>
          </w:p>
        </w:tc>
        <w:tc>
          <w:tcPr>
            <w:tcW w:w="60" w:type="dxa"/>
            <w:tcBorders/>
            <w:vAlign w:val="center"/>
          </w:tcPr>
          <w:p>
            <w:pPr>
              <w:pStyle w:val="TableContents"/>
              <w:bidi w:val="0"/>
              <w:spacing w:before="0" w:after="283"/>
              <w:jc w:val="left"/>
              <w:rPr/>
            </w:pPr>
            <w:r>
              <w:rPr/>
              <w:t> </w:t>
            </w:r>
          </w:p>
        </w:tc>
        <w:tc>
          <w:tcPr>
            <w:tcW w:w="1183" w:type="dxa"/>
            <w:gridSpan w:val="2"/>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91"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81" w:type="dxa"/>
            <w:tcBorders/>
            <w:shd w:fill="CCEEFF" w:val="clear"/>
            <w:vAlign w:val="center"/>
          </w:tcPr>
          <w:p>
            <w:pPr>
              <w:pStyle w:val="TableContents"/>
              <w:bidi w:val="0"/>
              <w:spacing w:before="0" w:after="283"/>
              <w:jc w:val="right"/>
              <w:rPr/>
            </w:pPr>
            <w:r>
              <w:rPr/>
              <w:t>(6,899</w:t>
            </w:r>
          </w:p>
        </w:tc>
        <w:tc>
          <w:tcPr>
            <w:tcW w:w="136"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089" w:type="dxa"/>
            <w:tcBorders/>
            <w:shd w:fill="CCEEFF" w:val="clear"/>
            <w:vAlign w:val="center"/>
          </w:tcPr>
          <w:p>
            <w:pPr>
              <w:pStyle w:val="TableContents"/>
              <w:bidi w:val="0"/>
              <w:spacing w:before="0" w:after="283"/>
              <w:jc w:val="right"/>
              <w:rPr/>
            </w:pPr>
            <w:r>
              <w:rPr/>
              <w:t>(6,398</w:t>
            </w:r>
          </w:p>
        </w:tc>
        <w:tc>
          <w:tcPr>
            <w:tcW w:w="113" w:type="dxa"/>
            <w:tcBorders/>
            <w:shd w:fill="CCEEFF" w:val="clear"/>
            <w:vAlign w:val="center"/>
          </w:tcPr>
          <w:p>
            <w:pPr>
              <w:pStyle w:val="TableContents"/>
              <w:bidi w:val="0"/>
              <w:spacing w:before="0" w:after="283"/>
              <w:jc w:val="left"/>
              <w:rPr/>
            </w:pPr>
            <w:r>
              <w:rPr/>
              <w:t>)</w:t>
            </w:r>
          </w:p>
        </w:tc>
      </w:tr>
      <w:tr>
        <w:trPr/>
        <w:tc>
          <w:tcPr>
            <w:tcW w:w="7337" w:type="dxa"/>
            <w:tcBorders/>
            <w:vAlign w:val="center"/>
          </w:tcPr>
          <w:p>
            <w:pPr>
              <w:pStyle w:val="TableContents"/>
              <w:bidi w:val="0"/>
              <w:spacing w:before="0" w:after="283"/>
              <w:jc w:val="left"/>
              <w:rPr/>
            </w:pPr>
            <w:r>
              <w:rPr/>
              <w:t>Adjustments to reconcile net loss to net cash provided by (used in) provided by operating activities:</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1,067</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464</w:t>
            </w:r>
          </w:p>
        </w:tc>
        <w:tc>
          <w:tcPr>
            <w:tcW w:w="113" w:type="dxa"/>
            <w:tcBorders/>
            <w:shd w:fill="CCEEFF" w:val="clear"/>
            <w:vAlign w:val="center"/>
          </w:tcPr>
          <w:p>
            <w:pPr>
              <w:pStyle w:val="TableContents"/>
              <w:bidi w:val="0"/>
              <w:spacing w:before="0" w:after="283"/>
              <w:jc w:val="left"/>
              <w:rPr/>
            </w:pPr>
            <w:r>
              <w:rPr/>
              <w:t> </w:t>
            </w:r>
          </w:p>
        </w:tc>
      </w:tr>
      <w:tr>
        <w:trPr/>
        <w:tc>
          <w:tcPr>
            <w:tcW w:w="7337" w:type="dxa"/>
            <w:tcBorders/>
            <w:vAlign w:val="center"/>
          </w:tcPr>
          <w:p>
            <w:pPr>
              <w:pStyle w:val="TableContents"/>
              <w:bidi w:val="0"/>
              <w:spacing w:before="0" w:after="283"/>
              <w:jc w:val="left"/>
              <w:rPr/>
            </w:pPr>
            <w:r>
              <w:rPr/>
              <w:t>Stock-based compensation</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3,024</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4,381</w:t>
            </w:r>
          </w:p>
        </w:tc>
        <w:tc>
          <w:tcPr>
            <w:tcW w:w="113" w:type="dxa"/>
            <w:tcBorders/>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283"/>
              <w:jc w:val="left"/>
              <w:rPr/>
            </w:pPr>
            <w:r>
              <w:rPr/>
              <w:t>Bad debt expense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132</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128</w:t>
            </w:r>
          </w:p>
        </w:tc>
        <w:tc>
          <w:tcPr>
            <w:tcW w:w="113" w:type="dxa"/>
            <w:tcBorders/>
            <w:shd w:fill="CCEEFF" w:val="clear"/>
            <w:vAlign w:val="center"/>
          </w:tcPr>
          <w:p>
            <w:pPr>
              <w:pStyle w:val="TableContents"/>
              <w:bidi w:val="0"/>
              <w:spacing w:before="0" w:after="283"/>
              <w:jc w:val="left"/>
              <w:rPr/>
            </w:pPr>
            <w:r>
              <w:rPr/>
              <w:t> </w:t>
            </w:r>
          </w:p>
        </w:tc>
      </w:tr>
      <w:tr>
        <w:trPr/>
        <w:tc>
          <w:tcPr>
            <w:tcW w:w="7337" w:type="dxa"/>
            <w:tcBorders/>
            <w:vAlign w:val="center"/>
          </w:tcPr>
          <w:p>
            <w:pPr>
              <w:pStyle w:val="TableContents"/>
              <w:bidi w:val="0"/>
              <w:spacing w:before="0" w:after="283"/>
              <w:jc w:val="left"/>
              <w:rPr/>
            </w:pPr>
            <w:r>
              <w:rPr/>
              <w:t>Amortization of debt issuance costs</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182</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0"/>
              <w:jc w:val="right"/>
              <w:rPr/>
            </w:pPr>
            <w:r>
              <w:rPr/>
              <w:t>—</w:t>
            </w:r>
          </w:p>
        </w:tc>
        <w:tc>
          <w:tcPr>
            <w:tcW w:w="113" w:type="dxa"/>
            <w:tcBorders/>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283"/>
              <w:jc w:val="left"/>
              <w:rPr/>
            </w:pPr>
            <w:r>
              <w:rPr/>
              <w:t>Changes in:</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37" w:type="dxa"/>
            <w:tcBorders/>
            <w:vAlign w:val="center"/>
          </w:tcPr>
          <w:p>
            <w:pPr>
              <w:pStyle w:val="TableContents"/>
              <w:bidi w:val="0"/>
              <w:spacing w:before="0" w:after="283"/>
              <w:jc w:val="left"/>
              <w:rPr/>
            </w:pPr>
            <w:r>
              <w:rPr/>
              <w:t>Accounts receivable</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6,373</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3,862</w:t>
            </w:r>
          </w:p>
        </w:tc>
        <w:tc>
          <w:tcPr>
            <w:tcW w:w="113" w:type="dxa"/>
            <w:tcBorders/>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800</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(1,734</w:t>
            </w:r>
          </w:p>
        </w:tc>
        <w:tc>
          <w:tcPr>
            <w:tcW w:w="113" w:type="dxa"/>
            <w:tcBorders/>
            <w:shd w:fill="CCEEFF" w:val="clear"/>
            <w:vAlign w:val="center"/>
          </w:tcPr>
          <w:p>
            <w:pPr>
              <w:pStyle w:val="TableContents"/>
              <w:bidi w:val="0"/>
              <w:spacing w:before="0" w:after="283"/>
              <w:jc w:val="left"/>
              <w:rPr/>
            </w:pPr>
            <w:r>
              <w:rPr/>
              <w:t>)</w:t>
            </w:r>
          </w:p>
        </w:tc>
      </w:tr>
      <w:tr>
        <w:trPr/>
        <w:tc>
          <w:tcPr>
            <w:tcW w:w="7337" w:type="dxa"/>
            <w:tcBorders/>
            <w:vAlign w:val="center"/>
          </w:tcPr>
          <w:p>
            <w:pPr>
              <w:pStyle w:val="TableContents"/>
              <w:bidi w:val="0"/>
              <w:spacing w:before="0" w:after="283"/>
              <w:jc w:val="left"/>
              <w:rPr/>
            </w:pPr>
            <w:r>
              <w:rPr/>
              <w:t>Accounts payable</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(562</w:t>
            </w:r>
          </w:p>
        </w:tc>
        <w:tc>
          <w:tcPr>
            <w:tcW w:w="136" w:type="dxa"/>
            <w:tcBorders/>
            <w:vAlign w:val="center"/>
          </w:tcPr>
          <w:p>
            <w:pPr>
              <w:pStyle w:val="TableContents"/>
              <w:bidi w:val="0"/>
              <w:spacing w:before="0" w:after="283"/>
              <w:jc w:val="left"/>
              <w:rPr/>
            </w:pPr>
            <w:r>
              <w:rPr/>
              <w:t>)</w:t>
            </w:r>
          </w:p>
        </w:tc>
        <w:tc>
          <w:tcPr>
            <w:tcW w:w="8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(261</w:t>
            </w:r>
          </w:p>
        </w:tc>
        <w:tc>
          <w:tcPr>
            <w:tcW w:w="113" w:type="dxa"/>
            <w:tcBorders/>
            <w:vAlign w:val="center"/>
          </w:tcPr>
          <w:p>
            <w:pPr>
              <w:pStyle w:val="TableContents"/>
              <w:bidi w:val="0"/>
              <w:spacing w:before="0" w:after="283"/>
              <w:jc w:val="left"/>
              <w:rPr/>
            </w:pPr>
            <w:r>
              <w:rPr/>
              <w:t>)</w:t>
            </w:r>
          </w:p>
        </w:tc>
      </w:tr>
      <w:tr>
        <w:trPr/>
        <w:tc>
          <w:tcPr>
            <w:tcW w:w="7337" w:type="dxa"/>
            <w:tcBorders/>
            <w:shd w:fill="CCEEFF" w:val="clear"/>
            <w:vAlign w:val="center"/>
          </w:tcPr>
          <w:p>
            <w:pPr>
              <w:pStyle w:val="TableContents"/>
              <w:bidi w:val="0"/>
              <w:spacing w:before="0" w:after="283"/>
              <w:jc w:val="left"/>
              <w:rPr/>
            </w:pPr>
            <w:r>
              <w:rPr/>
              <w:t>Revenue share payable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(2,692</w:t>
            </w:r>
          </w:p>
        </w:tc>
        <w:tc>
          <w:tcPr>
            <w:tcW w:w="136"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(623</w:t>
            </w:r>
          </w:p>
        </w:tc>
        <w:tc>
          <w:tcPr>
            <w:tcW w:w="113" w:type="dxa"/>
            <w:tcBorders/>
            <w:shd w:fill="CCEEFF" w:val="clear"/>
            <w:vAlign w:val="center"/>
          </w:tcPr>
          <w:p>
            <w:pPr>
              <w:pStyle w:val="TableContents"/>
              <w:bidi w:val="0"/>
              <w:spacing w:before="0" w:after="283"/>
              <w:jc w:val="left"/>
              <w:rPr/>
            </w:pPr>
            <w:r>
              <w:rPr/>
              <w:t>)</w:t>
            </w:r>
          </w:p>
        </w:tc>
      </w:tr>
      <w:tr>
        <w:trPr/>
        <w:tc>
          <w:tcPr>
            <w:tcW w:w="7337" w:type="dxa"/>
            <w:tcBorders/>
            <w:vAlign w:val="center"/>
          </w:tcPr>
          <w:p>
            <w:pPr>
              <w:pStyle w:val="TableContents"/>
              <w:bidi w:val="0"/>
              <w:spacing w:before="0" w:after="283"/>
              <w:jc w:val="left"/>
              <w:rPr/>
            </w:pPr>
            <w:r>
              <w:rPr/>
              <w:t>Accrued expenses and other liabilities</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(362</w:t>
            </w:r>
          </w:p>
        </w:tc>
        <w:tc>
          <w:tcPr>
            <w:tcW w:w="136" w:type="dxa"/>
            <w:tcBorders/>
            <w:vAlign w:val="center"/>
          </w:tcPr>
          <w:p>
            <w:pPr>
              <w:pStyle w:val="TableContents"/>
              <w:bidi w:val="0"/>
              <w:spacing w:before="0" w:after="283"/>
              <w:jc w:val="left"/>
              <w:rPr/>
            </w:pPr>
            <w:r>
              <w:rPr/>
              <w:t>)</w:t>
            </w:r>
          </w:p>
        </w:tc>
        <w:tc>
          <w:tcPr>
            <w:tcW w:w="8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(476</w:t>
            </w:r>
          </w:p>
        </w:tc>
        <w:tc>
          <w:tcPr>
            <w:tcW w:w="113" w:type="dxa"/>
            <w:tcBorders/>
            <w:vAlign w:val="center"/>
          </w:tcPr>
          <w:p>
            <w:pPr>
              <w:pStyle w:val="TableContents"/>
              <w:bidi w:val="0"/>
              <w:spacing w:before="0" w:after="283"/>
              <w:jc w:val="left"/>
              <w:rPr/>
            </w:pPr>
            <w:r>
              <w:rPr/>
              <w:t>)</w:t>
            </w:r>
          </w:p>
        </w:tc>
      </w:tr>
      <w:tr>
        <w:trPr/>
        <w:tc>
          <w:tcPr>
            <w:tcW w:w="7337"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323</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0"/>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37" w:type="dxa"/>
            <w:tcBorders/>
            <w:vAlign w:val="center"/>
          </w:tcPr>
          <w:p>
            <w:pPr>
              <w:pStyle w:val="TableContents"/>
              <w:bidi w:val="0"/>
              <w:spacing w:before="0" w:after="283"/>
              <w:jc w:val="left"/>
              <w:rPr/>
            </w:pPr>
            <w:r>
              <w:rPr/>
              <w:t>Deferred revenue</w:t>
            </w:r>
          </w:p>
        </w:tc>
        <w:tc>
          <w:tcPr>
            <w:tcW w:w="6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283"/>
              <w:jc w:val="right"/>
              <w:rPr/>
            </w:pPr>
            <w:r>
              <w:rPr/>
              <w:t>732</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tcMar>
              <w:bottom w:w="28" w:type="dxa"/>
            </w:tcMar>
            <w:vAlign w:val="center"/>
          </w:tcPr>
          <w:p>
            <w:pPr>
              <w:pStyle w:val="TableContents"/>
              <w:bidi w:val="0"/>
              <w:spacing w:before="0" w:after="283"/>
              <w:jc w:val="right"/>
              <w:rPr/>
            </w:pPr>
            <w:r>
              <w:rPr/>
              <w:t>571</w:t>
            </w:r>
          </w:p>
        </w:tc>
        <w:tc>
          <w:tcPr>
            <w:tcW w:w="113" w:type="dxa"/>
            <w:tcBorders/>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283"/>
              <w:jc w:val="left"/>
              <w:rPr>
                <w:b/>
              </w:rPr>
            </w:pPr>
            <w:r>
              <w:rPr>
                <w:b/>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shd w:fill="CCEEFF" w:val="clear"/>
            <w:tcMar>
              <w:bottom w:w="28" w:type="dxa"/>
            </w:tcMar>
            <w:vAlign w:val="center"/>
          </w:tcPr>
          <w:p>
            <w:pPr>
              <w:pStyle w:val="TableContents"/>
              <w:bidi w:val="0"/>
              <w:spacing w:before="0" w:after="283"/>
              <w:jc w:val="right"/>
              <w:rPr/>
            </w:pPr>
            <w:r>
              <w:rPr/>
              <w:t>2,118</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center"/>
          </w:tcPr>
          <w:p>
            <w:pPr>
              <w:pStyle w:val="TableContents"/>
              <w:bidi w:val="0"/>
              <w:spacing w:before="0" w:after="283"/>
              <w:jc w:val="right"/>
              <w:rPr/>
            </w:pPr>
            <w:r>
              <w:rPr/>
              <w:t>(86</w:t>
            </w:r>
          </w:p>
        </w:tc>
        <w:tc>
          <w:tcPr>
            <w:tcW w:w="113" w:type="dxa"/>
            <w:tcBorders/>
            <w:shd w:fill="CCEEFF" w:val="clear"/>
            <w:vAlign w:val="center"/>
          </w:tcPr>
          <w:p>
            <w:pPr>
              <w:pStyle w:val="TableContents"/>
              <w:bidi w:val="0"/>
              <w:spacing w:before="0" w:after="283"/>
              <w:jc w:val="left"/>
              <w:rPr/>
            </w:pPr>
            <w:r>
              <w:rPr/>
              <w:t>)</w:t>
            </w:r>
          </w:p>
        </w:tc>
      </w:tr>
      <w:tr>
        <w:trPr/>
        <w:tc>
          <w:tcPr>
            <w:tcW w:w="73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283"/>
              <w:jc w:val="left"/>
              <w:rPr>
                <w:b/>
              </w:rPr>
            </w:pPr>
            <w:r>
              <w:rPr>
                <w:b/>
              </w:rPr>
              <w:t>INVESTING ACTIVITIES: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37" w:type="dxa"/>
            <w:tcBorders/>
            <w:vAlign w:val="center"/>
          </w:tcPr>
          <w:p>
            <w:pPr>
              <w:pStyle w:val="TableContents"/>
              <w:bidi w:val="0"/>
              <w:spacing w:before="0" w:after="283"/>
              <w:jc w:val="left"/>
              <w:rPr/>
            </w:pPr>
            <w:r>
              <w:rPr/>
              <w:t>Purchase of property and equipment</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(32</w:t>
            </w:r>
          </w:p>
        </w:tc>
        <w:tc>
          <w:tcPr>
            <w:tcW w:w="136" w:type="dxa"/>
            <w:tcBorders/>
            <w:vAlign w:val="center"/>
          </w:tcPr>
          <w:p>
            <w:pPr>
              <w:pStyle w:val="TableContents"/>
              <w:bidi w:val="0"/>
              <w:spacing w:before="0" w:after="283"/>
              <w:jc w:val="left"/>
              <w:rPr/>
            </w:pPr>
            <w:r>
              <w:rPr/>
              <w:t>)</w:t>
            </w:r>
          </w:p>
        </w:tc>
        <w:tc>
          <w:tcPr>
            <w:tcW w:w="8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(29</w:t>
            </w:r>
          </w:p>
        </w:tc>
        <w:tc>
          <w:tcPr>
            <w:tcW w:w="113" w:type="dxa"/>
            <w:tcBorders/>
            <w:vAlign w:val="center"/>
          </w:tcPr>
          <w:p>
            <w:pPr>
              <w:pStyle w:val="TableContents"/>
              <w:bidi w:val="0"/>
              <w:spacing w:before="0" w:after="283"/>
              <w:jc w:val="left"/>
              <w:rPr/>
            </w:pPr>
            <w:r>
              <w:rPr/>
              <w:t>)</w:t>
            </w:r>
          </w:p>
        </w:tc>
      </w:tr>
      <w:tr>
        <w:trPr/>
        <w:tc>
          <w:tcPr>
            <w:tcW w:w="7337" w:type="dxa"/>
            <w:tcBorders/>
            <w:shd w:fill="CCEEFF" w:val="clear"/>
            <w:vAlign w:val="center"/>
          </w:tcPr>
          <w:p>
            <w:pPr>
              <w:pStyle w:val="TableContents"/>
              <w:bidi w:val="0"/>
              <w:spacing w:before="0" w:after="283"/>
              <w:jc w:val="left"/>
              <w:rPr/>
            </w:pPr>
            <w:r>
              <w:rPr/>
              <w:t>Purchases of held-to-maturity investments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(56,927</w:t>
            </w:r>
          </w:p>
        </w:tc>
        <w:tc>
          <w:tcPr>
            <w:tcW w:w="113" w:type="dxa"/>
            <w:tcBorders/>
            <w:shd w:fill="CCEEFF" w:val="clear"/>
            <w:vAlign w:val="center"/>
          </w:tcPr>
          <w:p>
            <w:pPr>
              <w:pStyle w:val="TableContents"/>
              <w:bidi w:val="0"/>
              <w:spacing w:before="0" w:after="283"/>
              <w:jc w:val="left"/>
              <w:rPr/>
            </w:pPr>
            <w:r>
              <w:rPr/>
              <w:t>)</w:t>
            </w:r>
          </w:p>
        </w:tc>
      </w:tr>
      <w:tr>
        <w:trPr/>
        <w:tc>
          <w:tcPr>
            <w:tcW w:w="7337" w:type="dxa"/>
            <w:tcBorders/>
            <w:vAlign w:val="center"/>
          </w:tcPr>
          <w:p>
            <w:pPr>
              <w:pStyle w:val="TableContents"/>
              <w:bidi w:val="0"/>
              <w:spacing w:before="0" w:after="283"/>
              <w:jc w:val="left"/>
              <w:rPr/>
            </w:pPr>
            <w:r>
              <w:rPr/>
              <w:t>Redemptions of held-to-maturity investments</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55,600</w:t>
            </w:r>
          </w:p>
        </w:tc>
        <w:tc>
          <w:tcPr>
            <w:tcW w:w="113" w:type="dxa"/>
            <w:tcBorders/>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283"/>
              <w:jc w:val="left"/>
              <w:rPr/>
            </w:pPr>
            <w:r>
              <w:rPr/>
              <w:t>Capitalized software development costs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shd w:fill="CCEEFF" w:val="clear"/>
            <w:tcMar>
              <w:bottom w:w="28" w:type="dxa"/>
            </w:tcMar>
            <w:vAlign w:val="center"/>
          </w:tcPr>
          <w:p>
            <w:pPr>
              <w:pStyle w:val="TableContents"/>
              <w:bidi w:val="0"/>
              <w:spacing w:before="0" w:after="283"/>
              <w:jc w:val="right"/>
              <w:rPr/>
            </w:pPr>
            <w:r>
              <w:rPr/>
              <w:t>(121</w:t>
            </w:r>
          </w:p>
        </w:tc>
        <w:tc>
          <w:tcPr>
            <w:tcW w:w="136"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center"/>
          </w:tcPr>
          <w:p>
            <w:pPr>
              <w:pStyle w:val="TableContents"/>
              <w:bidi w:val="0"/>
              <w:spacing w:before="0" w:after="283"/>
              <w:jc w:val="right"/>
              <w:rPr/>
            </w:pPr>
            <w:r>
              <w:rPr/>
              <w:t>(194</w:t>
            </w:r>
          </w:p>
        </w:tc>
        <w:tc>
          <w:tcPr>
            <w:tcW w:w="113" w:type="dxa"/>
            <w:tcBorders/>
            <w:shd w:fill="CCEEFF" w:val="clear"/>
            <w:vAlign w:val="center"/>
          </w:tcPr>
          <w:p>
            <w:pPr>
              <w:pStyle w:val="TableContents"/>
              <w:bidi w:val="0"/>
              <w:spacing w:before="0" w:after="283"/>
              <w:jc w:val="left"/>
              <w:rPr/>
            </w:pPr>
            <w:r>
              <w:rPr/>
              <w:t>)</w:t>
            </w:r>
          </w:p>
        </w:tc>
      </w:tr>
      <w:tr>
        <w:trPr/>
        <w:tc>
          <w:tcPr>
            <w:tcW w:w="7337" w:type="dxa"/>
            <w:tcBorders/>
            <w:vAlign w:val="center"/>
          </w:tcPr>
          <w:p>
            <w:pPr>
              <w:pStyle w:val="TableContents"/>
              <w:bidi w:val="0"/>
              <w:spacing w:before="0" w:after="283"/>
              <w:jc w:val="left"/>
              <w:rPr>
                <w:b/>
              </w:rPr>
            </w:pPr>
            <w:r>
              <w:rPr>
                <w:b/>
              </w:rPr>
              <w:t>NET CASH USED IN INVESTING ACTIVITIES</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(153</w:t>
            </w:r>
          </w:p>
        </w:tc>
        <w:tc>
          <w:tcPr>
            <w:tcW w:w="136" w:type="dxa"/>
            <w:tcBorders/>
            <w:vAlign w:val="center"/>
          </w:tcPr>
          <w:p>
            <w:pPr>
              <w:pStyle w:val="TableContents"/>
              <w:bidi w:val="0"/>
              <w:spacing w:before="0" w:after="283"/>
              <w:jc w:val="left"/>
              <w:rPr/>
            </w:pPr>
            <w:r>
              <w:rPr/>
              <w:t>)</w:t>
            </w:r>
          </w:p>
        </w:tc>
        <w:tc>
          <w:tcPr>
            <w:tcW w:w="8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(1,550</w:t>
            </w:r>
          </w:p>
        </w:tc>
        <w:tc>
          <w:tcPr>
            <w:tcW w:w="113" w:type="dxa"/>
            <w:tcBorders/>
            <w:vAlign w:val="center"/>
          </w:tcPr>
          <w:p>
            <w:pPr>
              <w:pStyle w:val="TableContents"/>
              <w:bidi w:val="0"/>
              <w:spacing w:before="0" w:after="283"/>
              <w:jc w:val="left"/>
              <w:rPr/>
            </w:pPr>
            <w:r>
              <w:rPr/>
              <w:t>)</w:t>
            </w:r>
          </w:p>
        </w:tc>
      </w:tr>
      <w:tr>
        <w:trPr/>
        <w:tc>
          <w:tcPr>
            <w:tcW w:w="73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37" w:type="dxa"/>
            <w:tcBorders/>
            <w:vAlign w:val="center"/>
          </w:tcPr>
          <w:p>
            <w:pPr>
              <w:pStyle w:val="TableContents"/>
              <w:bidi w:val="0"/>
              <w:spacing w:before="0" w:after="283"/>
              <w:jc w:val="left"/>
              <w:rPr>
                <w:b/>
              </w:rPr>
            </w:pPr>
            <w:r>
              <w:rPr>
                <w:b/>
              </w:rPr>
              <w:t>FINANCING ACTIVITIES:</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283"/>
              <w:jc w:val="left"/>
              <w:rPr/>
            </w:pPr>
            <w:r>
              <w:rPr/>
              <w:t>Cash paid for employee withholding taxes related to the vesting of restricted stock units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(140</w:t>
            </w:r>
          </w:p>
        </w:tc>
        <w:tc>
          <w:tcPr>
            <w:tcW w:w="136"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(171</w:t>
            </w:r>
          </w:p>
        </w:tc>
        <w:tc>
          <w:tcPr>
            <w:tcW w:w="113" w:type="dxa"/>
            <w:tcBorders/>
            <w:shd w:fill="CCEEFF" w:val="clear"/>
            <w:vAlign w:val="center"/>
          </w:tcPr>
          <w:p>
            <w:pPr>
              <w:pStyle w:val="TableContents"/>
              <w:bidi w:val="0"/>
              <w:spacing w:before="0" w:after="283"/>
              <w:jc w:val="left"/>
              <w:rPr/>
            </w:pPr>
            <w:r>
              <w:rPr/>
              <w:t>)</w:t>
            </w:r>
          </w:p>
        </w:tc>
      </w:tr>
      <w:tr>
        <w:trPr/>
        <w:tc>
          <w:tcPr>
            <w:tcW w:w="7337" w:type="dxa"/>
            <w:tcBorders/>
            <w:vAlign w:val="center"/>
          </w:tcPr>
          <w:p>
            <w:pPr>
              <w:pStyle w:val="TableContents"/>
              <w:bidi w:val="0"/>
              <w:spacing w:before="0" w:after="283"/>
              <w:jc w:val="left"/>
              <w:rPr/>
            </w:pPr>
            <w:r>
              <w:rPr/>
              <w:t>Proceeds from exercise of stock options</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0"/>
              <w:jc w:val="right"/>
              <w:rPr/>
            </w:pPr>
            <w:r>
              <w:rPr/>
              <w:t>—</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40</w:t>
            </w:r>
          </w:p>
        </w:tc>
        <w:tc>
          <w:tcPr>
            <w:tcW w:w="113" w:type="dxa"/>
            <w:tcBorders/>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283"/>
              <w:jc w:val="left"/>
              <w:rPr/>
            </w:pPr>
            <w:r>
              <w:rPr/>
              <w:t>Repayment of long-term debt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shd w:fill="CCEEFF" w:val="clear"/>
            <w:tcMar>
              <w:bottom w:w="28" w:type="dxa"/>
            </w:tcMar>
            <w:vAlign w:val="center"/>
          </w:tcPr>
          <w:p>
            <w:pPr>
              <w:pStyle w:val="TableContents"/>
              <w:bidi w:val="0"/>
              <w:spacing w:before="0" w:after="283"/>
              <w:jc w:val="right"/>
              <w:rPr/>
            </w:pPr>
            <w:r>
              <w:rPr/>
              <w:t>(500</w:t>
            </w:r>
          </w:p>
        </w:tc>
        <w:tc>
          <w:tcPr>
            <w:tcW w:w="136"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37" w:type="dxa"/>
            <w:tcBorders/>
            <w:vAlign w:val="center"/>
          </w:tcPr>
          <w:p>
            <w:pPr>
              <w:pStyle w:val="TableContents"/>
              <w:bidi w:val="0"/>
              <w:spacing w:before="0" w:after="283"/>
              <w:jc w:val="left"/>
              <w:rPr>
                <w:b/>
              </w:rPr>
            </w:pPr>
            <w:r>
              <w:rPr>
                <w:b/>
              </w:rPr>
              <w:t>NET CASH USED IN FINANCING ACTIVITIES</w:t>
            </w:r>
          </w:p>
        </w:tc>
        <w:tc>
          <w:tcPr>
            <w:tcW w:w="6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283"/>
              <w:jc w:val="right"/>
              <w:rPr/>
            </w:pPr>
            <w:r>
              <w:rPr/>
              <w:t>(640</w:t>
            </w:r>
          </w:p>
        </w:tc>
        <w:tc>
          <w:tcPr>
            <w:tcW w:w="136" w:type="dxa"/>
            <w:tcBorders/>
            <w:vAlign w:val="center"/>
          </w:tcPr>
          <w:p>
            <w:pPr>
              <w:pStyle w:val="TableContents"/>
              <w:bidi w:val="0"/>
              <w:spacing w:before="0" w:after="283"/>
              <w:jc w:val="left"/>
              <w:rPr/>
            </w:pPr>
            <w:r>
              <w:rPr/>
              <w:t>)</w:t>
            </w:r>
          </w:p>
        </w:tc>
        <w:tc>
          <w:tcPr>
            <w:tcW w:w="85"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tcMar>
              <w:bottom w:w="28" w:type="dxa"/>
            </w:tcMar>
            <w:vAlign w:val="center"/>
          </w:tcPr>
          <w:p>
            <w:pPr>
              <w:pStyle w:val="TableContents"/>
              <w:bidi w:val="0"/>
              <w:spacing w:before="0" w:after="283"/>
              <w:jc w:val="right"/>
              <w:rPr/>
            </w:pPr>
            <w:r>
              <w:rPr/>
              <w:t>(131</w:t>
            </w:r>
          </w:p>
        </w:tc>
        <w:tc>
          <w:tcPr>
            <w:tcW w:w="113" w:type="dxa"/>
            <w:tcBorders/>
            <w:vAlign w:val="center"/>
          </w:tcPr>
          <w:p>
            <w:pPr>
              <w:pStyle w:val="TableContents"/>
              <w:bidi w:val="0"/>
              <w:spacing w:before="0" w:after="283"/>
              <w:jc w:val="left"/>
              <w:rPr/>
            </w:pPr>
            <w:r>
              <w:rPr/>
              <w:t>)</w:t>
            </w:r>
          </w:p>
        </w:tc>
      </w:tr>
      <w:tr>
        <w:trPr/>
        <w:tc>
          <w:tcPr>
            <w:tcW w:w="7337" w:type="dxa"/>
            <w:tcBorders/>
            <w:shd w:fill="CCEEFF" w:val="clear"/>
            <w:vAlign w:val="center"/>
          </w:tcPr>
          <w:p>
            <w:pPr>
              <w:pStyle w:val="TableContents"/>
              <w:bidi w:val="0"/>
              <w:spacing w:before="0" w:after="283"/>
              <w:jc w:val="left"/>
              <w:rPr>
                <w:b/>
              </w:rPr>
            </w:pPr>
            <w:r>
              <w:rPr>
                <w:b/>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1,325</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(1,767</w:t>
            </w:r>
          </w:p>
        </w:tc>
        <w:tc>
          <w:tcPr>
            <w:tcW w:w="113" w:type="dxa"/>
            <w:tcBorders/>
            <w:shd w:fill="CCEEFF" w:val="clear"/>
            <w:vAlign w:val="center"/>
          </w:tcPr>
          <w:p>
            <w:pPr>
              <w:pStyle w:val="TableContents"/>
              <w:bidi w:val="0"/>
              <w:spacing w:before="0" w:after="283"/>
              <w:jc w:val="left"/>
              <w:rPr/>
            </w:pPr>
            <w:r>
              <w:rPr/>
              <w:t>)</w:t>
            </w:r>
          </w:p>
        </w:tc>
      </w:tr>
      <w:tr>
        <w:trPr/>
        <w:tc>
          <w:tcPr>
            <w:tcW w:w="7337" w:type="dxa"/>
            <w:tcBorders/>
            <w:vAlign w:val="center"/>
          </w:tcPr>
          <w:p>
            <w:pPr>
              <w:pStyle w:val="TableContents"/>
              <w:bidi w:val="0"/>
              <w:spacing w:before="0" w:after="283"/>
              <w:jc w:val="left"/>
              <w:rPr>
                <w:b/>
              </w:rPr>
            </w:pPr>
            <w:r>
              <w:rPr>
                <w:b/>
              </w:rPr>
              <w:t>CASH AND CASH EQUIVALENTS - BEGINNING OF PERIOD</w:t>
            </w:r>
          </w:p>
        </w:tc>
        <w:tc>
          <w:tcPr>
            <w:tcW w:w="6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283"/>
              <w:jc w:val="right"/>
              <w:rPr/>
            </w:pPr>
            <w:r>
              <w:rPr/>
              <w:t>13,852</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tcMar>
              <w:bottom w:w="28" w:type="dxa"/>
            </w:tcMar>
            <w:vAlign w:val="center"/>
          </w:tcPr>
          <w:p>
            <w:pPr>
              <w:pStyle w:val="TableContents"/>
              <w:bidi w:val="0"/>
              <w:spacing w:before="0" w:after="283"/>
              <w:jc w:val="right"/>
              <w:rPr/>
            </w:pPr>
            <w:r>
              <w:rPr/>
              <w:t>18,210</w:t>
            </w:r>
          </w:p>
        </w:tc>
        <w:tc>
          <w:tcPr>
            <w:tcW w:w="113" w:type="dxa"/>
            <w:tcBorders/>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283"/>
              <w:jc w:val="left"/>
              <w:rPr>
                <w:b/>
              </w:rPr>
            </w:pPr>
            <w:r>
              <w:rPr>
                <w:b/>
              </w:rPr>
              <w:t>CASH AND CASH EQUIVALENTS - END OF PERIOD</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1" w:type="dxa"/>
            <w:tcBorders>
              <w:bottom w:val="double" w:sz="10" w:space="0" w:color="000000"/>
            </w:tcBorders>
            <w:shd w:fill="CCEEFF" w:val="clear"/>
            <w:tcMar>
              <w:bottom w:w="28" w:type="dxa"/>
            </w:tcMar>
            <w:vAlign w:val="center"/>
          </w:tcPr>
          <w:p>
            <w:pPr>
              <w:pStyle w:val="TableContents"/>
              <w:bidi w:val="0"/>
              <w:spacing w:before="0" w:after="283"/>
              <w:jc w:val="right"/>
              <w:rPr/>
            </w:pPr>
            <w:r>
              <w:rPr/>
              <w:t>15,177</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9" w:type="dxa"/>
            <w:tcBorders>
              <w:bottom w:val="double" w:sz="10" w:space="0" w:color="000000"/>
            </w:tcBorders>
            <w:shd w:fill="CCEEFF" w:val="clear"/>
            <w:tcMar>
              <w:bottom w:w="28" w:type="dxa"/>
            </w:tcMar>
            <w:vAlign w:val="center"/>
          </w:tcPr>
          <w:p>
            <w:pPr>
              <w:pStyle w:val="TableContents"/>
              <w:bidi w:val="0"/>
              <w:spacing w:before="0" w:after="283"/>
              <w:jc w:val="right"/>
              <w:rPr/>
            </w:pPr>
            <w:r>
              <w:rPr/>
              <w:t>16,441</w:t>
            </w:r>
          </w:p>
        </w:tc>
        <w:tc>
          <w:tcPr>
            <w:tcW w:w="113" w:type="dxa"/>
            <w:tcBorders/>
            <w:shd w:fill="CCEEFF" w:val="clear"/>
            <w:vAlign w:val="center"/>
          </w:tcPr>
          <w:p>
            <w:pPr>
              <w:pStyle w:val="TableContents"/>
              <w:bidi w:val="0"/>
              <w:spacing w:before="0" w:after="283"/>
              <w:jc w:val="left"/>
              <w:rPr/>
            </w:pPr>
            <w:r>
              <w:rPr/>
              <w:t> </w:t>
            </w:r>
          </w:p>
        </w:tc>
      </w:tr>
      <w:tr>
        <w:trPr/>
        <w:tc>
          <w:tcPr>
            <w:tcW w:w="73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283"/>
              <w:jc w:val="left"/>
              <w:rPr>
                <w:b/>
              </w:rPr>
            </w:pPr>
            <w:r>
              <w:rPr>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37" w:type="dxa"/>
            <w:tcBorders/>
            <w:vAlign w:val="center"/>
          </w:tcPr>
          <w:p>
            <w:pPr>
              <w:pStyle w:val="TableContents"/>
              <w:bidi w:val="0"/>
              <w:spacing w:before="0" w:after="283"/>
              <w:jc w:val="left"/>
              <w:rPr/>
            </w:pPr>
            <w:r>
              <w:rPr/>
              <w:t>Cash paid for interest</w:t>
            </w:r>
          </w:p>
        </w:tc>
        <w:tc>
          <w:tcPr>
            <w:tcW w:w="60" w:type="dxa"/>
            <w:tcBorders/>
            <w:vAlign w:val="center"/>
          </w:tcPr>
          <w:p>
            <w:pPr>
              <w:pStyle w:val="TableContents"/>
              <w:bidi w:val="0"/>
              <w:spacing w:before="0" w:after="283"/>
              <w:jc w:val="left"/>
              <w:rPr/>
            </w:pPr>
            <w:r>
              <w:rPr/>
              <w:t> </w:t>
            </w:r>
          </w:p>
        </w:tc>
        <w:tc>
          <w:tcPr>
            <w:tcW w:w="202" w:type="dxa"/>
            <w:tcBorders>
              <w:bottom w:val="double" w:sz="10" w:space="0" w:color="000000"/>
            </w:tcBorders>
            <w:tcMar>
              <w:bottom w:w="28" w:type="dxa"/>
            </w:tcMar>
            <w:vAlign w:val="center"/>
          </w:tcPr>
          <w:p>
            <w:pPr>
              <w:pStyle w:val="TableContents"/>
              <w:bidi w:val="0"/>
              <w:spacing w:before="0" w:after="283"/>
              <w:jc w:val="left"/>
              <w:rPr/>
            </w:pPr>
            <w:r>
              <w:rPr/>
              <w:t>$</w:t>
            </w:r>
          </w:p>
        </w:tc>
        <w:tc>
          <w:tcPr>
            <w:tcW w:w="981" w:type="dxa"/>
            <w:tcBorders>
              <w:bottom w:val="double" w:sz="10" w:space="0" w:color="000000"/>
            </w:tcBorders>
            <w:tcMar>
              <w:bottom w:w="28" w:type="dxa"/>
            </w:tcMar>
            <w:vAlign w:val="center"/>
          </w:tcPr>
          <w:p>
            <w:pPr>
              <w:pStyle w:val="TableContents"/>
              <w:bidi w:val="0"/>
              <w:spacing w:before="0" w:after="283"/>
              <w:jc w:val="right"/>
              <w:rPr/>
            </w:pPr>
            <w:r>
              <w:rPr/>
              <w:t>1,350</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2" w:type="dxa"/>
            <w:tcBorders>
              <w:bottom w:val="double" w:sz="10" w:space="0" w:color="000000"/>
            </w:tcBorders>
            <w:tcMar>
              <w:bottom w:w="28" w:type="dxa"/>
            </w:tcMar>
            <w:vAlign w:val="center"/>
          </w:tcPr>
          <w:p>
            <w:pPr>
              <w:pStyle w:val="TableContents"/>
              <w:bidi w:val="0"/>
              <w:spacing w:before="0" w:after="283"/>
              <w:jc w:val="left"/>
              <w:rPr/>
            </w:pPr>
            <w:r>
              <w:rPr/>
              <w:t>$</w:t>
            </w:r>
          </w:p>
        </w:tc>
        <w:tc>
          <w:tcPr>
            <w:tcW w:w="1089" w:type="dxa"/>
            <w:tcBorders>
              <w:bottom w:val="double" w:sz="10" w:space="0" w:color="000000"/>
            </w:tcBorders>
            <w:tcMar>
              <w:bottom w:w="28" w:type="dxa"/>
            </w:tcMar>
            <w:vAlign w:val="center"/>
          </w:tcPr>
          <w:p>
            <w:pPr>
              <w:pStyle w:val="TableContents"/>
              <w:bidi w:val="0"/>
              <w:spacing w:before="0" w:after="0"/>
              <w:jc w:val="right"/>
              <w:rPr/>
            </w:pPr>
            <w:r>
              <w:rPr/>
              <w:t>—</w:t>
            </w:r>
          </w:p>
        </w:tc>
        <w:tc>
          <w:tcPr>
            <w:tcW w:w="113" w:type="dxa"/>
            <w:tcBorders/>
            <w:vAlign w:val="center"/>
          </w:tcPr>
          <w:p>
            <w:pPr>
              <w:pStyle w:val="TableContents"/>
              <w:bidi w:val="0"/>
              <w:spacing w:before="0" w:after="283"/>
              <w:jc w:val="left"/>
              <w:rPr/>
            </w:pPr>
            <w:r>
              <w:rPr/>
              <w:t> </w:t>
            </w:r>
          </w:p>
        </w:tc>
      </w:tr>
      <w:tr>
        <w:trPr/>
        <w:tc>
          <w:tcPr>
            <w:tcW w:w="7337"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1" w:type="dxa"/>
            <w:tcBorders>
              <w:bottom w:val="double" w:sz="10" w:space="0" w:color="000000"/>
            </w:tcBorders>
            <w:shd w:fill="CCEEFF" w:val="clear"/>
            <w:tcMar>
              <w:bottom w:w="28" w:type="dxa"/>
            </w:tcMar>
            <w:vAlign w:val="center"/>
          </w:tcPr>
          <w:p>
            <w:pPr>
              <w:pStyle w:val="TableContents"/>
              <w:bidi w:val="0"/>
              <w:spacing w:before="0" w:after="283"/>
              <w:jc w:val="right"/>
              <w:rPr/>
            </w:pPr>
            <w:r>
              <w:rPr/>
              <w:t>21</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9"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jc w:val="center"/>
        <w:rPr>
          <w:rFonts w:ascii="Times New Roman;Times;Serif" w:hAnsi="Times New Roman;Times;Serif"/>
          <w:b/>
          <w:i w:val="false"/>
          <w:caps w:val="false"/>
          <w:smallCaps w:val="false"/>
          <w:sz w:val="20"/>
        </w:rPr>
      </w:pPr>
      <w:bookmarkStart w:id="9" w:name="f_006"/>
      <w:bookmarkEnd w:id="9"/>
      <w:r>
        <w:rPr>
          <w:rFonts w:ascii="Times New Roman;Times;Serif" w:hAnsi="Times New Roman;Times;Serif"/>
          <w:b/>
          <w:i w:val="false"/>
          <w:caps w:val="false"/>
          <w:smallCaps w:val="false"/>
          <w:sz w:val="20"/>
        </w:rPr>
        <w:t xml:space="preserve">NOTES TO THE CONDENSED CONSOLIDATED FINANCIAL STATEMENTS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excepts share and per share data)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 NATURE OF BUSINESS AND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include OptimizeRx Corporation and its wholly owned subsidiaries (collectively, the “Company”, “we”, “our”, 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digital health technology company enabling care-focused engagement between life sciences organizations, healthcare providers, and patients at critical junctures throughout the patient care journey. Connecting over two million U.S. healthcare providers and millions of their patients through an intelligent technology platform embedded within a proprietary point-of-care network, as well as mass digital communications channels, OptimizeRx helps life sciences organizations engage and support their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for the three months ended March 31, 2024 and 2023 have been prepared by us without audit pursuant to the rules and regulations of the U.S. Securities and Exchange Commission (“SEC”). In the opinion of management, all adjustments necessary to present fairly our financial position at March 31, 2024, and our results of operations, changes in stockholders’ equity, and cash flows for the three months ended March 31, 2024 and 2023, have been made. Those adjustments consist of normal and recurring adjustments. The condensed consolidated balance sheet as of December 31, 2023, has been derived from the audited consolidated condensed balance sheet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and note disclosures, including a detailed discussion about the Company’s significant accounting policies, normally included in our annual consolidated financial statements prepared in accordance with generally accepted accounting principles have been condensed or omitted. These condensed consolidated financial statements should be read in conjunction with a reading of the consolidated financial statements and notes thereto included in our Annual Report on Form 10-K for the fiscal year ended December 31, 2023, as filed with the SEC on April 15, 2024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three months ended March 31, 2024 are not necessarily indicative of the results to be expected for the full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2023, the Company acquired 100% of the issued and outstanding preferred and common stock of Healthy Offers, Inc., a Nevada corporation d/b/a Medicx Health (“Medicx Health”) - See Part II, Item 8. Financials Statements and Supplementary Data; Note 3 - Acquisitions in our Form 10-K for additional information regarding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the pro-forma consolidated statement of operations as if Medicx Health had been included in the consolidated results of the Company for the three months ended March 31, 2023:</w:t>
      </w:r>
    </w:p>
    <w:p>
      <w:pPr>
        <w:pStyle w:val="TextBody"/>
        <w:bidi w:val="0"/>
        <w:spacing w:before="0" w:after="0"/>
        <w:ind w:left="0" w:right="0" w:hanging="0"/>
        <w:jc w:val="both"/>
        <w:rPr>
          <w:caps w:val="false"/>
          <w:smallCaps w:val="false"/>
        </w:rPr>
      </w:pPr>
      <w:r>
        <w:rPr>
          <w:caps w:val="false"/>
          <w:smallCaps w:val="false"/>
        </w:rPr>
        <w:t> </w:t>
      </w:r>
    </w:p>
    <w:tbl>
      <w:tblPr>
        <w:tblW w:w="5045" w:type="dxa"/>
        <w:jc w:val="left"/>
        <w:tblInd w:w="0" w:type="dxa"/>
        <w:tblLayout w:type="fixed"/>
        <w:tblCellMar>
          <w:top w:w="0" w:type="dxa"/>
          <w:left w:w="0" w:type="dxa"/>
          <w:bottom w:w="28" w:type="dxa"/>
          <w:right w:w="0" w:type="dxa"/>
        </w:tblCellMar>
      </w:tblPr>
      <w:tblGrid>
        <w:gridCol w:w="4055"/>
        <w:gridCol w:w="60"/>
        <w:gridCol w:w="140"/>
        <w:gridCol w:w="680"/>
        <w:gridCol w:w="110"/>
      </w:tblGrid>
      <w:tr>
        <w:trPr/>
        <w:tc>
          <w:tcPr>
            <w:tcW w:w="405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Pro-forma consolidated statement of operations</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055" w:type="dxa"/>
            <w:tcBorders/>
            <w:shd w:fill="CCEEFF" w:val="clear"/>
            <w:tcMar>
              <w:bottom w:w="0" w:type="dxa"/>
            </w:tcMar>
            <w:vAlign w:val="center"/>
          </w:tcPr>
          <w:p>
            <w:pPr>
              <w:pStyle w:val="TableContents"/>
              <w:bidi w:val="0"/>
              <w:spacing w:before="0" w:after="283"/>
              <w:jc w:val="left"/>
              <w:rPr/>
            </w:pPr>
            <w:r>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21,031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055" w:type="dxa"/>
            <w:tcBorders/>
            <w:tcMar>
              <w:bottom w:w="0" w:type="dxa"/>
            </w:tcMar>
            <w:vAlign w:val="center"/>
          </w:tcPr>
          <w:p>
            <w:pPr>
              <w:pStyle w:val="TableContents"/>
              <w:bidi w:val="0"/>
              <w:spacing w:before="0" w:after="283"/>
              <w:jc w:val="left"/>
              <w:rPr/>
            </w:pPr>
            <w:r>
              <w:rPr/>
              <w:t>Net loss</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(8,632</w:t>
            </w:r>
          </w:p>
        </w:tc>
        <w:tc>
          <w:tcPr>
            <w:tcW w:w="110"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have been calculated after applying the Company’s accounting policies, adjusting Medicx Health results to reflect the additional amortization that would have been charged assuming the fair value adjustments to intangible assets had been applied on January 1, 2023, interest expense associated with the term loan and elimination of interest income on short-term investments that were used to fund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disposed of its non-core Access solutions - See Part II, Item 8. Financials Statements and Supplementary Data; Note 7 - Goodwill and Intangible Assets in our Form 10-K for additional information regarding this transaction. A pro-forma statement of operations for the three months ended March 31, 2023, is not presented for this transaction as the pro-forma impacts were not material to the Company’s consolidated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presented in the pro-forma financial consolidated statement of operations data above includes $1,876 related to Access and other non-core solutions for which no revenue was recorded in the three months ended March 31, 2024, (see also the discussion under Net Revenues in Results of Operations for the Three Months Ended March 31, 2024 and 2023 in Part I, 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NEW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No. 2023-07 (“ASU 2023-07”), Segment Reporting (Topic 280): Improvements to Reportable Segment Disclosures. ASU 2023-07 requires annual and interim disclosures that are expected to improve reportable segment disclosures, primarily through enhanced disclosures about significant segment expenses. The provisions of ASU 2023-07 are effective for fiscal years beginning after December 15, 2023, and interim periods within fiscal years beginning after December 15, 2024, with early adoption permitted. We are currently evaluating the impact of adopting ASU 2023-07.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excepts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 CAPITALIZED SOFTWARE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certain development costs incurred in connection with software development for internal-use software platforms used in operations and for providing services to our customers. Costs incurred in the preliminary stages of development are expensed as incurred. Once software has reached the development stage, internal and external costs, if direct, are capitalized until the software is substantially complete and ready for its intended use. Capitalization ceases upon completion of all substantial testing. The Company also capitalizes costs related to specific upgrades and enhancements when it is probable the expenditures will result in additional functionality. Capitalized internal use software development costs are included in intangible assets and are amortized on a straight-line basis over the estimated useful life of the software platforms and are included in depreciation and amortization within operating expenses in the consolidated statements of operations. Amortization of capitalized internal use software expense for the three months ended March 31, 2024 and 2023 was $71 and $48, respectively. The Company accumulates capitalizable costs related to current projects in a construction in process (“CIP”) software account, the balance of which was $351 and $696 at March 31, 2024 and December 31,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ASC 606,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(“ASC Topic 606”), we record revenue when earned, rather than when billed. From time to time, we may record revenue based on our revenue recognition policies in advance of being able to invoice the customer, or we may invoice the customer prior to being able to recognize the revenue. Included in accounts receivable are unbilled amounts of $4,471 and $4,198 at March 31, 2024, and December 31, 2023, respectively. Amounts billed in advance of revenue recognition are presented as deferred revenue on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are primarily generated from content delivery activities in which the Company delivers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 The Company’s contracts are generally all less than one year and the primary performance obligation is delivery of messages, or content, but the contract may contain additional services. Additional services may include program design, which is the design of the content delivery program, set up, and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set up and reporting services to be complimentary to the primary performance obligation and recognized through performance of the delivery of content. We consider program design and related consulting services to be performance obligations separate from the delivery of messages. The net contract balance for contracts in progress at March 31, 2024 and December 31, 2023, was $33,568 and $2,021, respectively. The outstanding performance obligations are expected to be satisfied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the Company will offer sales rebates to customers based on spend volume. Rebates are typically contracted based on a quarterly or annual spend amount based on a volume threshold or tiered model. At the beginning of the year, the rebate percentage is estimated based on input from the sales team and analysis of prior year sales. Thereafter, the open contract balance for the customer is assessed quarterly to ensure the estimated rebate percentage being used for the rebate accrual remains reasonable. The estimated amount of variable consideration will be included in the transaction price only to the extent that it is probable that a significant reversal in the amount of cumulative revenue recognized will not occur when the uncertainty associated with the variable consideration is subsequently resolved. For the year ended 2023 and during the first quarter of 2024, there were two contracts with customers that included a rebate clause.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the Company also recognizes revenue for providing program performance reporting and maintenance. This reporting revenue is recognized over time as the messages are delivered. Program design, which is the design of the content delivery program, and related consulting services are recognized as services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instances, we also resell messaging solutions that are available through channel partners that are complementary to the core business and client base. These partner specific solutions are frequently similar to our own solutions and revenue recognition for these programs is the same as described above. In instances where we sell solutions on a commission basis, net revenue is recognized based on the commission-based revenue split that we receive. In instances where we resell these messaging solutions and have all financial risk and significant operation input and risk, we record the revenue based on the gross amount sold and the amount paid to the channel partner as a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excepts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 REVENUES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several signed contracts with customers for the distribution of messaging, or other services, which include payment in advance. The payments are not recorded as revenue until the revenue is earned under its revenue recognition policy. Deferred revenue was $904 and $172 as of March 31, 2024 and December 31, 2023, respectively. The contracts are all short term in nature and all revenue is expected to be recognized within 12 months, or less. The following is a summary of activity for the deferred revenue account for the three months ended March 31:</w:t>
      </w:r>
    </w:p>
    <w:p>
      <w:pPr>
        <w:pStyle w:val="TextBody"/>
        <w:bidi w:val="0"/>
        <w:spacing w:before="0" w:after="0"/>
        <w:ind w:left="0" w:right="0" w:hanging="0"/>
        <w:jc w:val="both"/>
        <w:rPr>
          <w:caps w:val="false"/>
          <w:smallCaps w:val="false"/>
        </w:rPr>
      </w:pPr>
      <w:r>
        <w:rPr>
          <w:caps w:val="false"/>
          <w:smallCaps w:val="false"/>
        </w:rPr>
        <w:t> </w:t>
      </w:r>
    </w:p>
    <w:tbl>
      <w:tblPr>
        <w:tblW w:w="3845" w:type="dxa"/>
        <w:jc w:val="left"/>
        <w:tblInd w:w="0" w:type="dxa"/>
        <w:tblLayout w:type="fixed"/>
        <w:tblCellMar>
          <w:top w:w="0" w:type="dxa"/>
          <w:left w:w="0" w:type="dxa"/>
          <w:bottom w:w="0" w:type="dxa"/>
          <w:right w:w="0" w:type="dxa"/>
        </w:tblCellMar>
      </w:tblPr>
      <w:tblGrid>
        <w:gridCol w:w="1970"/>
        <w:gridCol w:w="60"/>
        <w:gridCol w:w="140"/>
        <w:gridCol w:w="635"/>
        <w:gridCol w:w="95"/>
        <w:gridCol w:w="60"/>
        <w:gridCol w:w="140"/>
        <w:gridCol w:w="635"/>
        <w:gridCol w:w="110"/>
      </w:tblGrid>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Balance January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164</w:t>
            </w:r>
          </w:p>
        </w:tc>
        <w:tc>
          <w:tcPr>
            <w:tcW w:w="110"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Revenue recognized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(3,229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(2,444</w:t>
            </w:r>
          </w:p>
        </w:tc>
        <w:tc>
          <w:tcPr>
            <w:tcW w:w="110" w:type="dxa"/>
            <w:tcBorders/>
            <w:vAlign w:val="center"/>
          </w:tcPr>
          <w:p>
            <w:pPr>
              <w:pStyle w:val="TableContents"/>
              <w:bidi w:val="0"/>
              <w:spacing w:before="0" w:after="283"/>
              <w:jc w:val="left"/>
              <w:rPr/>
            </w:pPr>
            <w:r>
              <w:rPr/>
              <w:t>)</w:t>
            </w:r>
          </w:p>
        </w:tc>
      </w:tr>
      <w:tr>
        <w:trPr/>
        <w:tc>
          <w:tcPr>
            <w:tcW w:w="1970" w:type="dxa"/>
            <w:tcBorders/>
            <w:shd w:fill="CCEEFF" w:val="clear"/>
            <w:vAlign w:val="center"/>
          </w:tcPr>
          <w:p>
            <w:pPr>
              <w:pStyle w:val="TableContents"/>
              <w:bidi w:val="0"/>
              <w:spacing w:before="0" w:after="283"/>
              <w:jc w:val="left"/>
              <w:rPr/>
            </w:pPr>
            <w:r>
              <w:rPr/>
              <w:t>Amount collected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3,961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3,015</w:t>
            </w:r>
          </w:p>
        </w:tc>
        <w:tc>
          <w:tcPr>
            <w:tcW w:w="110"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Balance March 31</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tcMar>
              <w:bottom w:w="28" w:type="dxa"/>
            </w:tcMar>
            <w:vAlign w:val="center"/>
          </w:tcPr>
          <w:p>
            <w:pPr>
              <w:pStyle w:val="TableContents"/>
              <w:bidi w:val="0"/>
              <w:spacing w:before="0" w:after="283"/>
              <w:jc w:val="right"/>
              <w:rPr/>
            </w:pPr>
            <w:r>
              <w:rPr/>
              <w:t>904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tcMar>
              <w:bottom w:w="28" w:type="dxa"/>
            </w:tcMar>
            <w:vAlign w:val="center"/>
          </w:tcPr>
          <w:p>
            <w:pPr>
              <w:pStyle w:val="TableContents"/>
              <w:bidi w:val="0"/>
              <w:spacing w:before="0" w:after="283"/>
              <w:jc w:val="right"/>
              <w:rPr/>
            </w:pPr>
            <w:r>
              <w:rPr/>
              <w:t>735</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ASC Topic 606, we have disaggregated our revenue by timing of revenue recognition. The majority of our revenue is recognized over time as solutions are provided. A small portion of our revenue related to program development, solution architect design, and other solutions is recognized at a point in time upon delivery to customers. A break down is set forth in the table below.</w:t>
      </w:r>
    </w:p>
    <w:p>
      <w:pPr>
        <w:pStyle w:val="TextBody"/>
        <w:bidi w:val="0"/>
        <w:spacing w:before="0" w:after="0"/>
        <w:ind w:left="0" w:right="0" w:hanging="0"/>
        <w:jc w:val="both"/>
        <w:rPr>
          <w:caps w:val="false"/>
          <w:smallCaps w:val="false"/>
        </w:rPr>
      </w:pPr>
      <w:r>
        <w:rPr>
          <w:caps w:val="false"/>
          <w:smallCaps w:val="false"/>
        </w:rPr>
        <w:t> </w:t>
      </w:r>
    </w:p>
    <w:tbl>
      <w:tblPr>
        <w:tblW w:w="5946" w:type="dxa"/>
        <w:jc w:val="left"/>
        <w:tblInd w:w="0" w:type="dxa"/>
        <w:tblLayout w:type="fixed"/>
        <w:tblCellMar>
          <w:top w:w="0" w:type="dxa"/>
          <w:left w:w="0" w:type="dxa"/>
          <w:bottom w:w="0" w:type="dxa"/>
          <w:right w:w="0" w:type="dxa"/>
        </w:tblCellMar>
      </w:tblPr>
      <w:tblGrid>
        <w:gridCol w:w="3605"/>
        <w:gridCol w:w="60"/>
        <w:gridCol w:w="175"/>
        <w:gridCol w:w="853"/>
        <w:gridCol w:w="75"/>
        <w:gridCol w:w="75"/>
        <w:gridCol w:w="175"/>
        <w:gridCol w:w="853"/>
        <w:gridCol w:w="75"/>
      </w:tblGrid>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Revenue recognized over time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16,925</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12,573</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Revenue recognized at a point in time</w:t>
            </w:r>
          </w:p>
        </w:tc>
        <w:tc>
          <w:tcPr>
            <w:tcW w:w="6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tcMar>
              <w:bottom w:w="28" w:type="dxa"/>
            </w:tcMar>
            <w:vAlign w:val="center"/>
          </w:tcPr>
          <w:p>
            <w:pPr>
              <w:pStyle w:val="TableContents"/>
              <w:bidi w:val="0"/>
              <w:spacing w:before="0" w:after="283"/>
              <w:jc w:val="right"/>
              <w:rPr/>
            </w:pPr>
            <w:r>
              <w:rPr/>
              <w:t>2,765</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tcMar>
              <w:bottom w:w="28" w:type="dxa"/>
            </w:tcMar>
            <w:vAlign w:val="center"/>
          </w:tcPr>
          <w:p>
            <w:pPr>
              <w:pStyle w:val="TableContents"/>
              <w:bidi w:val="0"/>
              <w:spacing w:before="0" w:after="283"/>
              <w:jc w:val="right"/>
              <w:rPr/>
            </w:pPr>
            <w:r>
              <w:rPr/>
              <w:t>430</w:t>
            </w:r>
          </w:p>
        </w:tc>
        <w:tc>
          <w:tcPr>
            <w:tcW w:w="7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CCEEFF" w:val="clear"/>
            <w:tcMar>
              <w:bottom w:w="28" w:type="dxa"/>
            </w:tcMar>
            <w:vAlign w:val="center"/>
          </w:tcPr>
          <w:p>
            <w:pPr>
              <w:pStyle w:val="TableContents"/>
              <w:bidi w:val="0"/>
              <w:spacing w:before="0" w:after="283"/>
              <w:jc w:val="right"/>
              <w:rPr/>
            </w:pPr>
            <w:r>
              <w:rPr/>
              <w:t>19,690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CCEEFF" w:val="clear"/>
            <w:tcMar>
              <w:bottom w:w="28" w:type="dxa"/>
            </w:tcMar>
            <w:vAlign w:val="center"/>
          </w:tcPr>
          <w:p>
            <w:pPr>
              <w:pStyle w:val="TableContents"/>
              <w:bidi w:val="0"/>
              <w:spacing w:before="0" w:after="283"/>
              <w:jc w:val="right"/>
              <w:rPr/>
            </w:pPr>
            <w:r>
              <w:rPr/>
              <w:t>13,003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reported at realizable value, net of allowances for credit losses, which is estimated and recorded in the period the related revenue is recorded. The Company does not seek collateral to secure its accounts receivable and amounts billed are generally due within a short period of time based on terms and conditions normal for our industry.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If current or expected future economic trends, events, or changes in circumstances indicate that specific receivable balances may be impaired, further consideration is given to the collectability of those balances and the allowance is adjusted accordingly. Past-due receivable balances are written off when the Company’s collection efforts have been exhausted.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changes in the allowance for credit losses for the three months ended March 31,:</w:t>
      </w:r>
    </w:p>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2060"/>
        <w:gridCol w:w="60"/>
        <w:gridCol w:w="140"/>
        <w:gridCol w:w="380"/>
        <w:gridCol w:w="60"/>
        <w:gridCol w:w="60"/>
        <w:gridCol w:w="140"/>
        <w:gridCol w:w="380"/>
        <w:gridCol w:w="75"/>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pPr>
            <w:r>
              <w:rPr/>
              <w:t>Balance at January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352</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Bad debt expense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128</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pPr>
            <w:r>
              <w:rPr/>
              <w:t>Write-offs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Balance at March 31,</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380" w:type="dxa"/>
            <w:tcBorders>
              <w:bottom w:val="double" w:sz="10" w:space="0" w:color="000000"/>
            </w:tcBorders>
            <w:tcMar>
              <w:bottom w:w="28" w:type="dxa"/>
            </w:tcMar>
            <w:vAlign w:val="center"/>
          </w:tcPr>
          <w:p>
            <w:pPr>
              <w:pStyle w:val="TableContents"/>
              <w:bidi w:val="0"/>
              <w:spacing w:before="0" w:after="283"/>
              <w:jc w:val="right"/>
              <w:rPr/>
            </w:pPr>
            <w:r>
              <w:rPr/>
              <w:t>371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380" w:type="dxa"/>
            <w:tcBorders>
              <w:bottom w:val="double" w:sz="10" w:space="0" w:color="000000"/>
            </w:tcBorders>
            <w:tcMar>
              <w:bottom w:w="28" w:type="dxa"/>
            </w:tcMar>
            <w:vAlign w:val="center"/>
          </w:tcPr>
          <w:p>
            <w:pPr>
              <w:pStyle w:val="TableContents"/>
              <w:bidi w:val="0"/>
              <w:spacing w:before="0" w:after="283"/>
              <w:jc w:val="right"/>
              <w:rPr/>
            </w:pPr>
            <w:r>
              <w:rPr/>
              <w:t>480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excepts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5 – LONG-TERM DEBT</w:t>
      </w:r>
    </w:p>
    <w:p>
      <w:pPr>
        <w:pStyle w:val="TextBody"/>
        <w:bidi w:val="0"/>
        <w:spacing w:before="0" w:after="0"/>
        <w:ind w:left="180" w:right="0" w:hanging="180"/>
        <w:jc w:val="left"/>
        <w:rPr>
          <w:caps w:val="false"/>
          <w:smallCaps w:val="false"/>
        </w:rPr>
      </w:pPr>
      <w:r>
        <w:rPr>
          <w:caps w:val="false"/>
          <w:smallCaps w:val="false"/>
        </w:rPr>
        <w:t> </w:t>
      </w:r>
    </w:p>
    <w:p>
      <w:pPr>
        <w:pStyle w:val="TextBody"/>
        <w:bidi w:val="0"/>
        <w:spacing w:before="0" w:after="0"/>
        <w:ind w:left="18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 net comprised the following at March 31, 2024 and December 31, 2023:</w:t>
      </w:r>
    </w:p>
    <w:p>
      <w:pPr>
        <w:pStyle w:val="TextBody"/>
        <w:bidi w:val="0"/>
        <w:spacing w:before="0" w:after="0"/>
        <w:ind w:left="180" w:right="0" w:hanging="180"/>
        <w:jc w:val="left"/>
        <w:rPr>
          <w:caps w:val="false"/>
          <w:smallCaps w:val="false"/>
        </w:rPr>
      </w:pPr>
      <w:r>
        <w:rPr>
          <w:caps w:val="false"/>
          <w:smallCaps w:val="false"/>
        </w:rPr>
        <w:t> </w:t>
      </w:r>
    </w:p>
    <w:tbl>
      <w:tblPr>
        <w:tblW w:w="5949" w:type="dxa"/>
        <w:jc w:val="left"/>
        <w:tblInd w:w="0" w:type="dxa"/>
        <w:tblLayout w:type="fixed"/>
        <w:tblCellMar>
          <w:top w:w="0" w:type="dxa"/>
          <w:left w:w="0" w:type="dxa"/>
          <w:bottom w:w="0" w:type="dxa"/>
          <w:right w:w="0" w:type="dxa"/>
        </w:tblCellMar>
      </w:tblPr>
      <w:tblGrid>
        <w:gridCol w:w="3140"/>
        <w:gridCol w:w="60"/>
        <w:gridCol w:w="182"/>
        <w:gridCol w:w="887"/>
        <w:gridCol w:w="95"/>
        <w:gridCol w:w="60"/>
        <w:gridCol w:w="241"/>
        <w:gridCol w:w="1174"/>
        <w:gridCol w:w="110"/>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2023</w:t>
            </w:r>
          </w:p>
        </w:tc>
        <w:tc>
          <w:tcPr>
            <w:tcW w:w="11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Term loan, due in 2027</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37,790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38,290</w:t>
            </w:r>
          </w:p>
        </w:tc>
        <w:tc>
          <w:tcPr>
            <w:tcW w:w="11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Less: current portion</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(3,500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(2,000</w:t>
            </w:r>
          </w:p>
        </w:tc>
        <w:tc>
          <w:tcPr>
            <w:tcW w:w="110" w:type="dxa"/>
            <w:tcBorders/>
            <w:vAlign w:val="center"/>
          </w:tcPr>
          <w:p>
            <w:pPr>
              <w:pStyle w:val="TableContents"/>
              <w:bidi w:val="0"/>
              <w:spacing w:before="0" w:after="283"/>
              <w:jc w:val="left"/>
              <w:rPr/>
            </w:pPr>
            <w:r>
              <w:rPr/>
              <w:t>)</w:t>
            </w:r>
          </w:p>
        </w:tc>
      </w:tr>
      <w:tr>
        <w:trPr/>
        <w:tc>
          <w:tcPr>
            <w:tcW w:w="3140" w:type="dxa"/>
            <w:tcBorders/>
            <w:shd w:fill="CCEEFF" w:val="clear"/>
            <w:vAlign w:val="center"/>
          </w:tcPr>
          <w:p>
            <w:pPr>
              <w:pStyle w:val="TableContents"/>
              <w:bidi w:val="0"/>
              <w:spacing w:before="0" w:after="283"/>
              <w:jc w:val="left"/>
              <w:rPr/>
            </w:pPr>
            <w:r>
              <w:rPr/>
              <w:t>Less: unamortized issuance costs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(1,877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center"/>
          </w:tcPr>
          <w:p>
            <w:pPr>
              <w:pStyle w:val="TableContents"/>
              <w:bidi w:val="0"/>
              <w:spacing w:before="0" w:after="283"/>
              <w:jc w:val="right"/>
              <w:rPr/>
            </w:pPr>
            <w:r>
              <w:rPr/>
              <w:t>(2,059</w:t>
            </w:r>
          </w:p>
        </w:tc>
        <w:tc>
          <w:tcPr>
            <w:tcW w:w="110" w:type="dxa"/>
            <w:tcBorders/>
            <w:shd w:fill="CCEEFF" w:val="clear"/>
            <w:vAlign w:val="center"/>
          </w:tcPr>
          <w:p>
            <w:pPr>
              <w:pStyle w:val="TableContents"/>
              <w:bidi w:val="0"/>
              <w:spacing w:before="0" w:after="283"/>
              <w:jc w:val="left"/>
              <w:rPr/>
            </w:pPr>
            <w:r>
              <w:rPr/>
              <w:t>)</w:t>
            </w:r>
          </w:p>
        </w:tc>
      </w:tr>
      <w:tr>
        <w:trPr/>
        <w:tc>
          <w:tcPr>
            <w:tcW w:w="3140" w:type="dxa"/>
            <w:tcBorders/>
            <w:vAlign w:val="center"/>
          </w:tcPr>
          <w:p>
            <w:pPr>
              <w:pStyle w:val="TableContents"/>
              <w:bidi w:val="0"/>
              <w:spacing w:before="0" w:after="283"/>
              <w:jc w:val="left"/>
              <w:rPr/>
            </w:pPr>
            <w:r>
              <w:rPr/>
              <w:t>Long-term debt, net</w:t>
            </w:r>
          </w:p>
        </w:tc>
        <w:tc>
          <w:tcPr>
            <w:tcW w:w="60" w:type="dxa"/>
            <w:tcBorders/>
            <w:vAlign w:val="center"/>
          </w:tcPr>
          <w:p>
            <w:pPr>
              <w:pStyle w:val="TableContents"/>
              <w:bidi w:val="0"/>
              <w:spacing w:before="0" w:after="283"/>
              <w:jc w:val="left"/>
              <w:rPr/>
            </w:pPr>
            <w:r>
              <w:rPr/>
              <w:t> </w:t>
            </w:r>
          </w:p>
        </w:tc>
        <w:tc>
          <w:tcPr>
            <w:tcW w:w="182" w:type="dxa"/>
            <w:tcBorders>
              <w:bottom w:val="double" w:sz="10" w:space="0" w:color="000000"/>
            </w:tcBorders>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tcMar>
              <w:bottom w:w="28" w:type="dxa"/>
            </w:tcMar>
            <w:vAlign w:val="center"/>
          </w:tcPr>
          <w:p>
            <w:pPr>
              <w:pStyle w:val="TableContents"/>
              <w:bidi w:val="0"/>
              <w:spacing w:before="0" w:after="283"/>
              <w:jc w:val="right"/>
              <w:rPr/>
            </w:pPr>
            <w:r>
              <w:rPr/>
              <w:t>32,413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bottom w:val="double" w:sz="10" w:space="0" w:color="000000"/>
            </w:tcBorders>
            <w:tcMar>
              <w:bottom w:w="28" w:type="dxa"/>
            </w:tcMar>
            <w:vAlign w:val="center"/>
          </w:tcPr>
          <w:p>
            <w:pPr>
              <w:pStyle w:val="TableContents"/>
              <w:bidi w:val="0"/>
              <w:spacing w:before="0" w:after="283"/>
              <w:jc w:val="left"/>
              <w:rPr/>
            </w:pPr>
            <w:r>
              <w:rPr/>
              <w:t>$</w:t>
            </w:r>
          </w:p>
        </w:tc>
        <w:tc>
          <w:tcPr>
            <w:tcW w:w="1174" w:type="dxa"/>
            <w:tcBorders>
              <w:bottom w:val="double" w:sz="10" w:space="0" w:color="000000"/>
            </w:tcBorders>
            <w:tcMar>
              <w:bottom w:w="28" w:type="dxa"/>
            </w:tcMar>
            <w:vAlign w:val="center"/>
          </w:tcPr>
          <w:p>
            <w:pPr>
              <w:pStyle w:val="TableContents"/>
              <w:bidi w:val="0"/>
              <w:spacing w:before="0" w:after="283"/>
              <w:jc w:val="right"/>
              <w:rPr/>
            </w:pPr>
            <w:r>
              <w:rPr/>
              <w:t>34,231</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the Term loan bears interest at 14.1%, with an effective rate of 16.0%, including the impact of the amortization of debt issuance costs of $182 for the three months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 full compliance with the financial covenants associated with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is repayable in quarterly installments, beginning December 31, 2023, equivalent to 1.25% or $500,000, of the original principal amount, with the outstanding unpaid principal and all accrued but unpaid interest due and payable on the earlier of (i) the fourth anniversary of the closing date of the Term Loan or (ii) the date on which the Term Loan is declared due and payable pursuant to the terms of the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is required to make a mandatory prepayment on March 31, of each year, commencing with 2025, equivalent to Excess Cash Flow multiplied by a percentage factor of 25%, if the leverage ratio is 3.60 to 1.00 or less, 50% if the leverage ratio is greater than 3.60 to 1 or less than or equal; to 4.10 to 1.00 and 75%, if the leverage ratio is greater than 4.10 to 1.00. Excess Cash Flow is defined in the Financing as Consolidated EBITDA for the previous fiscal year less scheduled principal and interest payments, capital expenditure, cash taxes and any cash expenses/gains added back to net income in the calculation of Consolidated EBITDA, adjusted for any increase/decrease in working capital during the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Repayments due under the terms of the Term loan, including an estimate of the amount associated with the Excess Cash Flow calculation discussed above, for the remainder of the current and in each of the next three fiscal years are as follows:</w:t>
      </w:r>
    </w:p>
    <w:p>
      <w:pPr>
        <w:pStyle w:val="TextBody"/>
        <w:bidi w:val="0"/>
        <w:spacing w:before="0" w:after="0"/>
        <w:ind w:left="0" w:right="0" w:hanging="0"/>
        <w:jc w:val="both"/>
        <w:rPr>
          <w:caps w:val="false"/>
          <w:smallCaps w:val="false"/>
        </w:rPr>
      </w:pPr>
      <w:r>
        <w:rPr>
          <w:caps w:val="false"/>
          <w:smallCaps w:val="false"/>
        </w:rPr>
        <w:t> </w:t>
      </w:r>
    </w:p>
    <w:tbl>
      <w:tblPr>
        <w:tblW w:w="2790" w:type="dxa"/>
        <w:jc w:val="left"/>
        <w:tblInd w:w="0" w:type="dxa"/>
        <w:tblLayout w:type="fixed"/>
        <w:tblCellMar>
          <w:top w:w="0" w:type="dxa"/>
          <w:left w:w="0" w:type="dxa"/>
          <w:bottom w:w="28" w:type="dxa"/>
          <w:right w:w="0" w:type="dxa"/>
        </w:tblCellMar>
      </w:tblPr>
      <w:tblGrid>
        <w:gridCol w:w="1835"/>
        <w:gridCol w:w="60"/>
        <w:gridCol w:w="140"/>
        <w:gridCol w:w="680"/>
        <w:gridCol w:w="75"/>
      </w:tblGrid>
      <w:tr>
        <w:trPr/>
        <w:tc>
          <w:tcPr>
            <w:tcW w:w="183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2024</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8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835" w:type="dxa"/>
            <w:tcBorders/>
            <w:shd w:fill="CCEEFF" w:val="clear"/>
            <w:tcMar>
              <w:bottom w:w="0" w:type="dxa"/>
            </w:tcMar>
            <w:vAlign w:val="center"/>
          </w:tcPr>
          <w:p>
            <w:pPr>
              <w:pStyle w:val="TableContents"/>
              <w:bidi w:val="0"/>
              <w:spacing w:before="0" w:after="283"/>
              <w:jc w:val="left"/>
              <w:rPr/>
            </w:pPr>
            <w:r>
              <w:rPr/>
              <w:t>2024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1,500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35" w:type="dxa"/>
            <w:tcBorders/>
            <w:tcMar>
              <w:bottom w:w="0" w:type="dxa"/>
            </w:tcMar>
            <w:vAlign w:val="center"/>
          </w:tcPr>
          <w:p>
            <w:pPr>
              <w:pStyle w:val="TableContents"/>
              <w:bidi w:val="0"/>
              <w:spacing w:before="0" w:after="283"/>
              <w:jc w:val="left"/>
              <w:rPr/>
            </w:pPr>
            <w:r>
              <w:rPr/>
              <w:t>2025</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3,500</w:t>
            </w:r>
          </w:p>
        </w:tc>
        <w:tc>
          <w:tcPr>
            <w:tcW w:w="75" w:type="dxa"/>
            <w:tcBorders/>
            <w:tcMar>
              <w:bottom w:w="0" w:type="dxa"/>
            </w:tcMar>
            <w:vAlign w:val="center"/>
          </w:tcPr>
          <w:p>
            <w:pPr>
              <w:pStyle w:val="TableContents"/>
              <w:bidi w:val="0"/>
              <w:spacing w:before="0" w:after="283"/>
              <w:jc w:val="left"/>
              <w:rPr/>
            </w:pPr>
            <w:r>
              <w:rPr/>
              <w:t> </w:t>
            </w:r>
          </w:p>
        </w:tc>
      </w:tr>
      <w:tr>
        <w:trPr/>
        <w:tc>
          <w:tcPr>
            <w:tcW w:w="1835"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2,000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35" w:type="dxa"/>
            <w:tcBorders/>
            <w:tcMar>
              <w:bottom w:w="0" w:type="dxa"/>
            </w:tcMar>
            <w:vAlign w:val="center"/>
          </w:tcPr>
          <w:p>
            <w:pPr>
              <w:pStyle w:val="TableContents"/>
              <w:bidi w:val="0"/>
              <w:spacing w:before="0" w:after="283"/>
              <w:jc w:val="left"/>
              <w:rPr/>
            </w:pPr>
            <w:r>
              <w:rPr/>
              <w:t>2027</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680" w:type="dxa"/>
            <w:tcBorders>
              <w:bottom w:val="single" w:sz="12" w:space="0" w:color="000000"/>
            </w:tcBorders>
            <w:vAlign w:val="center"/>
          </w:tcPr>
          <w:p>
            <w:pPr>
              <w:pStyle w:val="TableContents"/>
              <w:bidi w:val="0"/>
              <w:spacing w:before="0" w:after="283"/>
              <w:jc w:val="right"/>
              <w:rPr/>
            </w:pPr>
            <w:r>
              <w:rPr/>
              <w:t>30,790</w:t>
            </w:r>
          </w:p>
        </w:tc>
        <w:tc>
          <w:tcPr>
            <w:tcW w:w="75" w:type="dxa"/>
            <w:tcBorders/>
            <w:tcMar>
              <w:bottom w:w="0" w:type="dxa"/>
            </w:tcMar>
            <w:vAlign w:val="center"/>
          </w:tcPr>
          <w:p>
            <w:pPr>
              <w:pStyle w:val="TableContents"/>
              <w:bidi w:val="0"/>
              <w:spacing w:before="0" w:after="283"/>
              <w:jc w:val="left"/>
              <w:rPr/>
            </w:pPr>
            <w:r>
              <w:rPr/>
              <w:t> </w:t>
            </w:r>
          </w:p>
        </w:tc>
      </w:tr>
      <w:tr>
        <w:trPr/>
        <w:tc>
          <w:tcPr>
            <w:tcW w:w="18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680" w:type="dxa"/>
            <w:tcBorders>
              <w:bottom w:val="double" w:sz="10" w:space="0" w:color="000000"/>
            </w:tcBorders>
            <w:shd w:fill="CCEEFF" w:val="clear"/>
            <w:vAlign w:val="center"/>
          </w:tcPr>
          <w:p>
            <w:pPr>
              <w:pStyle w:val="TableContents"/>
              <w:bidi w:val="0"/>
              <w:spacing w:before="0" w:after="283"/>
              <w:jc w:val="right"/>
              <w:rPr/>
            </w:pPr>
            <w:r>
              <w:rPr/>
              <w:t>37,790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6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operating leases with terms greater than 12 months for office space in four multi-tenant facilities, which are recorded as Operating lease right-of-use assets and Operating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2024 and 2023, the Company’s lease cost consists of the following components, each of which is included in operating expenses within the Company’s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4343" w:type="dxa"/>
        <w:jc w:val="left"/>
        <w:tblInd w:w="0" w:type="dxa"/>
        <w:tblLayout w:type="fixed"/>
        <w:tblCellMar>
          <w:top w:w="0" w:type="dxa"/>
          <w:left w:w="0" w:type="dxa"/>
          <w:bottom w:w="0" w:type="dxa"/>
          <w:right w:w="0" w:type="dxa"/>
        </w:tblCellMar>
      </w:tblPr>
      <w:tblGrid>
        <w:gridCol w:w="2000"/>
        <w:gridCol w:w="60"/>
        <w:gridCol w:w="336"/>
        <w:gridCol w:w="624"/>
        <w:gridCol w:w="144"/>
        <w:gridCol w:w="144"/>
        <w:gridCol w:w="336"/>
        <w:gridCol w:w="624"/>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9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62</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25</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Short-term lease cost</w:t>
            </w:r>
          </w:p>
        </w:tc>
        <w:tc>
          <w:tcPr>
            <w:tcW w:w="6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624" w:type="dxa"/>
            <w:tcBorders>
              <w:bottom w:val="single" w:sz="12" w:space="0" w:color="000000"/>
            </w:tcBorders>
            <w:tcMar>
              <w:bottom w:w="28" w:type="dxa"/>
            </w:tcMar>
            <w:vAlign w:val="center"/>
          </w:tcPr>
          <w:p>
            <w:pPr>
              <w:pStyle w:val="TableContents"/>
              <w:bidi w:val="0"/>
              <w:spacing w:before="0" w:after="283"/>
              <w:jc w:val="right"/>
              <w:rPr/>
            </w:pPr>
            <w:r>
              <w:rPr/>
              <w:t>1</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624" w:type="dxa"/>
            <w:tcBorders>
              <w:bottom w:val="single" w:sz="12" w:space="0" w:color="000000"/>
            </w:tcBorders>
            <w:tcMar>
              <w:bottom w:w="28" w:type="dxa"/>
            </w:tcMar>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4" w:type="dxa"/>
            <w:tcBorders>
              <w:bottom w:val="double" w:sz="10" w:space="0" w:color="000000"/>
            </w:tcBorders>
            <w:shd w:fill="CCEEFF" w:val="clear"/>
            <w:tcMar>
              <w:bottom w:w="28" w:type="dxa"/>
            </w:tcMar>
            <w:vAlign w:val="center"/>
          </w:tcPr>
          <w:p>
            <w:pPr>
              <w:pStyle w:val="TableContents"/>
              <w:bidi w:val="0"/>
              <w:spacing w:before="0" w:after="283"/>
              <w:jc w:val="right"/>
              <w:rPr/>
            </w:pPr>
            <w:r>
              <w:rPr/>
              <w:t>63</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4" w:type="dxa"/>
            <w:tcBorders>
              <w:bottom w:val="double" w:sz="10" w:space="0" w:color="000000"/>
            </w:tcBorders>
            <w:shd w:fill="CCEEFF" w:val="clear"/>
            <w:tcMar>
              <w:bottom w:w="28" w:type="dxa"/>
            </w:tcMar>
            <w:vAlign w:val="center"/>
          </w:tcPr>
          <w:p>
            <w:pPr>
              <w:pStyle w:val="TableContents"/>
              <w:bidi w:val="0"/>
              <w:spacing w:before="0" w:after="283"/>
              <w:jc w:val="right"/>
              <w:rPr/>
            </w:pPr>
            <w:r>
              <w:rPr/>
              <w:t>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excepts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6 – LEASES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future minimum lease payments to be made under operating leases in each of the remainder of the current and next four fiscal years and thereafter:</w:t>
      </w:r>
    </w:p>
    <w:p>
      <w:pPr>
        <w:pStyle w:val="TextBody"/>
        <w:bidi w:val="0"/>
        <w:spacing w:before="0" w:after="0"/>
        <w:ind w:left="0" w:right="0" w:hanging="0"/>
        <w:jc w:val="both"/>
        <w:rPr>
          <w:caps w:val="false"/>
          <w:smallCaps w:val="false"/>
        </w:rPr>
      </w:pPr>
      <w:r>
        <w:rPr>
          <w:caps w:val="false"/>
          <w:smallCaps w:val="false"/>
        </w:rPr>
        <w:t> </w:t>
      </w:r>
    </w:p>
    <w:tbl>
      <w:tblPr>
        <w:tblW w:w="2610" w:type="dxa"/>
        <w:jc w:val="left"/>
        <w:tblInd w:w="0" w:type="dxa"/>
        <w:tblLayout w:type="fixed"/>
        <w:tblCellMar>
          <w:top w:w="0" w:type="dxa"/>
          <w:left w:w="0" w:type="dxa"/>
          <w:bottom w:w="28" w:type="dxa"/>
          <w:right w:w="0" w:type="dxa"/>
        </w:tblCellMar>
      </w:tblPr>
      <w:tblGrid>
        <w:gridCol w:w="1955"/>
        <w:gridCol w:w="60"/>
        <w:gridCol w:w="140"/>
        <w:gridCol w:w="380"/>
        <w:gridCol w:w="75"/>
      </w:tblGrid>
      <w:tr>
        <w:trPr/>
        <w:tc>
          <w:tcPr>
            <w:tcW w:w="195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2024</w:t>
            </w:r>
          </w:p>
        </w:tc>
        <w:tc>
          <w:tcPr>
            <w:tcW w:w="60" w:type="dxa"/>
            <w:tcBorders/>
            <w:tcMar>
              <w:bottom w:w="0" w:type="dxa"/>
            </w:tcMar>
            <w:vAlign w:val="center"/>
          </w:tcPr>
          <w:p>
            <w:pPr>
              <w:pStyle w:val="TableContents"/>
              <w:bidi w:val="0"/>
              <w:spacing w:before="0" w:after="283"/>
              <w:jc w:val="left"/>
              <w:rPr/>
            </w:pPr>
            <w:r>
              <w:rPr/>
              <w:t> </w:t>
            </w:r>
          </w:p>
        </w:tc>
        <w:tc>
          <w:tcPr>
            <w:tcW w:w="5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55" w:type="dxa"/>
            <w:tcBorders/>
            <w:shd w:fill="CCEEFF" w:val="clear"/>
            <w:tcMar>
              <w:bottom w:w="0" w:type="dxa"/>
            </w:tcMar>
            <w:vAlign w:val="center"/>
          </w:tcPr>
          <w:p>
            <w:pPr>
              <w:pStyle w:val="TableContents"/>
              <w:bidi w:val="0"/>
              <w:spacing w:before="0" w:after="283"/>
              <w:jc w:val="left"/>
              <w:rPr/>
            </w:pPr>
            <w:r>
              <w:rPr/>
              <w:t>2024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380" w:type="dxa"/>
            <w:tcBorders/>
            <w:shd w:fill="CCEEFF" w:val="clear"/>
            <w:tcMar>
              <w:bottom w:w="0" w:type="dxa"/>
            </w:tcMar>
            <w:vAlign w:val="center"/>
          </w:tcPr>
          <w:p>
            <w:pPr>
              <w:pStyle w:val="TableContents"/>
              <w:bidi w:val="0"/>
              <w:spacing w:before="0" w:after="283"/>
              <w:jc w:val="right"/>
              <w:rPr/>
            </w:pPr>
            <w:r>
              <w:rPr/>
              <w:t>196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55" w:type="dxa"/>
            <w:tcBorders/>
            <w:tcMar>
              <w:bottom w:w="0" w:type="dxa"/>
            </w:tcMar>
            <w:vAlign w:val="center"/>
          </w:tcPr>
          <w:p>
            <w:pPr>
              <w:pStyle w:val="TableContents"/>
              <w:bidi w:val="0"/>
              <w:spacing w:before="0" w:after="283"/>
              <w:jc w:val="left"/>
              <w:rPr/>
            </w:pPr>
            <w:r>
              <w:rPr/>
              <w:t>2025</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right"/>
              <w:rPr/>
            </w:pPr>
            <w:r>
              <w:rPr/>
              <w:t>187</w:t>
            </w:r>
          </w:p>
        </w:tc>
        <w:tc>
          <w:tcPr>
            <w:tcW w:w="75" w:type="dxa"/>
            <w:tcBorders/>
            <w:tcMar>
              <w:bottom w:w="0" w:type="dxa"/>
            </w:tcMar>
            <w:vAlign w:val="center"/>
          </w:tcPr>
          <w:p>
            <w:pPr>
              <w:pStyle w:val="TableContents"/>
              <w:bidi w:val="0"/>
              <w:spacing w:before="0" w:after="283"/>
              <w:jc w:val="left"/>
              <w:rPr/>
            </w:pPr>
            <w:r>
              <w:rPr/>
              <w:t> </w:t>
            </w:r>
          </w:p>
        </w:tc>
      </w:tr>
      <w:tr>
        <w:trPr/>
        <w:tc>
          <w:tcPr>
            <w:tcW w:w="1955"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pPr>
            <w:r>
              <w:rPr/>
              <w:t>114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55" w:type="dxa"/>
            <w:tcBorders/>
            <w:tcMar>
              <w:bottom w:w="0" w:type="dxa"/>
            </w:tcMar>
            <w:vAlign w:val="center"/>
          </w:tcPr>
          <w:p>
            <w:pPr>
              <w:pStyle w:val="TableContents"/>
              <w:bidi w:val="0"/>
              <w:spacing w:before="0" w:after="283"/>
              <w:jc w:val="left"/>
              <w:rPr/>
            </w:pPr>
            <w:r>
              <w:rPr/>
              <w:t>2027</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right"/>
              <w:rPr/>
            </w:pPr>
            <w:r>
              <w:rPr/>
              <w:t>66</w:t>
            </w:r>
          </w:p>
        </w:tc>
        <w:tc>
          <w:tcPr>
            <w:tcW w:w="75" w:type="dxa"/>
            <w:tcBorders/>
            <w:tcMar>
              <w:bottom w:w="0" w:type="dxa"/>
            </w:tcMar>
            <w:vAlign w:val="center"/>
          </w:tcPr>
          <w:p>
            <w:pPr>
              <w:pStyle w:val="TableContents"/>
              <w:bidi w:val="0"/>
              <w:spacing w:before="0" w:after="283"/>
              <w:jc w:val="left"/>
              <w:rPr/>
            </w:pPr>
            <w:r>
              <w:rPr/>
              <w:t> </w:t>
            </w:r>
          </w:p>
        </w:tc>
      </w:tr>
      <w:tr>
        <w:trPr/>
        <w:tc>
          <w:tcPr>
            <w:tcW w:w="1955"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pPr>
            <w:r>
              <w:rPr/>
              <w:t>45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55" w:type="dxa"/>
            <w:tcBorders/>
            <w:tcMar>
              <w:bottom w:w="0" w:type="dxa"/>
            </w:tcMar>
            <w:vAlign w:val="center"/>
          </w:tcPr>
          <w:p>
            <w:pPr>
              <w:pStyle w:val="TableContents"/>
              <w:bidi w:val="0"/>
              <w:spacing w:before="0" w:after="283"/>
              <w:jc w:val="left"/>
              <w:rPr/>
            </w:pPr>
            <w:r>
              <w:rPr/>
              <w:t>Thereafter</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0"/>
              <w:jc w:val="right"/>
              <w:rPr/>
            </w:pPr>
            <w:r>
              <w:rPr/>
              <w:t>—</w:t>
            </w:r>
          </w:p>
        </w:tc>
        <w:tc>
          <w:tcPr>
            <w:tcW w:w="75" w:type="dxa"/>
            <w:tcBorders/>
            <w:tcMar>
              <w:bottom w:w="0" w:type="dxa"/>
            </w:tcMar>
            <w:vAlign w:val="center"/>
          </w:tcPr>
          <w:p>
            <w:pPr>
              <w:pStyle w:val="TableContents"/>
              <w:bidi w:val="0"/>
              <w:spacing w:before="0" w:after="283"/>
              <w:jc w:val="left"/>
              <w:rPr/>
            </w:pPr>
            <w:r>
              <w:rPr/>
              <w:t> </w:t>
            </w:r>
          </w:p>
        </w:tc>
      </w:tr>
      <w:tr>
        <w:trPr/>
        <w:tc>
          <w:tcPr>
            <w:tcW w:w="1955"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pPr>
            <w:r>
              <w:rPr/>
              <w:t>608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55" w:type="dxa"/>
            <w:tcBorders/>
            <w:tcMar>
              <w:bottom w:w="0" w:type="dxa"/>
            </w:tcMar>
            <w:vAlign w:val="center"/>
          </w:tcPr>
          <w:p>
            <w:pPr>
              <w:pStyle w:val="TableContents"/>
              <w:bidi w:val="0"/>
              <w:spacing w:before="0" w:after="283"/>
              <w:jc w:val="left"/>
              <w:rPr/>
            </w:pPr>
            <w:r>
              <w:rPr/>
              <w:t>Less: discount</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right"/>
              <w:rPr/>
            </w:pPr>
            <w:r>
              <w:rPr/>
              <w:t>61</w:t>
            </w:r>
          </w:p>
        </w:tc>
        <w:tc>
          <w:tcPr>
            <w:tcW w:w="75" w:type="dxa"/>
            <w:tcBorders/>
            <w:tcMar>
              <w:bottom w:w="0" w:type="dxa"/>
            </w:tcMar>
            <w:vAlign w:val="center"/>
          </w:tcPr>
          <w:p>
            <w:pPr>
              <w:pStyle w:val="TableContents"/>
              <w:bidi w:val="0"/>
              <w:spacing w:before="0" w:after="283"/>
              <w:jc w:val="left"/>
              <w:rPr/>
            </w:pPr>
            <w:r>
              <w:rPr/>
              <w:t> </w:t>
            </w:r>
          </w:p>
        </w:tc>
      </w:tr>
      <w:tr>
        <w:trPr/>
        <w:tc>
          <w:tcPr>
            <w:tcW w:w="1955" w:type="dxa"/>
            <w:tcBorders/>
            <w:shd w:fill="CCEEFF" w:val="clear"/>
            <w:tcMar>
              <w:bottom w:w="0" w:type="dxa"/>
            </w:tcMar>
            <w:vAlign w:val="center"/>
          </w:tcPr>
          <w:p>
            <w:pPr>
              <w:pStyle w:val="TableContents"/>
              <w:bidi w:val="0"/>
              <w:spacing w:before="0" w:after="283"/>
              <w:jc w:val="left"/>
              <w:rPr/>
            </w:pPr>
            <w:r>
              <w:rPr/>
              <w:t>Total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380" w:type="dxa"/>
            <w:tcBorders>
              <w:bottom w:val="double" w:sz="10" w:space="0" w:color="000000"/>
            </w:tcBorders>
            <w:shd w:fill="CCEEFF" w:val="clear"/>
            <w:vAlign w:val="center"/>
          </w:tcPr>
          <w:p>
            <w:pPr>
              <w:pStyle w:val="TableContents"/>
              <w:bidi w:val="0"/>
              <w:spacing w:before="0" w:after="283"/>
              <w:jc w:val="right"/>
              <w:rPr/>
            </w:pPr>
            <w:r>
              <w:rPr/>
              <w:t>547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 at March 31, 2024 for the operating lease is 3.0 years, and the weighted average discount rate used in calculating the operating lease asset and liability is 6.75%. Cash paid for amounts included in the measurement of lease liabilities was $54 and $22 for the three months ended March 31, 2024 and 2023, respectively. For the three months ended March 31, 2024 and 2023, payments on lease obligations were $65 and $25, respectively, and amortization on the right of use assets was $51 and $25,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7 –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10,000,000 shares of preferred stock, $0.001 par value per share, authorized as of March 31, 2024. No shares were issued or outstanding in either 2024 or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166,666,667 shares of common stock, $0.001 par value per share, authorized as of March 31, 2024. There were 18,180,482 and 18,158,282 shares of common stock outstanding, net of shares held in treasury of 1,741,397 and 1,741,397 at March 31, 2024 and December 31,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2024, the Company issued no shares of our common stock, and received no proceeds in connection with the exercise of options under our 2013 Incentive Plan and our 2021 Equity Incentive Plan. The Company issued 22,200 shares of common stock in the three months ended March 31, 2024, in connection with the vesting of restricted stock units under our 2013 Incentive Plan and our 2021 Equity Incentive Plan. Some of the participants utilized a net withhold settlement method, in which shares were surrendered to cover payroll withholding taxes. Of the shares issued to participants during the three months ended March 31, 2024, 9,423 shares, valued at $140, were surrendered and subsequently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2023, the Company issued 9,668 shares of our common stock and received proceeds of $40, in connection with the exercise of options under our 2013 Incentive Plan. The Company issued 33,272 shares of common stock in the three months ended March 31, 2023, in connection with the vesting of restricted stock units under our 2013 Incentive Plan and our 2021 Equity Incentive Plan. 9,502 shares valued at $171 were surrendered in connection with the net withhold settlement method and were subsequently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excepts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7 – STOCKHOLDERS’ EQUITY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Treasury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March 31, 2023, the Board authorized a share repurchase program, under which the Company could repurchase up to $15.0 million of its outstanding common stock. This stock repurchase authorization expired on March 12,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each of the quarters ended March 31, 2024 and 2023, the Company did not repurchase any of its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expense related to options for the three months ended March 31, 2024 and 2023 was $1,353 and $1,467, respectively. The fair value of these instruments was calculated using the Black-Scholes option pricing model. There is $7,479 of remaining expense related to unvested options to be recognized in the future over a weighted average period of 1.59 years. The total intrinsic value of outstanding options at March 31, 2024 was $492.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Company granted certain performance-based stock options, the expense for which will be recorded over time once the achievement of the performance is deemed probable. There was no expense related to these options recorded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$1,671 and $2,914 in compensation expense related to restricted stock units for the three months ended March 31, 2024 and 2023, respectively. A total of $9,967 remains to be recognized at March 31, 2024 over a weighted average period of 1.67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granted certain performance based restricted stock units, the expense for which will be recorded over time once the achievement of the performance is deemed probable. There was no expense related to these restricted stock units recorded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compensation program calls for the grant of restricted stock units with a one year vesting period. There was $199 and $185 included in the compensation expense discussed above related to director’s compensation for the periods ended March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8 –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(“EPS”) is computed by dividing net income (loss) by the weighted average number of common shares outstanding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related to options and restricted stock units included in diluted EPS is based on the “Treasury Stock Method” prescribed in ASC 260-10,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This method assumes the theoretical repurchase of shares using proceeds of the respective stock options exercised, and for restricted stock units, the amount of compensation cost attributed to future services which have not yet been recognized, and the amount of current and deferred tax benefit, if any, that would be credited to additional paid in capital upon the vesting of the restricted stock units, at a price equal to the issuer’s average stock price during the related earnings period. Accordingly, the number of shares that could be included in the calculation of EPS in respect of the stock options and restricted stock units is dependent on this average stock price and will increase as the average stock price increases.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excepts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8 – LOSS PER SHARE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net loss per share.</w:t>
      </w:r>
    </w:p>
    <w:p>
      <w:pPr>
        <w:pStyle w:val="TextBody"/>
        <w:bidi w:val="0"/>
        <w:spacing w:before="0" w:after="0"/>
        <w:ind w:left="0" w:right="0" w:hanging="0"/>
        <w:jc w:val="both"/>
        <w:rPr>
          <w:caps w:val="false"/>
          <w:smallCaps w:val="false"/>
        </w:rPr>
      </w:pPr>
      <w:r>
        <w:rPr>
          <w:caps w:val="false"/>
          <w:smallCaps w:val="false"/>
        </w:rPr>
        <w:t> </w:t>
      </w:r>
    </w:p>
    <w:tbl>
      <w:tblPr>
        <w:tblW w:w="9830" w:type="dxa"/>
        <w:jc w:val="left"/>
        <w:tblInd w:w="0" w:type="dxa"/>
        <w:tblLayout w:type="fixed"/>
        <w:tblCellMar>
          <w:top w:w="0" w:type="dxa"/>
          <w:left w:w="0" w:type="dxa"/>
          <w:bottom w:w="0" w:type="dxa"/>
          <w:right w:w="0" w:type="dxa"/>
        </w:tblCellMar>
      </w:tblPr>
      <w:tblGrid>
        <w:gridCol w:w="7025"/>
        <w:gridCol w:w="60"/>
        <w:gridCol w:w="140"/>
        <w:gridCol w:w="1100"/>
        <w:gridCol w:w="95"/>
        <w:gridCol w:w="60"/>
        <w:gridCol w:w="140"/>
        <w:gridCol w:w="1100"/>
        <w:gridCol w:w="110"/>
      </w:tblGrid>
      <w:tr>
        <w:trPr/>
        <w:tc>
          <w:tcPr>
            <w:tcW w:w="7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02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(6,899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(6,398</w:t>
            </w:r>
          </w:p>
        </w:tc>
        <w:tc>
          <w:tcPr>
            <w:tcW w:w="110" w:type="dxa"/>
            <w:tcBorders/>
            <w:shd w:fill="CCEEFF" w:val="clear"/>
            <w:vAlign w:val="center"/>
          </w:tcPr>
          <w:p>
            <w:pPr>
              <w:pStyle w:val="TableContents"/>
              <w:bidi w:val="0"/>
              <w:spacing w:before="0" w:after="283"/>
              <w:jc w:val="left"/>
              <w:rPr/>
            </w:pPr>
            <w:r>
              <w:rPr/>
              <w:t>)</w:t>
            </w:r>
          </w:p>
        </w:tc>
      </w:tr>
      <w:tr>
        <w:trPr/>
        <w:tc>
          <w:tcPr>
            <w:tcW w:w="7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025"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pPr>
            <w:r>
              <w:rPr/>
              <w:t>Weighted average shares outstanding used in computing net loss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02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18,170,108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17,094,676</w:t>
            </w:r>
          </w:p>
        </w:tc>
        <w:tc>
          <w:tcPr>
            <w:tcW w:w="110" w:type="dxa"/>
            <w:tcBorders/>
            <w:shd w:fill="CCEEFF" w:val="clear"/>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pPr>
            <w:r>
              <w:rPr/>
              <w:t>Effect of dilutive stock options, warrants, and stock grants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702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18,170,108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17,094,676</w:t>
            </w:r>
          </w:p>
        </w:tc>
        <w:tc>
          <w:tcPr>
            <w:tcW w:w="110" w:type="dxa"/>
            <w:tcBorders/>
            <w:shd w:fill="CCEEFF" w:val="clear"/>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025" w:type="dxa"/>
            <w:tcBorders/>
            <w:shd w:fill="CCEEFF" w:val="clear"/>
            <w:vAlign w:val="center"/>
          </w:tcPr>
          <w:p>
            <w:pPr>
              <w:pStyle w:val="TableContents"/>
              <w:bidi w:val="0"/>
              <w:spacing w:before="0" w:after="283"/>
              <w:jc w:val="left"/>
              <w:rPr/>
            </w:pPr>
            <w:r>
              <w:rPr/>
              <w:t>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pPr>
            <w:r>
              <w:rPr/>
              <w:t>Basic</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(0.38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(0.37</w:t>
            </w:r>
          </w:p>
        </w:tc>
        <w:tc>
          <w:tcPr>
            <w:tcW w:w="110" w:type="dxa"/>
            <w:tcBorders/>
            <w:vAlign w:val="center"/>
          </w:tcPr>
          <w:p>
            <w:pPr>
              <w:pStyle w:val="TableContents"/>
              <w:bidi w:val="0"/>
              <w:spacing w:before="0" w:after="283"/>
              <w:jc w:val="left"/>
              <w:rPr/>
            </w:pPr>
            <w:r>
              <w:rPr/>
              <w:t>)</w:t>
            </w:r>
          </w:p>
        </w:tc>
      </w:tr>
      <w:tr>
        <w:trPr/>
        <w:tc>
          <w:tcPr>
            <w:tcW w:w="702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(0.37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common shares potentially issuable upon the exercise of certain options and the vesting of certain restricted stock units that were excluded from the diluted loss per common share calculation are reflected in the table below.</w:t>
      </w:r>
    </w:p>
    <w:p>
      <w:pPr>
        <w:pStyle w:val="TextBody"/>
        <w:bidi w:val="0"/>
        <w:spacing w:before="0" w:after="0"/>
        <w:ind w:left="0" w:right="0" w:hanging="0"/>
        <w:jc w:val="both"/>
        <w:rPr>
          <w:caps w:val="false"/>
          <w:smallCaps w:val="false"/>
        </w:rPr>
      </w:pPr>
      <w:r>
        <w:rPr>
          <w:caps w:val="false"/>
          <w:smallCaps w:val="false"/>
        </w:rPr>
        <w:t> </w:t>
      </w:r>
    </w:p>
    <w:tbl>
      <w:tblPr>
        <w:tblW w:w="8258" w:type="dxa"/>
        <w:jc w:val="left"/>
        <w:tblInd w:w="0" w:type="dxa"/>
        <w:tblLayout w:type="fixed"/>
        <w:tblCellMar>
          <w:top w:w="0" w:type="dxa"/>
          <w:left w:w="0" w:type="dxa"/>
          <w:bottom w:w="0" w:type="dxa"/>
          <w:right w:w="0" w:type="dxa"/>
        </w:tblCellMar>
      </w:tblPr>
      <w:tblGrid>
        <w:gridCol w:w="5915"/>
        <w:gridCol w:w="60"/>
        <w:gridCol w:w="77"/>
        <w:gridCol w:w="1027"/>
        <w:gridCol w:w="77"/>
        <w:gridCol w:w="77"/>
        <w:gridCol w:w="77"/>
        <w:gridCol w:w="873"/>
        <w:gridCol w:w="75"/>
      </w:tblGrid>
      <w:tr>
        <w:trPr/>
        <w:tc>
          <w:tcPr>
            <w:tcW w:w="5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75" w:type="dxa"/>
            <w:tcBorders/>
            <w:vAlign w:val="center"/>
          </w:tcPr>
          <w:p>
            <w:pPr>
              <w:pStyle w:val="TableContents"/>
              <w:bidi w:val="0"/>
              <w:spacing w:before="0" w:after="283"/>
              <w:jc w:val="left"/>
              <w:rPr/>
            </w:pPr>
            <w:r>
              <w:rPr/>
              <w:t> </w:t>
            </w:r>
          </w:p>
        </w:tc>
      </w:tr>
      <w:tr>
        <w:trPr/>
        <w:tc>
          <w:tcPr>
            <w:tcW w:w="5915" w:type="dxa"/>
            <w:tcBorders>
              <w:bottom w:val="single" w:sz="12" w:space="0" w:color="000000"/>
            </w:tcBorders>
            <w:tcMar>
              <w:bottom w:w="28" w:type="dxa"/>
            </w:tcMar>
            <w:vAlign w:val="center"/>
          </w:tcPr>
          <w:p>
            <w:pPr>
              <w:pStyle w:val="TableContents"/>
              <w:bidi w:val="0"/>
              <w:spacing w:before="0" w:after="283"/>
              <w:jc w:val="left"/>
              <w:rPr>
                <w:b/>
              </w:rPr>
            </w:pPr>
            <w:r>
              <w:rPr>
                <w:b/>
              </w:rPr>
              <w:t>Weighted average number of shares for the periods ended</w:t>
            </w:r>
          </w:p>
        </w:tc>
        <w:tc>
          <w:tcPr>
            <w:tcW w:w="60" w:type="dxa"/>
            <w:tcBorders/>
            <w:vAlign w:val="center"/>
          </w:tcPr>
          <w:p>
            <w:pPr>
              <w:pStyle w:val="TableContents"/>
              <w:bidi w:val="0"/>
              <w:spacing w:before="0" w:after="283"/>
              <w:jc w:val="left"/>
              <w:rPr/>
            </w:pPr>
            <w:r>
              <w:rPr/>
              <w:t> </w:t>
            </w:r>
          </w:p>
        </w:tc>
        <w:tc>
          <w:tcPr>
            <w:tcW w:w="11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pPr>
            <w:r>
              <w:rPr/>
              <w:t>Options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22,522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34,055</w:t>
            </w:r>
          </w:p>
        </w:tc>
        <w:tc>
          <w:tcPr>
            <w:tcW w:w="7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Unvested restricted stock unit awards</w:t>
            </w:r>
          </w:p>
        </w:tc>
        <w:tc>
          <w:tcPr>
            <w:tcW w:w="60"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tcMar>
              <w:bottom w:w="28" w:type="dxa"/>
            </w:tcMar>
            <w:vAlign w:val="center"/>
          </w:tcPr>
          <w:p>
            <w:pPr>
              <w:pStyle w:val="TableContents"/>
              <w:bidi w:val="0"/>
              <w:spacing w:before="0" w:after="283"/>
              <w:jc w:val="right"/>
              <w:rPr/>
            </w:pPr>
            <w:r>
              <w:rPr/>
              <w:t>83,237</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tcMar>
              <w:bottom w:w="28" w:type="dxa"/>
            </w:tcMar>
            <w:vAlign w:val="center"/>
          </w:tcPr>
          <w:p>
            <w:pPr>
              <w:pStyle w:val="TableContents"/>
              <w:bidi w:val="0"/>
              <w:spacing w:before="0" w:after="283"/>
              <w:jc w:val="right"/>
              <w:rPr/>
            </w:pPr>
            <w:r>
              <w:rPr/>
              <w:t>59,749</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double" w:sz="10" w:space="0" w:color="000000"/>
            </w:tcBorders>
            <w:shd w:fill="CCEEFF" w:val="clear"/>
            <w:tcMar>
              <w:bottom w:w="28" w:type="dxa"/>
            </w:tcMar>
            <w:vAlign w:val="center"/>
          </w:tcPr>
          <w:p>
            <w:pPr>
              <w:pStyle w:val="TableContents"/>
              <w:bidi w:val="0"/>
              <w:spacing w:before="0" w:after="283"/>
              <w:jc w:val="right"/>
              <w:rPr/>
            </w:pPr>
            <w:r>
              <w:rPr/>
              <w:t>105,759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double" w:sz="10" w:space="0" w:color="000000"/>
            </w:tcBorders>
            <w:shd w:fill="CCEEFF" w:val="clear"/>
            <w:tcMar>
              <w:bottom w:w="28" w:type="dxa"/>
            </w:tcMar>
            <w:vAlign w:val="center"/>
          </w:tcPr>
          <w:p>
            <w:pPr>
              <w:pStyle w:val="TableContents"/>
              <w:bidi w:val="0"/>
              <w:spacing w:before="0" w:after="283"/>
              <w:jc w:val="right"/>
              <w:rPr/>
            </w:pPr>
            <w:r>
              <w:rPr/>
              <w:t>93,804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9 – COMMITMENTS AND CONTINGENT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enters into arrangements with partners to acquire minimum amounts of media, data or messaging capabilities. As of March 31, 2023, the Company had commitments for future minimum payments of $22.6 million that will be reflected in cost of revenues during the years from 2024 through 2028. Minimum payments are due in the remainder of 2024 and fiscal 2025, 2026, 2027 and 2028 in the amounts of $8.5 million, $8.3 million, $3.3 million, $2.4 million and $0.1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10 –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a provision for income taxes of $344 for the three months ended March 31, 2024, representing an effective tax rate of (5.2)%. The effective tax rate for the three months ended March 31, 2024 reflects the impact of certain permanent items, projected increases in our valuation allowance during the year and discrete items for the quarter related to 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provision for or benefit from taxes in the three months ended March 31, 2023, as we carried a full valuation allowance against our net deferred tax assets due to our history of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our annual report on Form 10-K for the year ended December 31, 2023, we had net operating loss carry-forwards for federal income tax purposes of approximately $16.7 million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11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3"/>
      <w:bookmarkEnd w:id="1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and uncertainties. Actual results could differ materially from those expressed in or implied by such forward-looking statements due to a variety of factors, including: our history of losses, seasonal trends in the pharmaceutical brand marketing industry; the inability to support our technology and scale our operations successfully, developing and implementing new and updated applications, features and services for our solutions may be more difficult and expensive and take longer than expected; the inability to offer high-quality customer support for our solutions; dependence on a concentrated group of customers; inability to maintain contracts with electronic prescription platforms, agreements with electronic prescription platforms and electronic health record systems being subject to audit; inability to attract and retain customers; inability to comply with laws and regulations that affect the healthcare industry; competition; developments in the healthcare industry; inability to manage growth; inability to identify suitable acquisition targets, complete acquisitions, or integrate acquisitions successfully; acquisition activities may disrupt ongoing business and may involve increased expenses; inability to realize the financial and strategic goals contemplated at the time of a transaction; inability to realize any synergies or other anticipated benefits of an acquisition or that such synergies or benefits may take longer than anticipated to be realized; risk that the integration with an acquired entity may be more costly or difficult than expected; impairment charges for goodwill or other intangible assets may be increased as we shift our focus away from our non-core businesses; inability to comply with the restrictions in our credit agreement; inability to generate sufficient cash to service debt and fund other obligations; inability to attract and retain senior management and other key employees; economic, political, regulatory and other risks arising from our international operations; inability to protect our intellectual property; cybersecurity incidents; reduction in the performance, reliability and availability of our network infrastructure; increases in costs due to inflation and other adverse economic conditions; decreases in customer demand due to macroeconomic factors; lack of a consistent active trading market for our common stock; volatility in the market price of our common stock; and the failure to remediate the identified material weakness or any other material weaknesses identified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and uncertainties included here are not exhaustive. Further information concerning our business, including additional factors that could materially affect our financial results, is included herein and in our other filings with the SEC, including our Annual Report on Form 10-K for the year ended December 31, 2023. Moreover, we operate in a rapidly changing and competitive environment. New risk factors emerge from time to time, and it is not possible for management to predict all such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it is not possible to assess the effect of all risk factors on our businesses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 addition, we disclaim any obligation to update any forward-looking statements to reflect events or circumstances that occur after the date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digital health technology company enabling care-focused engagement between life sciences organizations, healthcare providers, and patients at critical junctures throughout the patient care journey. Connecting over two million U.S. healthcare providers and millions of their patients through an intelligent omnichannel technology platform embedded within a proprietary point-of-care network, as well as mass digital communications channels, OptimizeRx helps life sciences organizations engage and support their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revenue was generated primarily through the facilitation of various types of messages to health care providers via their EHR systems and ERx platforms using the OptimizeRx proprietary network to solve the ever-increasing communication barriers between pharmaceutical representatives and healthcare providers that have presented in the rapidly changing healthcare industry. Over time, the demand for different types of communication and marketing solutions among life sciences organizations, healthcare providers, and patients led us to expand upon our initial solutions to increase the variety of health-related information we deliver, as well as the platforms, technology, media distribution channels, and audiences through and to which we deliver. In addition, the October 2023 acquisition of Medicx Health provided the Company with a significant footprint for direct-to-consumer healthcare marketing. Today, we offer diverse tech-enabled marketing solutions through our AI-generated DAAP, using sophisticated machine-learning algorithms to find the best audiences in the correct channels at the right time. Customers are able to execute traditional marketing campaigns on our proprietary digital point-of-care network, as well as dynamic marketing campaigns that optimize audiences in real time to increase the value of treatment information for healthcare professionals and patients in response to clinical care events. We employ a “land and expand” strategy focused on growing our existing client base and generating greater and more consistent revenues in part through the continued shift in our business model toward enterprise level engagements, while also broadening our omnichannel network. Our strategy for driving revenue growth is also expected to work in tandem with our efforts to increase margin and profitability as revenue drivers such as DAAP have inherently higher margins than most other messaging solutions we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pharmaceutical industry is dominated by large companies with multiple brands, our revenue is concentrated in a relatively small number of companies. We have approximately 100 pharmaceutical companies as customers, and our revenues are concentrated in these customers. Loss of one of more of our larger customers could have a negative impact on our operating results. Our top five customers represented approximately 44% and 39% of our revenue for the years ended December 31, 2023 and December 31, 2022, respectively. In each of 2023 and 2022, we had one customer that each represented more than 10% of our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pharmaceutical brand marketing industry experiences seasonal trends that affect the vast majority of participants in the pharmaceutical digital marketing industry. Many pharmaceutical companies allocate the largest portion of their brand marketing to the fourth quarter of the calendar year. As a result, the first quarter tends to reflect lower activity levels and lower revenue, with gradual increases in the following quarters. We generally expect these seasonality trends to continue and our ability to effectively manage our resources in anticipation of these trends may affect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Macroeconomic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conditions in the economy may negatively affect the growth of our business and our results of operations. For example, macroeconomic events including rising inflation and high interest rates have led to economic uncertainty. In addition, high levels of employee turnover across the pharmaceutical industry as well as a fewer number of U.S. drug approvals could create additional uncertainty within our target customer markets. Historically, during periods of economic uncertainty and downturns, businesses may slow spending, which may impact our business and our customers’ businesses. Adverse changes in demand could impact our business, collection of accounts receivable and our expected cash flow generation, which may adversely impact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Indicators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the following key performance indicators to help us evaluate our business, measure our performance, identify trends affecting our business and make strategic decisions. We have updated the definition of “top 20 pharmaceutical manufacturers” in our key performance indicators to be based upon Fierce Pharma’s most updated list of “The top 20 pharma companies by 2023 revenue”. We previously used “The top 20 pharma companies by 2022 revenue”. As a result of this change, prior periods have been restated for comparative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Average revenue per top 20 pharmaceutical manufacturer. </w:t>
      </w:r>
      <w:r>
        <w:rPr>
          <w:rFonts w:ascii="Times New Roman;Times;Serif" w:hAnsi="Times New Roman;Times;Serif"/>
          <w:b w:val="false"/>
          <w:i w:val="false"/>
          <w:caps w:val="false"/>
          <w:smallCaps w:val="false"/>
          <w:sz w:val="20"/>
        </w:rPr>
        <w:t>Average revenue per top 20 pharmaceutical manufacturer is calculated by taking the total revenue the company recognized through pharmaceutical manufacturers listed in Fierce Pharma’s “The top 20 pharma companies by 2023 revenue” over the last twelve months, divided by the total number of the aforementioned pharmaceutical manufacturers that our solutions helped support over that time period. The Company uses this metric to monitor its progress in “landing and expanding” with key customers within its largest customer vertical and believe it also provides investors with a transparent way to chart our progress in penetrating this important customer segment. The increase in the average in twelve months ended March 31, 2024 as compared to the twelve months ended March 31, 2023 is primarily the result of stronger DAAP related revenue streams and the Company’s October 2023 acquisition of Medicx Health, which added to 2024 revenues and was not included in the 2023 amounts (in thousands).</w:t>
      </w:r>
    </w:p>
    <w:p>
      <w:pPr>
        <w:pStyle w:val="TextBody"/>
        <w:bidi w:val="0"/>
        <w:spacing w:before="0" w:after="0"/>
        <w:ind w:left="0" w:right="0" w:hanging="0"/>
        <w:jc w:val="both"/>
        <w:rPr>
          <w:caps w:val="false"/>
          <w:smallCaps w:val="false"/>
        </w:rPr>
      </w:pPr>
      <w:r>
        <w:rPr>
          <w:caps w:val="false"/>
          <w:smallCaps w:val="false"/>
        </w:rPr>
        <w:t> </w:t>
      </w:r>
    </w:p>
    <w:tbl>
      <w:tblPr>
        <w:tblW w:w="7626" w:type="dxa"/>
        <w:jc w:val="left"/>
        <w:tblInd w:w="0" w:type="dxa"/>
        <w:tblLayout w:type="fixed"/>
        <w:tblCellMar>
          <w:top w:w="0" w:type="dxa"/>
          <w:left w:w="0" w:type="dxa"/>
          <w:bottom w:w="0" w:type="dxa"/>
          <w:right w:w="0" w:type="dxa"/>
        </w:tblCellMar>
      </w:tblPr>
      <w:tblGrid>
        <w:gridCol w:w="5465"/>
        <w:gridCol w:w="60"/>
        <w:gridCol w:w="186"/>
        <w:gridCol w:w="747"/>
        <w:gridCol w:w="80"/>
        <w:gridCol w:w="80"/>
        <w:gridCol w:w="186"/>
        <w:gridCol w:w="747"/>
        <w:gridCol w:w="75"/>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6"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Rolling Twelve Months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March 31,</w:t>
            </w:r>
          </w:p>
        </w:tc>
        <w:tc>
          <w:tcPr>
            <w:tcW w:w="75"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Average revenue per top 20 pharmaceutical manufacturer</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747" w:type="dxa"/>
            <w:tcBorders/>
            <w:shd w:fill="CCEEFF" w:val="clear"/>
            <w:vAlign w:val="center"/>
          </w:tcPr>
          <w:p>
            <w:pPr>
              <w:pStyle w:val="TableContents"/>
              <w:bidi w:val="0"/>
              <w:spacing w:before="0" w:after="283"/>
              <w:jc w:val="right"/>
              <w:rPr/>
            </w:pPr>
            <w:r>
              <w:rPr/>
              <w:t>2,537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747" w:type="dxa"/>
            <w:tcBorders/>
            <w:shd w:fill="CCEEFF" w:val="clear"/>
            <w:vAlign w:val="center"/>
          </w:tcPr>
          <w:p>
            <w:pPr>
              <w:pStyle w:val="TableContents"/>
              <w:bidi w:val="0"/>
              <w:spacing w:before="0" w:after="283"/>
              <w:jc w:val="right"/>
              <w:rPr/>
            </w:pPr>
            <w:r>
              <w:rPr/>
              <w:t>1,823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Percent of top 20 pharmaceutical manufacturers that are customers. </w:t>
      </w:r>
      <w:r>
        <w:rPr>
          <w:rFonts w:ascii="Times New Roman;Times;Serif" w:hAnsi="Times New Roman;Times;Serif"/>
          <w:b w:val="false"/>
          <w:i w:val="false"/>
          <w:caps w:val="false"/>
          <w:smallCaps w:val="false"/>
          <w:sz w:val="20"/>
        </w:rPr>
        <w:t>Percent of top 20 pharmaceutical manufacturers that are customers is calculated by taking the number of revenue generating customers that are pharmaceutical manufacturers listed in Fierce Pharma’s “The top 20 pharma companies by 2023 revenue” over the last 12 months, which is then divided by 20—which is the number of pharmaceutical manufacturers included in the aforementioned list. The Company uses this metric to monitor its progress in penetrating key customers within its largest customer vertical and believes it also provides investors with a transparent way to chart our progress in penetrating this important customer segment. Our penetration within this core customer group stayed consistent from the twelve months ended March 31, 2023 to the twelve months ended March 31, 2024.</w:t>
      </w:r>
    </w:p>
    <w:p>
      <w:pPr>
        <w:pStyle w:val="TextBody"/>
        <w:bidi w:val="0"/>
        <w:spacing w:before="0" w:after="0"/>
        <w:ind w:left="0" w:right="0" w:hanging="0"/>
        <w:jc w:val="both"/>
        <w:rPr>
          <w:caps w:val="false"/>
          <w:smallCaps w:val="false"/>
        </w:rPr>
      </w:pPr>
      <w:r>
        <w:rPr>
          <w:caps w:val="false"/>
          <w:smallCaps w:val="false"/>
        </w:rPr>
        <w:t> </w:t>
      </w:r>
    </w:p>
    <w:tbl>
      <w:tblPr>
        <w:tblW w:w="8564" w:type="dxa"/>
        <w:jc w:val="left"/>
        <w:tblInd w:w="0" w:type="dxa"/>
        <w:tblLayout w:type="fixed"/>
        <w:tblCellMar>
          <w:top w:w="0" w:type="dxa"/>
          <w:left w:w="0" w:type="dxa"/>
          <w:bottom w:w="0" w:type="dxa"/>
          <w:right w:w="0" w:type="dxa"/>
        </w:tblCellMar>
      </w:tblPr>
      <w:tblGrid>
        <w:gridCol w:w="6290"/>
        <w:gridCol w:w="60"/>
        <w:gridCol w:w="103"/>
        <w:gridCol w:w="653"/>
        <w:gridCol w:w="369"/>
        <w:gridCol w:w="103"/>
        <w:gridCol w:w="103"/>
        <w:gridCol w:w="653"/>
        <w:gridCol w:w="23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Rolling Twelve 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March 31,</w:t>
            </w:r>
          </w:p>
        </w:tc>
        <w:tc>
          <w:tcPr>
            <w:tcW w:w="23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69"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Percent of top 20 pharmaceutical manufacturers that are customers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100</w:t>
            </w:r>
          </w:p>
        </w:tc>
        <w:tc>
          <w:tcPr>
            <w:tcW w:w="369"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Percent of total revenue attributable to top 20 pharmaceutical manufacturers.</w:t>
      </w:r>
      <w:r>
        <w:rPr>
          <w:rFonts w:ascii="Times New Roman;Times;Serif" w:hAnsi="Times New Roman;Times;Serif"/>
          <w:b w:val="false"/>
          <w:i w:val="false"/>
          <w:caps w:val="false"/>
          <w:smallCaps w:val="false"/>
          <w:sz w:val="20"/>
        </w:rPr>
        <w:t xml:space="preserve"> Percent of total revenue attributable to top 20 pharmaceutical manufacturers is calculated by taking the total revenue the company recognized through pharmaceutical manufacturers listed in Fierce Pharma’s “The top 20 pharma companies by 2023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w:t>
      </w:r>
    </w:p>
    <w:p>
      <w:pPr>
        <w:pStyle w:val="TextBody"/>
        <w:bidi w:val="0"/>
        <w:spacing w:before="0" w:after="0"/>
        <w:ind w:left="0" w:right="0" w:hanging="0"/>
        <w:jc w:val="left"/>
        <w:rPr>
          <w:caps w:val="false"/>
          <w:smallCaps w:val="false"/>
        </w:rPr>
      </w:pPr>
      <w:r>
        <w:rPr>
          <w:caps w:val="false"/>
          <w:smallCaps w:val="false"/>
        </w:rPr>
        <w:t> </w:t>
      </w:r>
    </w:p>
    <w:tbl>
      <w:tblPr>
        <w:tblW w:w="9897" w:type="dxa"/>
        <w:jc w:val="left"/>
        <w:tblInd w:w="0" w:type="dxa"/>
        <w:tblLayout w:type="fixed"/>
        <w:tblCellMar>
          <w:top w:w="0" w:type="dxa"/>
          <w:left w:w="0" w:type="dxa"/>
          <w:bottom w:w="0" w:type="dxa"/>
          <w:right w:w="0" w:type="dxa"/>
        </w:tblCellMar>
      </w:tblPr>
      <w:tblGrid>
        <w:gridCol w:w="7160"/>
        <w:gridCol w:w="60"/>
        <w:gridCol w:w="160"/>
        <w:gridCol w:w="696"/>
        <w:gridCol w:w="575"/>
        <w:gridCol w:w="160"/>
        <w:gridCol w:w="160"/>
        <w:gridCol w:w="696"/>
        <w:gridCol w:w="230"/>
      </w:tblGrid>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Rolling Twelve Months </w:t>
              <w:br/>
              <w:t>Ended March 31,</w:t>
            </w:r>
          </w:p>
        </w:tc>
        <w:tc>
          <w:tcPr>
            <w:tcW w:w="23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5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8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Percent of total revenue attributable to top 20 pharmaceutical manufacturers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65</w:t>
            </w:r>
          </w:p>
        </w:tc>
        <w:tc>
          <w:tcPr>
            <w:tcW w:w="575" w:type="dxa"/>
            <w:tcBorders/>
            <w:shd w:fill="CCEEFF" w:val="clear"/>
            <w:vAlign w:val="center"/>
          </w:tcPr>
          <w:p>
            <w:pPr>
              <w:pStyle w:val="TableContents"/>
              <w:bidi w:val="0"/>
              <w:spacing w:before="0" w:after="283"/>
              <w:jc w:val="left"/>
              <w:rPr/>
            </w:pPr>
            <w:r>
              <w:rPr/>
              <w:t>%</w:t>
            </w:r>
          </w:p>
        </w:tc>
        <w:tc>
          <w:tcPr>
            <w:tcW w:w="1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59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 retention.</w:t>
      </w:r>
      <w:r>
        <w:rPr>
          <w:rFonts w:ascii="Times New Roman;Times;Serif" w:hAnsi="Times New Roman;Times;Serif"/>
          <w:b w:val="false"/>
          <w:i w:val="false"/>
          <w:caps w:val="false"/>
          <w:smallCaps w:val="false"/>
          <w:sz w:val="20"/>
        </w:rPr>
        <w:t xml:space="preserve"> Net revenue retention is a comparison of revenue generated from all customers in the previous twelve-month period to total 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The retention rate in the twelve months ended March 31, 2024 was higher due to stronger DAAP related revenue and the acquisition of Medicx Health in the fourth quarter of 2023.</w:t>
      </w:r>
    </w:p>
    <w:p>
      <w:pPr>
        <w:pStyle w:val="TextBody"/>
        <w:bidi w:val="0"/>
        <w:spacing w:before="0" w:after="0"/>
        <w:ind w:left="0" w:right="0" w:hanging="0"/>
        <w:jc w:val="both"/>
        <w:rPr>
          <w:caps w:val="false"/>
          <w:smallCaps w:val="false"/>
        </w:rPr>
      </w:pPr>
      <w:r>
        <w:rPr>
          <w:caps w:val="false"/>
          <w:smallCaps w:val="false"/>
        </w:rPr>
        <w:t> </w:t>
      </w:r>
    </w:p>
    <w:tbl>
      <w:tblPr>
        <w:tblW w:w="4391" w:type="dxa"/>
        <w:jc w:val="left"/>
        <w:tblInd w:w="0" w:type="dxa"/>
        <w:tblLayout w:type="fixed"/>
        <w:tblCellMar>
          <w:top w:w="0" w:type="dxa"/>
          <w:left w:w="0" w:type="dxa"/>
          <w:bottom w:w="0" w:type="dxa"/>
          <w:right w:w="0" w:type="dxa"/>
        </w:tblCellMar>
      </w:tblPr>
      <w:tblGrid>
        <w:gridCol w:w="2075"/>
        <w:gridCol w:w="60"/>
        <w:gridCol w:w="117"/>
        <w:gridCol w:w="745"/>
        <w:gridCol w:w="421"/>
        <w:gridCol w:w="117"/>
        <w:gridCol w:w="117"/>
        <w:gridCol w:w="509"/>
        <w:gridCol w:w="230"/>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6"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Rolling Twelve Months </w:t>
              <w:br/>
              <w:t>Ended March 31,</w:t>
            </w:r>
          </w:p>
        </w:tc>
        <w:tc>
          <w:tcPr>
            <w:tcW w:w="23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421"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6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pPr>
            <w:r>
              <w:rPr/>
              <w:t>Net revenue retention</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116</w:t>
            </w:r>
          </w:p>
        </w:tc>
        <w:tc>
          <w:tcPr>
            <w:tcW w:w="421" w:type="dxa"/>
            <w:tcBorders/>
            <w:shd w:fill="CCEEFF" w:val="clear"/>
            <w:vAlign w:val="center"/>
          </w:tcPr>
          <w:p>
            <w:pPr>
              <w:pStyle w:val="TableContents"/>
              <w:bidi w:val="0"/>
              <w:spacing w:before="0" w:after="283"/>
              <w:jc w:val="lef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right"/>
              <w:rPr/>
            </w:pPr>
            <w:r>
              <w:rPr/>
              <w:t>86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 per average full-time employee.</w:t>
      </w:r>
      <w:r>
        <w:rPr>
          <w:rFonts w:ascii="Times New Roman;Times;Serif" w:hAnsi="Times New Roman;Times;Serif"/>
          <w:b w:val="false"/>
          <w:i w:val="false"/>
          <w:caps w:val="false"/>
          <w:smallCaps w:val="false"/>
          <w:sz w:val="20"/>
        </w:rPr>
        <w:t xml:space="preserve"> We define revenue per average full-time employee (“FTE”), as total revenue over the last twelve months divided by the 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per employee increased year over year due to revenue growing at a higher rate than the average number of FTEs over the last 12 month period (in thousands).</w:t>
      </w:r>
    </w:p>
    <w:p>
      <w:pPr>
        <w:pStyle w:val="TextBody"/>
        <w:bidi w:val="0"/>
        <w:spacing w:before="0" w:after="0"/>
        <w:ind w:left="0" w:right="0" w:hanging="0"/>
        <w:jc w:val="both"/>
        <w:rPr>
          <w:caps w:val="false"/>
          <w:smallCaps w:val="false"/>
        </w:rPr>
      </w:pPr>
      <w:r>
        <w:rPr>
          <w:caps w:val="false"/>
          <w:smallCaps w:val="false"/>
        </w:rPr>
        <w:t> </w:t>
      </w:r>
    </w:p>
    <w:tbl>
      <w:tblPr>
        <w:tblW w:w="5977" w:type="dxa"/>
        <w:jc w:val="left"/>
        <w:tblInd w:w="0" w:type="dxa"/>
        <w:tblLayout w:type="fixed"/>
        <w:tblCellMar>
          <w:top w:w="0" w:type="dxa"/>
          <w:left w:w="0" w:type="dxa"/>
          <w:bottom w:w="0" w:type="dxa"/>
          <w:right w:w="0" w:type="dxa"/>
        </w:tblCellMar>
      </w:tblPr>
      <w:tblGrid>
        <w:gridCol w:w="3860"/>
        <w:gridCol w:w="60"/>
        <w:gridCol w:w="239"/>
        <w:gridCol w:w="650"/>
        <w:gridCol w:w="102"/>
        <w:gridCol w:w="102"/>
        <w:gridCol w:w="239"/>
        <w:gridCol w:w="650"/>
        <w:gridCol w:w="75"/>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Rolling Twelve 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March 31,</w:t>
            </w:r>
          </w:p>
        </w:tc>
        <w:tc>
          <w:tcPr>
            <w:tcW w:w="7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Revenue per average full-time employee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jc w:val="right"/>
              <w:rPr/>
            </w:pPr>
            <w:r>
              <w:rPr/>
              <w:t>641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jc w:val="right"/>
              <w:rPr/>
            </w:pPr>
            <w:r>
              <w:rPr/>
              <w:t>605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Months Ended March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sets forth, for the periods indicated, the dollar value and percentage of net revenue represented by certain items in our consolidated statements of operations (in thousands):</w:t>
      </w:r>
    </w:p>
    <w:p>
      <w:pPr>
        <w:pStyle w:val="TextBody"/>
        <w:bidi w:val="0"/>
        <w:spacing w:before="0" w:after="0"/>
        <w:ind w:left="0" w:right="0" w:hanging="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3710"/>
        <w:gridCol w:w="60"/>
        <w:gridCol w:w="140"/>
        <w:gridCol w:w="680"/>
        <w:gridCol w:w="95"/>
        <w:gridCol w:w="60"/>
        <w:gridCol w:w="60"/>
        <w:gridCol w:w="560"/>
        <w:gridCol w:w="290"/>
        <w:gridCol w:w="60"/>
        <w:gridCol w:w="140"/>
        <w:gridCol w:w="680"/>
        <w:gridCol w:w="95"/>
        <w:gridCol w:w="60"/>
        <w:gridCol w:w="60"/>
        <w:gridCol w:w="560"/>
        <w:gridCol w:w="305"/>
      </w:tblGrid>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305"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30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19,690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13,003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305" w:type="dxa"/>
            <w:tcBorders/>
            <w:shd w:fill="CCEEFF" w:val="clear"/>
            <w:vAlign w:val="center"/>
          </w:tcPr>
          <w:p>
            <w:pPr>
              <w:pStyle w:val="TableContents"/>
              <w:bidi w:val="0"/>
              <w:spacing w:before="0" w:after="283"/>
              <w:jc w:val="left"/>
              <w:rPr/>
            </w:pPr>
            <w:r>
              <w:rPr/>
              <w:t>%</w:t>
            </w:r>
          </w:p>
        </w:tc>
      </w:tr>
      <w:tr>
        <w:trPr/>
        <w:tc>
          <w:tcPr>
            <w:tcW w:w="3710" w:type="dxa"/>
            <w:tcBorders/>
            <w:vAlign w:val="center"/>
          </w:tcPr>
          <w:p>
            <w:pPr>
              <w:pStyle w:val="TableContents"/>
              <w:bidi w:val="0"/>
              <w:spacing w:before="0" w:after="283"/>
              <w:jc w:val="left"/>
              <w:rPr/>
            </w:pPr>
            <w:r>
              <w:rPr/>
              <w:t>Cost of revenues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pPr>
            <w:r>
              <w:rPr/>
              <w:t>7,486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38.0</w:t>
            </w:r>
          </w:p>
        </w:tc>
        <w:tc>
          <w:tcPr>
            <w:tcW w:w="29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pPr>
            <w:r>
              <w:rPr/>
              <w:t>5,570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42.8</w:t>
            </w:r>
          </w:p>
        </w:tc>
        <w:tc>
          <w:tcPr>
            <w:tcW w:w="305" w:type="dxa"/>
            <w:tcBorders/>
            <w:vAlign w:val="center"/>
          </w:tcPr>
          <w:p>
            <w:pPr>
              <w:pStyle w:val="TableContents"/>
              <w:bidi w:val="0"/>
              <w:spacing w:before="0" w:after="283"/>
              <w:jc w:val="left"/>
              <w:rPr/>
            </w:pPr>
            <w:r>
              <w:rPr/>
              <w:t>%</w:t>
            </w:r>
          </w:p>
        </w:tc>
      </w:tr>
      <w:tr>
        <w:trPr/>
        <w:tc>
          <w:tcPr>
            <w:tcW w:w="371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62.0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57.2</w:t>
            </w:r>
          </w:p>
        </w:tc>
        <w:tc>
          <w:tcPr>
            <w:tcW w:w="305" w:type="dxa"/>
            <w:tcBorders/>
            <w:shd w:fill="CCEEFF" w:val="clear"/>
            <w:vAlign w:val="center"/>
          </w:tcPr>
          <w:p>
            <w:pPr>
              <w:pStyle w:val="TableContents"/>
              <w:bidi w:val="0"/>
              <w:spacing w:before="0" w:after="283"/>
              <w:jc w:val="left"/>
              <w:rPr/>
            </w:pPr>
            <w:r>
              <w:rPr/>
              <w:t>%</w:t>
            </w:r>
          </w:p>
        </w:tc>
      </w:tr>
      <w:tr>
        <w:trPr/>
        <w:tc>
          <w:tcPr>
            <w:tcW w:w="3710"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pPr>
            <w:r>
              <w:rPr/>
              <w:t>17,233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87.5</w:t>
            </w:r>
          </w:p>
        </w:tc>
        <w:tc>
          <w:tcPr>
            <w:tcW w:w="29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pPr>
            <w:r>
              <w:rPr/>
              <w:t>14,496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111.5</w:t>
            </w:r>
          </w:p>
        </w:tc>
        <w:tc>
          <w:tcPr>
            <w:tcW w:w="305" w:type="dxa"/>
            <w:tcBorders/>
            <w:vAlign w:val="center"/>
          </w:tcPr>
          <w:p>
            <w:pPr>
              <w:pStyle w:val="TableContents"/>
              <w:bidi w:val="0"/>
              <w:spacing w:before="0" w:after="283"/>
              <w:jc w:val="left"/>
              <w:rPr/>
            </w:pPr>
            <w:r>
              <w:rPr/>
              <w:t>%</w:t>
            </w:r>
          </w:p>
        </w:tc>
      </w:tr>
      <w:tr>
        <w:trPr/>
        <w:tc>
          <w:tcPr>
            <w:tcW w:w="371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(25.5</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(7,063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(54.3</w:t>
            </w:r>
          </w:p>
        </w:tc>
        <w:tc>
          <w:tcPr>
            <w:tcW w:w="305" w:type="dxa"/>
            <w:tcBorders/>
            <w:shd w:fill="CCEEFF" w:val="clear"/>
            <w:vAlign w:val="center"/>
          </w:tcPr>
          <w:p>
            <w:pPr>
              <w:pStyle w:val="TableContents"/>
              <w:bidi w:val="0"/>
              <w:spacing w:before="0" w:after="283"/>
              <w:jc w:val="left"/>
              <w:rPr/>
            </w:pPr>
            <w:r>
              <w:rPr/>
              <w:t>)%</w:t>
            </w:r>
          </w:p>
        </w:tc>
      </w:tr>
      <w:tr>
        <w:trPr/>
        <w:tc>
          <w:tcPr>
            <w:tcW w:w="3710" w:type="dxa"/>
            <w:tcBorders/>
            <w:vAlign w:val="center"/>
          </w:tcPr>
          <w:p>
            <w:pPr>
              <w:pStyle w:val="TableContents"/>
              <w:bidi w:val="0"/>
              <w:spacing w:before="0" w:after="283"/>
              <w:jc w:val="left"/>
              <w:rPr/>
            </w:pPr>
            <w:r>
              <w:rPr/>
              <w:t>Other income (expense)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30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(7.9</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p>
        </w:tc>
      </w:tr>
      <w:tr>
        <w:trPr/>
        <w:tc>
          <w:tcPr>
            <w:tcW w:w="3710" w:type="dxa"/>
            <w:tcBorders/>
            <w:vAlign w:val="center"/>
          </w:tcPr>
          <w:p>
            <w:pPr>
              <w:pStyle w:val="TableContents"/>
              <w:bidi w:val="0"/>
              <w:spacing w:before="0" w:after="283"/>
              <w:jc w:val="left"/>
              <w:rPr/>
            </w:pPr>
            <w:r>
              <w:rPr/>
              <w:t>Interest income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pPr>
            <w:r>
              <w:rPr/>
              <w:t>20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tcMar>
              <w:bottom w:w="28" w:type="dxa"/>
            </w:tcMar>
            <w:vAlign w:val="center"/>
          </w:tcPr>
          <w:p>
            <w:pPr>
              <w:pStyle w:val="TableContents"/>
              <w:bidi w:val="0"/>
              <w:spacing w:before="0" w:after="283"/>
              <w:jc w:val="right"/>
              <w:rPr/>
            </w:pPr>
            <w:r>
              <w:rPr/>
              <w:t>0.1</w:t>
            </w:r>
          </w:p>
        </w:tc>
        <w:tc>
          <w:tcPr>
            <w:tcW w:w="29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right"/>
              <w:rPr/>
            </w:pPr>
            <w:r>
              <w:rPr/>
              <w:t>665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tcMar>
              <w:bottom w:w="28" w:type="dxa"/>
            </w:tcMar>
            <w:vAlign w:val="center"/>
          </w:tcPr>
          <w:p>
            <w:pPr>
              <w:pStyle w:val="TableContents"/>
              <w:bidi w:val="0"/>
              <w:spacing w:before="0" w:after="283"/>
              <w:jc w:val="right"/>
              <w:rPr/>
            </w:pPr>
            <w:r>
              <w:rPr/>
              <w:t>5.1</w:t>
            </w:r>
          </w:p>
        </w:tc>
        <w:tc>
          <w:tcPr>
            <w:tcW w:w="305" w:type="dxa"/>
            <w:tcBorders/>
            <w:vAlign w:val="center"/>
          </w:tcPr>
          <w:p>
            <w:pPr>
              <w:pStyle w:val="TableContents"/>
              <w:bidi w:val="0"/>
              <w:spacing w:before="0" w:after="283"/>
              <w:jc w:val="left"/>
              <w:rPr/>
            </w:pPr>
            <w:r>
              <w:rPr/>
              <w:t>%</w:t>
            </w:r>
          </w:p>
        </w:tc>
      </w:tr>
      <w:tr>
        <w:trPr/>
        <w:tc>
          <w:tcPr>
            <w:tcW w:w="3710" w:type="dxa"/>
            <w:tcBorders/>
            <w:shd w:fill="CCEEFF" w:val="clear"/>
            <w:vAlign w:val="center"/>
          </w:tcPr>
          <w:p>
            <w:pPr>
              <w:pStyle w:val="TableContents"/>
              <w:bidi w:val="0"/>
              <w:spacing w:before="0" w:after="283"/>
              <w:jc w:val="left"/>
              <w:rPr/>
            </w:pPr>
            <w:r>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(1,526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(7.8</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665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5.1</w:t>
            </w:r>
          </w:p>
        </w:tc>
        <w:tc>
          <w:tcPr>
            <w:tcW w:w="305" w:type="dxa"/>
            <w:tcBorders/>
            <w:shd w:fill="CCEEFF" w:val="clear"/>
            <w:vAlign w:val="center"/>
          </w:tcPr>
          <w:p>
            <w:pPr>
              <w:pStyle w:val="TableContents"/>
              <w:bidi w:val="0"/>
              <w:spacing w:before="0" w:after="283"/>
              <w:jc w:val="left"/>
              <w:rPr/>
            </w:pPr>
            <w:r>
              <w:rPr/>
              <w:t>%</w:t>
            </w:r>
          </w:p>
        </w:tc>
      </w:tr>
      <w:tr>
        <w:trPr/>
        <w:tc>
          <w:tcPr>
            <w:tcW w:w="3710" w:type="dxa"/>
            <w:tcBorders/>
            <w:vAlign w:val="center"/>
          </w:tcPr>
          <w:p>
            <w:pPr>
              <w:pStyle w:val="TableContents"/>
              <w:bidi w:val="0"/>
              <w:spacing w:before="0" w:after="283"/>
              <w:jc w:val="left"/>
              <w:rPr/>
            </w:pPr>
            <w:r>
              <w:rPr/>
              <w:t>Loss before provision for income taxes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(6,555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(33.3</w:t>
            </w:r>
          </w:p>
        </w:tc>
        <w:tc>
          <w:tcPr>
            <w:tcW w:w="29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(6,398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(49.2</w:t>
            </w:r>
          </w:p>
        </w:tc>
        <w:tc>
          <w:tcPr>
            <w:tcW w:w="305" w:type="dxa"/>
            <w:tcBorders/>
            <w:vAlign w:val="center"/>
          </w:tcPr>
          <w:p>
            <w:pPr>
              <w:pStyle w:val="TableContents"/>
              <w:bidi w:val="0"/>
              <w:spacing w:before="0" w:after="283"/>
              <w:jc w:val="left"/>
              <w:rPr/>
            </w:pPr>
            <w:r>
              <w:rPr/>
              <w:t>)%</w:t>
            </w:r>
          </w:p>
        </w:tc>
      </w:tr>
      <w:tr>
        <w:trPr/>
        <w:tc>
          <w:tcPr>
            <w:tcW w:w="3710"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p>
        </w:tc>
      </w:tr>
      <w:tr>
        <w:trPr/>
        <w:tc>
          <w:tcPr>
            <w:tcW w:w="3710"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tcMar>
              <w:bottom w:w="28" w:type="dxa"/>
            </w:tcMar>
            <w:vAlign w:val="center"/>
          </w:tcPr>
          <w:p>
            <w:pPr>
              <w:pStyle w:val="TableContents"/>
              <w:bidi w:val="0"/>
              <w:spacing w:before="0" w:after="283"/>
              <w:jc w:val="right"/>
              <w:rPr/>
            </w:pPr>
            <w:r>
              <w:rPr/>
              <w:t>(6,899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(35.0</w:t>
            </w:r>
          </w:p>
        </w:tc>
        <w:tc>
          <w:tcPr>
            <w:tcW w:w="29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tcMar>
              <w:bottom w:w="28" w:type="dxa"/>
            </w:tcMar>
            <w:vAlign w:val="center"/>
          </w:tcPr>
          <w:p>
            <w:pPr>
              <w:pStyle w:val="TableContents"/>
              <w:bidi w:val="0"/>
              <w:spacing w:before="0" w:after="283"/>
              <w:jc w:val="right"/>
              <w:rPr/>
            </w:pPr>
            <w:r>
              <w:rPr/>
              <w:t>(6,398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(49.2</w:t>
            </w:r>
          </w:p>
        </w:tc>
        <w:tc>
          <w:tcPr>
            <w:tcW w:w="305" w:type="dxa"/>
            <w:tcBorders/>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7908" w:type="dxa"/>
        <w:jc w:val="left"/>
        <w:tblInd w:w="0" w:type="dxa"/>
        <w:tblLayout w:type="fixed"/>
        <w:tblCellMar>
          <w:top w:w="0" w:type="dxa"/>
          <w:left w:w="0" w:type="dxa"/>
          <w:bottom w:w="0" w:type="dxa"/>
          <w:right w:w="0" w:type="dxa"/>
        </w:tblCellMar>
      </w:tblPr>
      <w:tblGrid>
        <w:gridCol w:w="38"/>
        <w:gridCol w:w="14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pPr>
            <w:r>
              <w:rPr/>
              <w:t>Balances and percentage of net revenue information may not add due to rounding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reported for the three months ended March 31, 2024 was approximately $19,690, an increase of 51% over the approximately $13,003 from the same period in 2023. The increase in revenue was as a result of the impact of the fourth quarter 2023 acquisition of Medicx Health, which was not included in the prior year numbers, plus growth of DAAP related sales. This increase was partially offset by a reduction of approximately $1,876 as a result of the disposal of our non-core Access solutions and the sale of certain non-core solutions-related contracts in the fourth quarter of 2023. Adjusting net revenues of $21,031 as shown in the pro-forma consolidated statement of operations data table in Note 1 to the condensed consolidated financial statements by the $1,876 of non-core solutions revenues included in 2023, the adjusted net revenues were $19,690 in 2024 versus $19,155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composed primarily of revenue share expense paid to our network partners as well as costs associated with licensing data from third parties, was approximately $7,486 for the three months ended March 31, 2024 compared to $5,570 for the same period of 2023. Our cost of revenues as a percentage of revenue decreased to approximately 38% for the quarter ended March 31, 2024 from approximately 42.8% for the quarter ended March 31, 2023. This improvement in cost of revenues as a percentage of revenue was a result of solution and channel mix. Additional discussion is included in the Gross Margin section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margin, which is the difference between our revenues and our cost of revenues, increased for three months ended March 31, 2024, as a result of solution and channel mix. During the three months ended March 31, 2024, we had higher revenues due to the fourth quarter acquisition of Medicx Health and growth in our DAAP related sales, leading to increased gross margin. Our overall margin percentage improved, compared with a year ago, as a result of an increased delivery of higher margin revenue solutions, such as DAAP, and using more cost-effective channel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increased to approximately $17,233 for the three months ended March 31, 2024 from approximately $14,496 for the same period in 2023, an increase of approximately 19%. The detail by major category is reflected in the table below (in thousands).</w:t>
      </w:r>
    </w:p>
    <w:p>
      <w:pPr>
        <w:pStyle w:val="TextBody"/>
        <w:bidi w:val="0"/>
        <w:spacing w:before="0" w:after="0"/>
        <w:ind w:left="0" w:right="0" w:hanging="0"/>
        <w:jc w:val="both"/>
        <w:rPr>
          <w:caps w:val="false"/>
          <w:smallCaps w:val="false"/>
        </w:rPr>
      </w:pPr>
      <w:r>
        <w:rPr>
          <w:caps w:val="false"/>
          <w:smallCaps w:val="false"/>
        </w:rPr>
        <w:t> </w:t>
      </w:r>
    </w:p>
    <w:tbl>
      <w:tblPr>
        <w:tblW w:w="6366" w:type="dxa"/>
        <w:jc w:val="left"/>
        <w:tblInd w:w="0" w:type="dxa"/>
        <w:tblLayout w:type="fixed"/>
        <w:tblCellMar>
          <w:top w:w="0" w:type="dxa"/>
          <w:left w:w="0" w:type="dxa"/>
          <w:bottom w:w="0" w:type="dxa"/>
          <w:right w:w="0" w:type="dxa"/>
        </w:tblCellMar>
      </w:tblPr>
      <w:tblGrid>
        <w:gridCol w:w="4025"/>
        <w:gridCol w:w="60"/>
        <w:gridCol w:w="175"/>
        <w:gridCol w:w="853"/>
        <w:gridCol w:w="75"/>
        <w:gridCol w:w="75"/>
        <w:gridCol w:w="175"/>
        <w:gridCol w:w="853"/>
        <w:gridCol w:w="75"/>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7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3,024</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4,381</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Depreciation and amortization</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1,067</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464</w:t>
            </w:r>
          </w:p>
        </w:tc>
        <w:tc>
          <w:tcPr>
            <w:tcW w:w="7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Other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13,142</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9,651</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Total operating expense</w:t>
            </w:r>
          </w:p>
        </w:tc>
        <w:tc>
          <w:tcPr>
            <w:tcW w:w="6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tcMar>
              <w:bottom w:w="28" w:type="dxa"/>
            </w:tcMar>
            <w:vAlign w:val="center"/>
          </w:tcPr>
          <w:p>
            <w:pPr>
              <w:pStyle w:val="TableContents"/>
              <w:bidi w:val="0"/>
              <w:spacing w:before="0" w:after="283"/>
              <w:jc w:val="right"/>
              <w:rPr/>
            </w:pPr>
            <w:r>
              <w:rPr/>
              <w:t>17,233</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tcMar>
              <w:bottom w:w="28" w:type="dxa"/>
            </w:tcMar>
            <w:vAlign w:val="center"/>
          </w:tcPr>
          <w:p>
            <w:pPr>
              <w:pStyle w:val="TableContents"/>
              <w:bidi w:val="0"/>
              <w:spacing w:before="0" w:after="283"/>
              <w:jc w:val="right"/>
              <w:rPr/>
            </w:pPr>
            <w:r>
              <w:rPr/>
              <w:t>14,496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decreased from approximately $4,381 for the three months ended March 31, 2023, to approximately $3,024 for the three months ended March 31, 2024. The decrease was a result of the lower grant date fair value of awards due to declines in the Company’s stock price as well as fewer equity awards made in the first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increased from approximately $464 for the three months ended March 31, 2023, to approximately $1,067 for the three months ended March 31, 2024. The increase was a result of the additional amortization from associated with the identifiable intangibles arising from the Medicx Health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general and administrative expenses increased from approximately $9,651 for the three months ended March 31, 2023 to approximately $13,142 for the same period in 2024. This increase is primarily as a result of increases in compensation expense, due to additional headcount as a result of the Medicx Health acquisition, professional fees, primarily audit and accounting fees, and partner integration incentives.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expense was approximately $1,546 for the three months ended March 31, 2024 and represents interest charges on our Term Loan, which was raised to partially fund the acquisition of Medicx Health in the fourth quarter of 2023, together with the amortization of the related issuance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decreased from approximately $665 for the three months ended March 31, 2023, to approximately $20 for the three months ended March 31, 2024. The decrease was a result of lower invested balances as we realized short-term investments during 2023 in order to partially fund the acquisition of Medicx Health.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was approximately $344, or an effective rate of 5.2%, for the three months ended March 31, 2024. For further information, see Part I, Item I. Financial Statements; Note 11 — Income Taxes in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 net loss of approximately $6,899 for the three months ended March 31, 2024, as compared to a net loss of approximately $6,398 during the same period in 2023. The reasons and specific components associated with the change are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primary sources of liquidity have been cash receipts from customers and proceeds from equity offerings, in addition, during the year ended December 31, 2023, the Company entered into a Term loan of $40.0 million in order to partially fund the acquisition of Medicx Health. As of March 31, 2024, the total principal balance outstanding on the Term loan was approximately $37.8 million and we were in compliance with all of the financial covenants of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we had total current assets of approximately $48.4 million, compared with current liabilities of approximately $16.8 million, resulting in working capital of approximately $31.6 million and a current ratio of approximately 2.9 to 1. This represents a decrease from our working capital of approximately $36.4 million and an decrease from the current ratio of 3.0 to 1 at December 31, 2023. This decrease in our working capital is discussed in more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funds generated from operations, together with existing cash, will be sufficient to finance our current operations and meet our obligations under the Term loan for the next twelve (12) months. In addition, we believe we can generate the cash needed to operate beyond the next 12 months from operations. However, we may seek additional debt, equity financing, or lines of credit to supplement cash from operations to fund acquisitions or strategic partner relationships, make capital expenditures, and satisfy working capital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is a table with summary data from the consolidated statements of cash flows for the three months ended March 31, 2024 and 2023, as presented (in thousands).</w:t>
      </w:r>
    </w:p>
    <w:p>
      <w:pPr>
        <w:pStyle w:val="TextBody"/>
        <w:bidi w:val="0"/>
        <w:spacing w:before="0" w:after="0"/>
        <w:ind w:left="0" w:right="0" w:hanging="0"/>
        <w:jc w:val="left"/>
        <w:rPr>
          <w:caps w:val="false"/>
          <w:smallCaps w:val="false"/>
        </w:rPr>
      </w:pPr>
      <w:r>
        <w:rPr>
          <w:caps w:val="false"/>
          <w:smallCaps w:val="false"/>
        </w:rPr>
        <w:t> </w:t>
      </w:r>
    </w:p>
    <w:tbl>
      <w:tblPr>
        <w:tblW w:w="7331" w:type="dxa"/>
        <w:jc w:val="left"/>
        <w:tblInd w:w="0" w:type="dxa"/>
        <w:tblLayout w:type="fixed"/>
        <w:tblCellMar>
          <w:top w:w="0" w:type="dxa"/>
          <w:left w:w="0" w:type="dxa"/>
          <w:bottom w:w="0" w:type="dxa"/>
          <w:right w:w="0" w:type="dxa"/>
        </w:tblCellMar>
      </w:tblPr>
      <w:tblGrid>
        <w:gridCol w:w="4955"/>
        <w:gridCol w:w="60"/>
        <w:gridCol w:w="189"/>
        <w:gridCol w:w="759"/>
        <w:gridCol w:w="128"/>
        <w:gridCol w:w="81"/>
        <w:gridCol w:w="189"/>
        <w:gridCol w:w="860"/>
        <w:gridCol w:w="110"/>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759" w:type="dxa"/>
            <w:tcBorders/>
            <w:shd w:fill="CCEEFF" w:val="clear"/>
            <w:vAlign w:val="center"/>
          </w:tcPr>
          <w:p>
            <w:pPr>
              <w:pStyle w:val="TableContents"/>
              <w:bidi w:val="0"/>
              <w:spacing w:before="0" w:after="283"/>
              <w:jc w:val="right"/>
              <w:rPr/>
            </w:pPr>
            <w:r>
              <w:rPr/>
              <w:t>2,118</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(86</w:t>
            </w:r>
          </w:p>
        </w:tc>
        <w:tc>
          <w:tcPr>
            <w:tcW w:w="110" w:type="dxa"/>
            <w:tcBorders/>
            <w:shd w:fill="CCEEFF" w:val="clear"/>
            <w:vAlign w:val="center"/>
          </w:tcPr>
          <w:p>
            <w:pPr>
              <w:pStyle w:val="TableContents"/>
              <w:bidi w:val="0"/>
              <w:spacing w:before="0" w:after="283"/>
              <w:jc w:val="left"/>
              <w:rPr/>
            </w:pPr>
            <w:r>
              <w:rPr/>
              <w:t>)</w:t>
            </w:r>
          </w:p>
        </w:tc>
      </w:tr>
      <w:tr>
        <w:trPr/>
        <w:tc>
          <w:tcPr>
            <w:tcW w:w="4955" w:type="dxa"/>
            <w:tcBorders/>
            <w:vAlign w:val="center"/>
          </w:tcPr>
          <w:p>
            <w:pPr>
              <w:pStyle w:val="TableContents"/>
              <w:bidi w:val="0"/>
              <w:spacing w:before="0" w:after="283"/>
              <w:jc w:val="left"/>
              <w:rPr/>
            </w:pPr>
            <w:r>
              <w:rPr/>
              <w:t>Net cash used in investing activities</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(153</w:t>
            </w:r>
          </w:p>
        </w:tc>
        <w:tc>
          <w:tcPr>
            <w:tcW w:w="128" w:type="dxa"/>
            <w:tcBorders/>
            <w:vAlign w:val="center"/>
          </w:tcPr>
          <w:p>
            <w:pPr>
              <w:pStyle w:val="TableContents"/>
              <w:bidi w:val="0"/>
              <w:spacing w:before="0" w:after="283"/>
              <w:jc w:val="left"/>
              <w:rPr/>
            </w:pPr>
            <w:r>
              <w:rPr/>
              <w:t>)</w:t>
            </w:r>
          </w:p>
        </w:tc>
        <w:tc>
          <w:tcPr>
            <w:tcW w:w="81"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(1,550</w:t>
            </w:r>
          </w:p>
        </w:tc>
        <w:tc>
          <w:tcPr>
            <w:tcW w:w="110" w:type="dxa"/>
            <w:tcBorders/>
            <w:vAlign w:val="center"/>
          </w:tcPr>
          <w:p>
            <w:pPr>
              <w:pStyle w:val="TableContents"/>
              <w:bidi w:val="0"/>
              <w:spacing w:before="0" w:after="283"/>
              <w:jc w:val="left"/>
              <w:rPr/>
            </w:pPr>
            <w:r>
              <w:rPr/>
              <w:t>)</w:t>
            </w:r>
          </w:p>
        </w:tc>
      </w:tr>
      <w:tr>
        <w:trPr/>
        <w:tc>
          <w:tcPr>
            <w:tcW w:w="4955" w:type="dxa"/>
            <w:tcBorders/>
            <w:shd w:fill="CCEEFF" w:val="clear"/>
            <w:vAlign w:val="center"/>
          </w:tcPr>
          <w:p>
            <w:pPr>
              <w:pStyle w:val="TableContents"/>
              <w:bidi w:val="0"/>
              <w:spacing w:before="0" w:after="283"/>
              <w:jc w:val="left"/>
              <w:rPr/>
            </w:pPr>
            <w:r>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9" w:type="dxa"/>
            <w:tcBorders>
              <w:bottom w:val="single" w:sz="12" w:space="0" w:color="000000"/>
            </w:tcBorders>
            <w:shd w:fill="CCEEFF" w:val="clear"/>
            <w:tcMar>
              <w:bottom w:w="28" w:type="dxa"/>
            </w:tcMar>
            <w:vAlign w:val="center"/>
          </w:tcPr>
          <w:p>
            <w:pPr>
              <w:pStyle w:val="TableContents"/>
              <w:bidi w:val="0"/>
              <w:spacing w:before="0" w:after="283"/>
              <w:jc w:val="right"/>
              <w:rPr/>
            </w:pPr>
            <w:r>
              <w:rPr/>
              <w:t>(640</w:t>
            </w:r>
          </w:p>
        </w:tc>
        <w:tc>
          <w:tcPr>
            <w:tcW w:w="128"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(131</w:t>
            </w:r>
          </w:p>
        </w:tc>
        <w:tc>
          <w:tcPr>
            <w:tcW w:w="110" w:type="dxa"/>
            <w:tcBorders/>
            <w:shd w:fill="CCEEFF" w:val="clear"/>
            <w:vAlign w:val="center"/>
          </w:tcPr>
          <w:p>
            <w:pPr>
              <w:pStyle w:val="TableContents"/>
              <w:bidi w:val="0"/>
              <w:spacing w:before="0" w:after="283"/>
              <w:jc w:val="left"/>
              <w:rPr/>
            </w:pPr>
            <w:r>
              <w:rPr/>
              <w:t>)</w:t>
            </w:r>
          </w:p>
        </w:tc>
      </w:tr>
      <w:tr>
        <w:trPr/>
        <w:tc>
          <w:tcPr>
            <w:tcW w:w="4955" w:type="dxa"/>
            <w:tcBorders/>
            <w:vAlign w:val="center"/>
          </w:tcPr>
          <w:p>
            <w:pPr>
              <w:pStyle w:val="TableContents"/>
              <w:bidi w:val="0"/>
              <w:spacing w:before="0" w:after="283"/>
              <w:jc w:val="left"/>
              <w:rPr/>
            </w:pPr>
            <w:r>
              <w:rPr/>
              <w:t>Net increase (decrease) in cash and cash equivalents</w:t>
            </w:r>
          </w:p>
        </w:tc>
        <w:tc>
          <w:tcPr>
            <w:tcW w:w="60" w:type="dxa"/>
            <w:tcBorders/>
            <w:vAlign w:val="center"/>
          </w:tcPr>
          <w:p>
            <w:pPr>
              <w:pStyle w:val="TableContents"/>
              <w:bidi w:val="0"/>
              <w:spacing w:before="0" w:after="283"/>
              <w:jc w:val="left"/>
              <w:rPr/>
            </w:pPr>
            <w:r>
              <w:rPr/>
              <w:t> </w:t>
            </w:r>
          </w:p>
        </w:tc>
        <w:tc>
          <w:tcPr>
            <w:tcW w:w="189" w:type="dxa"/>
            <w:tcBorders>
              <w:bottom w:val="double" w:sz="10" w:space="0" w:color="000000"/>
            </w:tcBorders>
            <w:tcMar>
              <w:bottom w:w="28" w:type="dxa"/>
            </w:tcMar>
            <w:vAlign w:val="center"/>
          </w:tcPr>
          <w:p>
            <w:pPr>
              <w:pStyle w:val="TableContents"/>
              <w:bidi w:val="0"/>
              <w:spacing w:before="0" w:after="283"/>
              <w:jc w:val="left"/>
              <w:rPr/>
            </w:pPr>
            <w:r>
              <w:rPr/>
              <w:t>$</w:t>
            </w:r>
          </w:p>
        </w:tc>
        <w:tc>
          <w:tcPr>
            <w:tcW w:w="759" w:type="dxa"/>
            <w:tcBorders>
              <w:bottom w:val="double" w:sz="10" w:space="0" w:color="000000"/>
            </w:tcBorders>
            <w:tcMar>
              <w:bottom w:w="28" w:type="dxa"/>
            </w:tcMar>
            <w:vAlign w:val="center"/>
          </w:tcPr>
          <w:p>
            <w:pPr>
              <w:pStyle w:val="TableContents"/>
              <w:bidi w:val="0"/>
              <w:spacing w:before="0" w:after="283"/>
              <w:jc w:val="right"/>
              <w:rPr/>
            </w:pPr>
            <w:r>
              <w:rPr/>
              <w:t>1,325</w:t>
            </w:r>
          </w:p>
        </w:tc>
        <w:tc>
          <w:tcPr>
            <w:tcW w:w="12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89" w:type="dxa"/>
            <w:tcBorders>
              <w:bottom w:val="double" w:sz="10" w:space="0" w:color="000000"/>
            </w:tcBorders>
            <w:tcMar>
              <w:bottom w:w="28" w:type="dxa"/>
            </w:tcMar>
            <w:vAlign w:val="center"/>
          </w:tcPr>
          <w:p>
            <w:pPr>
              <w:pStyle w:val="TableContents"/>
              <w:bidi w:val="0"/>
              <w:spacing w:before="0" w:after="283"/>
              <w:jc w:val="left"/>
              <w:rPr/>
            </w:pPr>
            <w:r>
              <w:rPr/>
              <w:t>$</w:t>
            </w:r>
          </w:p>
        </w:tc>
        <w:tc>
          <w:tcPr>
            <w:tcW w:w="860" w:type="dxa"/>
            <w:tcBorders>
              <w:bottom w:val="double" w:sz="10" w:space="0" w:color="000000"/>
            </w:tcBorders>
            <w:tcMar>
              <w:bottom w:w="28" w:type="dxa"/>
            </w:tcMar>
            <w:vAlign w:val="center"/>
          </w:tcPr>
          <w:p>
            <w:pPr>
              <w:pStyle w:val="TableContents"/>
              <w:bidi w:val="0"/>
              <w:spacing w:before="0" w:after="283"/>
              <w:jc w:val="right"/>
              <w:rPr/>
            </w:pPr>
            <w:r>
              <w:rPr/>
              <w:t>(1,767</w:t>
            </w:r>
          </w:p>
        </w:tc>
        <w:tc>
          <w:tcPr>
            <w:tcW w:w="11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approximately $2,118 from operating activities during the three months ended March 31, 2024, compared with $86 used in operating activities in the same period in 2023. We had a net loss of $6,899 for the first three months of 2024, which included non-cash expenses of $4,273. This was offset by cash generated by the collection of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by investing activities was approximately $153 for the three months ended March 31, 2024. We invested in internally developed software in the amount of $121 and spent $32 on property and equipment. Cash used in investing activities for the same period in the prior year was $1,550 as we made a net investment of $1,326 in treasury bills and invested $194 in internally developed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for financing activities was approximately $640, during the three months ended March 31, 2024. We used $140 to pay withholding taxes on behalf of employees vesting in restricted stock units and $500 was related to repayments on our Term loan. Cash used for financing activities for the same period in prior year was $131, primarily related to paying withholding taxes on behalf of employees vesting in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conformity with accounting principles generally accepted in the United States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2 to the Consolidated Financial Statements in the Annual Report on Form 10-K for the year ended December 31, 2023 (2023 Annual Report on Form 10-K). The accounting policies we used in preparing these financial statements are substantially consistent with those we applied in our 2023 Annual Report on Form 10-K. Our critical accounting estimates are described in Management’s Discussion and Analysis included in the 2023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No. 2023-07 (“ASU 2023-07”), Segment Reporting (Topic 280): Improvements to Reportable Segment Disclosures. ASU 2023-07 requires annual and interim disclosures that are expected to improve reportable segment disclosures, primarily through enhanced disclosures about significant segment expenses. The provisions of ASU 2023-07 are effective for fiscal years beginning after December 15, 2023, and interim periods within fiscal years beginning after December 15, 2024, with early adoption permitted. We are currently evaluating the impact of adopting ASU 2023-07.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contracts with various electronic health records systems and ePrescribe platforms, whereby we agree to share a portion of the revenue we generate for eCoupons or banners through their network. From time to time the Company enters into arrangements with a partner to acquire minimum amounts of media, data or messaging capabilities. As of March 31, 2024, the Company had commitments for future minimum payments of approximately $22.6 million that will be reflected in cost of revenues during the remainder of 2024 and years 2025 through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04"/>
      <w:bookmarkEnd w:id="1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05"/>
      <w:bookmarkEnd w:id="1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concluded that, as of the end of the period covered by this report, our disclosure controls and procedures, as defined in Rule 13a-15(e), were not effective at the reasonable assurance level due to a material weakness in our internal control over financial reporting which was disclosed in our Annual Report on Form 10-K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the material weakness referenced above, the Company performed additional analysis and performed other procedures in order to prepare the consolidated financial statements in accordance with GAAP. Accordingly, management believes that the condensed consolidated financial statements included in this quarterly report on this Form 10-Q fairly present, in all material respects, our financial condition, results of operations and cash flows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Plan for Remediation of Material Weakness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actively engaged in the planning for, and implementation of, remediation efforts to address the material weakness identified above. Management intends to implement the following remediation steps: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The Company will require each third-party service organization to provide a SOC-1, Type 2 report to us.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If a SOC-1, Type 2 report is not available, the Company will evaluate each third-party’s relevant system(s) and reporting directly through inquiry and substantive testing of such third-party’s control environment.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If we are unable to obtain a valid SOC-1 Type 2 report or perform substantive testing of such third-party service organization’s control environment, the Company will implement a qualification and program triaging process, which would include modifying customer contracts, limiting the volume of activity with those third-parties and establishing other controls to ensure the completeness and accuracy of information received from those third-parties, such as performing tagging procedures where possible.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the measures described above will remediate the material weakness that we have identified. During the quarter ended March 31, 2024, the Company continued to engage with the third-party service organizations to discuss the reporting requirements. As management continues to evaluate and improve our disclosure controls and procedures and internal control over financial reporting, the Company may decide to take additional measures to address control deficiencies or determine to modify certain of the remediation measures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noted above, there was no change in our internal control over financial reporting (as defined in Rule 13a-15(f) under the Exchange Act), that occurred during the quarter ended March 31, 2024 that has materially affected, or is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the Effectiveness of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periodic evaluations of its internal controls to enhance, where necessary, its procedures and controls.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06"/>
      <w:bookmarkEnd w:id="13"/>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07"/>
      <w:bookmarkEnd w:id="1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08"/>
      <w:bookmarkEnd w:id="1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in our risk factors from the risks previously reported in PART 1, ITEM 1A, “Risk Factors” of our Annual Report on Form 10-K for the year ended December 31, 2023. You should carefully consider the factors discussed in PART I, ITEM 1A, “Risk Factors” in our Annual Report on Form 10-K for the year ended December 31, 2023, which could materially affect our business, financial condition 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09"/>
      <w:bookmarkEnd w:id="16"/>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2023, we announced that our Board of Directors had authorized the repurchase of up to $15 million of our outstanding common stock. Under this program, share repurchases could be made from time to time depending on market conditions, share price and availability and other factors at our discretion. During the quarter ended March 31, 2024, no shares were repurchased under the program. This stock repurchase authorization expired on March 12,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3"/>
      <w:bookmarkEnd w:id="17"/>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0"/>
      <w:bookmarkEnd w:id="18"/>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1"/>
      <w:bookmarkEnd w:id="19"/>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2024, none of our directors or executive officers adopted or terminated any “Rule 10b5-1 trading arrangement” or “non-Rule 10b5-1 trading arrangement” (as each term is defined in Item 408(a) of Registration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2"/>
      <w:bookmarkEnd w:id="20"/>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94"/>
        <w:gridCol w:w="60"/>
        <w:gridCol w:w="8951"/>
      </w:tblGrid>
      <w:tr>
        <w:trPr/>
        <w:tc>
          <w:tcPr>
            <w:tcW w:w="1194" w:type="dxa"/>
            <w:tcBorders>
              <w:bottom w:val="single" w:sz="12" w:space="0" w:color="000000"/>
            </w:tcBorders>
            <w:vAlign w:val="center"/>
          </w:tcPr>
          <w:p>
            <w:pPr>
              <w:pStyle w:val="TableContents"/>
              <w:bidi w:val="0"/>
              <w:spacing w:before="0" w:after="283"/>
              <w:jc w:val="left"/>
              <w:rPr>
                <w:b/>
              </w:rPr>
            </w:pPr>
            <w:r>
              <w:rPr>
                <w:b/>
              </w:rPr>
              <w:t>Exhibit Number</w:t>
            </w:r>
          </w:p>
        </w:tc>
        <w:tc>
          <w:tcPr>
            <w:tcW w:w="60" w:type="dxa"/>
            <w:tcBorders/>
            <w:tcMar>
              <w:bottom w:w="0" w:type="dxa"/>
            </w:tcMar>
            <w:vAlign w:val="center"/>
          </w:tcPr>
          <w:p>
            <w:pPr>
              <w:pStyle w:val="TableContents"/>
              <w:bidi w:val="0"/>
              <w:spacing w:before="0" w:after="283"/>
              <w:jc w:val="left"/>
              <w:rPr/>
            </w:pPr>
            <w:r>
              <w:rPr/>
              <w:t> </w:t>
            </w:r>
          </w:p>
        </w:tc>
        <w:tc>
          <w:tcPr>
            <w:tcW w:w="8951" w:type="dxa"/>
            <w:tcBorders>
              <w:bottom w:val="single" w:sz="12" w:space="0" w:color="000000"/>
            </w:tcBorders>
            <w:vAlign w:val="center"/>
          </w:tcPr>
          <w:p>
            <w:pPr>
              <w:pStyle w:val="TableContents"/>
              <w:bidi w:val="0"/>
              <w:spacing w:before="0" w:after="283"/>
              <w:jc w:val="left"/>
              <w:rPr>
                <w:b/>
                <w:sz w:val="20"/>
              </w:rPr>
            </w:pPr>
            <w:r>
              <w:rPr>
                <w:b/>
                <w:sz w:val="20"/>
              </w:rPr>
              <w:t>Description of Exhibit</w:t>
            </w:r>
          </w:p>
        </w:tc>
      </w:tr>
      <w:tr>
        <w:trPr/>
        <w:tc>
          <w:tcPr>
            <w:tcW w:w="1194" w:type="dxa"/>
            <w:tcBorders/>
            <w:shd w:fill="CCEEFF" w:val="clear"/>
            <w:tcMar>
              <w:bottom w:w="0" w:type="dxa"/>
            </w:tcMar>
            <w:vAlign w:val="center"/>
          </w:tcPr>
          <w:p>
            <w:pPr>
              <w:pStyle w:val="TableContents"/>
              <w:bidi w:val="0"/>
              <w:spacing w:before="0" w:after="283"/>
              <w:jc w:val="left"/>
              <w:rPr>
                <w:sz w:val="20"/>
              </w:rPr>
            </w:pPr>
            <w:r>
              <w:rPr>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51" w:type="dxa"/>
            <w:tcBorders/>
            <w:shd w:fill="CCEEFF" w:val="clear"/>
            <w:tcMar>
              <w:bottom w:w="0" w:type="dxa"/>
            </w:tcMar>
            <w:vAlign w:val="center"/>
          </w:tcPr>
          <w:p>
            <w:pPr>
              <w:pStyle w:val="TableContents"/>
              <w:bidi w:val="0"/>
              <w:spacing w:before="0" w:after="283"/>
              <w:jc w:val="both"/>
              <w:rPr/>
            </w:pPr>
            <w:hyperlink r:id="rId2">
              <w:r>
                <w:rPr>
                  <w:rStyle w:val="InternetLink"/>
                </w:rPr>
                <w:t>Articles of Incorporation of OptimizeRx Corporation (the “Company”) Incorporated by reference to Exhibit 3.1 to the Company’s Registration Statement on Form S-1 (Registration No. 333-155280) filed on November 12, 2008.</w:t>
              </w:r>
            </w:hyperlink>
          </w:p>
        </w:tc>
      </w:tr>
      <w:tr>
        <w:trPr/>
        <w:tc>
          <w:tcPr>
            <w:tcW w:w="1194" w:type="dxa"/>
            <w:tcBorders/>
            <w:tcMar>
              <w:bottom w:w="0" w:type="dxa"/>
            </w:tcMar>
            <w:vAlign w:val="center"/>
          </w:tcPr>
          <w:p>
            <w:pPr>
              <w:pStyle w:val="TableContents"/>
              <w:bidi w:val="0"/>
              <w:spacing w:before="0" w:after="283"/>
              <w:jc w:val="left"/>
              <w:rPr>
                <w:sz w:val="20"/>
              </w:rPr>
            </w:pPr>
            <w:r>
              <w:rPr>
                <w:sz w:val="20"/>
              </w:rPr>
              <w:t>3.2</w:t>
            </w:r>
          </w:p>
        </w:tc>
        <w:tc>
          <w:tcPr>
            <w:tcW w:w="60" w:type="dxa"/>
            <w:tcBorders/>
            <w:tcMar>
              <w:bottom w:w="0" w:type="dxa"/>
            </w:tcMar>
            <w:vAlign w:val="center"/>
          </w:tcPr>
          <w:p>
            <w:pPr>
              <w:pStyle w:val="TableContents"/>
              <w:bidi w:val="0"/>
              <w:spacing w:before="0" w:after="283"/>
              <w:jc w:val="left"/>
              <w:rPr/>
            </w:pPr>
            <w:r>
              <w:rPr/>
              <w:t> </w:t>
            </w:r>
          </w:p>
        </w:tc>
        <w:tc>
          <w:tcPr>
            <w:tcW w:w="8951" w:type="dxa"/>
            <w:tcBorders/>
            <w:tcMar>
              <w:bottom w:w="0" w:type="dxa"/>
            </w:tcMar>
            <w:vAlign w:val="center"/>
          </w:tcPr>
          <w:p>
            <w:pPr>
              <w:pStyle w:val="TableContents"/>
              <w:bidi w:val="0"/>
              <w:spacing w:before="0" w:after="283"/>
              <w:jc w:val="both"/>
              <w:rPr/>
            </w:pPr>
            <w:hyperlink r:id="rId3">
              <w:r>
                <w:rPr>
                  <w:rStyle w:val="InternetLink"/>
                </w:rPr>
                <w:t>Certificate of Correction, dated April 30, 2018. Incorporated by reference to Exhibit 3.5 to the Company’s Annual Report on Form 10-K for the year ended December 31, 2018.</w:t>
              </w:r>
            </w:hyperlink>
          </w:p>
        </w:tc>
      </w:tr>
      <w:tr>
        <w:trPr/>
        <w:tc>
          <w:tcPr>
            <w:tcW w:w="1194" w:type="dxa"/>
            <w:tcBorders/>
            <w:shd w:fill="CCEEFF" w:val="clear"/>
            <w:tcMar>
              <w:bottom w:w="0" w:type="dxa"/>
            </w:tcMar>
            <w:vAlign w:val="center"/>
          </w:tcPr>
          <w:p>
            <w:pPr>
              <w:pStyle w:val="TableContents"/>
              <w:bidi w:val="0"/>
              <w:spacing w:before="0" w:after="283"/>
              <w:jc w:val="left"/>
              <w:rPr>
                <w:sz w:val="20"/>
              </w:rPr>
            </w:pPr>
            <w:r>
              <w:rPr>
                <w:sz w:val="20"/>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51" w:type="dxa"/>
            <w:tcBorders/>
            <w:shd w:fill="CCEEFF" w:val="clear"/>
            <w:tcMar>
              <w:bottom w:w="0" w:type="dxa"/>
            </w:tcMar>
            <w:vAlign w:val="center"/>
          </w:tcPr>
          <w:p>
            <w:pPr>
              <w:pStyle w:val="TableContents"/>
              <w:bidi w:val="0"/>
              <w:spacing w:before="0" w:after="283"/>
              <w:jc w:val="both"/>
              <w:rPr/>
            </w:pPr>
            <w:hyperlink r:id="rId4">
              <w:r>
                <w:rPr>
                  <w:rStyle w:val="InternetLink"/>
                  <w:sz w:val="20"/>
                </w:rPr>
                <w:t>Third Amended and Restated Bylaws of the Company. Incorporated by reference to Exhibit 3.3 to the Company’s Annual Report on Form 10-K for the year ended December 31, 2022.</w:t>
              </w:r>
            </w:hyperlink>
          </w:p>
        </w:tc>
      </w:tr>
      <w:tr>
        <w:trPr/>
        <w:tc>
          <w:tcPr>
            <w:tcW w:w="1194" w:type="dxa"/>
            <w:tcBorders/>
            <w:tcMar>
              <w:bottom w:w="0" w:type="dxa"/>
            </w:tcMar>
            <w:vAlign w:val="center"/>
          </w:tcPr>
          <w:p>
            <w:pPr>
              <w:pStyle w:val="TableContents"/>
              <w:bidi w:val="0"/>
              <w:spacing w:before="0" w:after="283"/>
              <w:jc w:val="left"/>
              <w:rPr>
                <w:sz w:val="20"/>
              </w:rPr>
            </w:pPr>
            <w:r>
              <w:rPr>
                <w:sz w:val="20"/>
              </w:rPr>
              <w:t>10.1</w:t>
            </w:r>
          </w:p>
        </w:tc>
        <w:tc>
          <w:tcPr>
            <w:tcW w:w="60" w:type="dxa"/>
            <w:tcBorders/>
            <w:tcMar>
              <w:bottom w:w="0" w:type="dxa"/>
            </w:tcMar>
            <w:vAlign w:val="center"/>
          </w:tcPr>
          <w:p>
            <w:pPr>
              <w:pStyle w:val="TableContents"/>
              <w:bidi w:val="0"/>
              <w:spacing w:before="0" w:after="283"/>
              <w:jc w:val="left"/>
              <w:rPr/>
            </w:pPr>
            <w:r>
              <w:rPr/>
              <w:t> </w:t>
            </w:r>
          </w:p>
        </w:tc>
        <w:tc>
          <w:tcPr>
            <w:tcW w:w="8951" w:type="dxa"/>
            <w:tcBorders/>
            <w:tcMar>
              <w:bottom w:w="0" w:type="dxa"/>
            </w:tcMar>
            <w:vAlign w:val="center"/>
          </w:tcPr>
          <w:p>
            <w:pPr>
              <w:pStyle w:val="TableContents"/>
              <w:bidi w:val="0"/>
              <w:spacing w:before="0" w:after="283"/>
              <w:jc w:val="both"/>
              <w:rPr/>
            </w:pPr>
            <w:hyperlink r:id="rId5">
              <w:r>
                <w:rPr>
                  <w:rStyle w:val="InternetLink"/>
                </w:rPr>
                <w:t>Amendment No. 1 to Financing Agreement, dated March 29, 2024. Incorporated by reference to Exhibit 10.1 to the Company’s Current Report on Form 8-K filed on April 2, 2024.  </w:t>
              </w:r>
            </w:hyperlink>
          </w:p>
        </w:tc>
      </w:tr>
      <w:tr>
        <w:trPr/>
        <w:tc>
          <w:tcPr>
            <w:tcW w:w="1194" w:type="dxa"/>
            <w:tcBorders/>
            <w:shd w:fill="CCEEFF" w:val="clear"/>
            <w:tcMar>
              <w:bottom w:w="0" w:type="dxa"/>
            </w:tcMar>
            <w:vAlign w:val="center"/>
          </w:tcPr>
          <w:p>
            <w:pPr>
              <w:pStyle w:val="TableContents"/>
              <w:bidi w:val="0"/>
              <w:spacing w:before="0" w:after="283"/>
              <w:jc w:val="left"/>
              <w:rPr>
                <w:sz w:val="20"/>
              </w:rPr>
            </w:pPr>
            <w:r>
              <w:rPr>
                <w:sz w:val="20"/>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51" w:type="dxa"/>
            <w:tcBorders/>
            <w:shd w:fill="CCEEFF" w:val="clear"/>
            <w:tcMar>
              <w:bottom w:w="0" w:type="dxa"/>
            </w:tcMar>
            <w:vAlign w:val="center"/>
          </w:tcPr>
          <w:p>
            <w:pPr>
              <w:pStyle w:val="TableContents"/>
              <w:bidi w:val="0"/>
              <w:spacing w:before="0" w:after="283"/>
              <w:jc w:val="both"/>
              <w:rPr/>
            </w:pPr>
            <w:hyperlink w:anchor="ea020594701ex31-1_optimizerx.htm">
              <w:r>
                <w:rPr>
                  <w:rStyle w:val="InternetLink"/>
                  <w:sz w:val="20"/>
                </w:rPr>
                <w:t>Certification of Chief Executive Officer pursuant to 18 U.S.C. Section 1350, as adopted pursuant to Section 302 of the Sarbanes-Oxley Act of 2002</w:t>
              </w:r>
            </w:hyperlink>
          </w:p>
        </w:tc>
      </w:tr>
      <w:tr>
        <w:trPr/>
        <w:tc>
          <w:tcPr>
            <w:tcW w:w="1194" w:type="dxa"/>
            <w:tcBorders/>
            <w:tcMar>
              <w:bottom w:w="0" w:type="dxa"/>
            </w:tcMar>
            <w:vAlign w:val="center"/>
          </w:tcPr>
          <w:p>
            <w:pPr>
              <w:pStyle w:val="TableContents"/>
              <w:bidi w:val="0"/>
              <w:spacing w:before="0" w:after="283"/>
              <w:jc w:val="left"/>
              <w:rPr>
                <w:sz w:val="20"/>
              </w:rPr>
            </w:pPr>
            <w:r>
              <w:rPr>
                <w:sz w:val="20"/>
              </w:rPr>
              <w:t>31.2**</w:t>
            </w:r>
          </w:p>
        </w:tc>
        <w:tc>
          <w:tcPr>
            <w:tcW w:w="60" w:type="dxa"/>
            <w:tcBorders/>
            <w:tcMar>
              <w:bottom w:w="0" w:type="dxa"/>
            </w:tcMar>
            <w:vAlign w:val="center"/>
          </w:tcPr>
          <w:p>
            <w:pPr>
              <w:pStyle w:val="TableContents"/>
              <w:bidi w:val="0"/>
              <w:spacing w:before="0" w:after="283"/>
              <w:jc w:val="left"/>
              <w:rPr/>
            </w:pPr>
            <w:r>
              <w:rPr/>
              <w:t> </w:t>
            </w:r>
          </w:p>
        </w:tc>
        <w:tc>
          <w:tcPr>
            <w:tcW w:w="8951" w:type="dxa"/>
            <w:tcBorders/>
            <w:tcMar>
              <w:bottom w:w="0" w:type="dxa"/>
            </w:tcMar>
            <w:vAlign w:val="center"/>
          </w:tcPr>
          <w:p>
            <w:pPr>
              <w:pStyle w:val="TableContents"/>
              <w:bidi w:val="0"/>
              <w:spacing w:before="0" w:after="283"/>
              <w:jc w:val="both"/>
              <w:rPr/>
            </w:pPr>
            <w:hyperlink w:anchor="ea020594701ex31-2_optimizerx.htm">
              <w:r>
                <w:rPr>
                  <w:rStyle w:val="InternetLink"/>
                  <w:sz w:val="20"/>
                </w:rPr>
                <w:t>Certification of Chief Financial Officer pursuant to 18 U.S.C. Section 1350, as adopted pursuant to Section 302 of the Sarbanes-Oxley Act of 2002</w:t>
              </w:r>
            </w:hyperlink>
          </w:p>
        </w:tc>
      </w:tr>
      <w:tr>
        <w:trPr/>
        <w:tc>
          <w:tcPr>
            <w:tcW w:w="1194" w:type="dxa"/>
            <w:tcBorders/>
            <w:shd w:fill="CCEEFF" w:val="clear"/>
            <w:tcMar>
              <w:bottom w:w="0" w:type="dxa"/>
            </w:tcMar>
            <w:vAlign w:val="center"/>
          </w:tcPr>
          <w:p>
            <w:pPr>
              <w:pStyle w:val="TableContents"/>
              <w:bidi w:val="0"/>
              <w:spacing w:before="0" w:after="283"/>
              <w:jc w:val="left"/>
              <w:rPr>
                <w:sz w:val="20"/>
              </w:rPr>
            </w:pPr>
            <w:r>
              <w:rPr>
                <w:sz w:val="20"/>
              </w:rPr>
              <w:t>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51" w:type="dxa"/>
            <w:tcBorders/>
            <w:shd w:fill="CCEEFF" w:val="clear"/>
            <w:tcMar>
              <w:bottom w:w="0" w:type="dxa"/>
            </w:tcMar>
            <w:vAlign w:val="center"/>
          </w:tcPr>
          <w:p>
            <w:pPr>
              <w:pStyle w:val="TableContents"/>
              <w:bidi w:val="0"/>
              <w:spacing w:before="0" w:after="283"/>
              <w:jc w:val="both"/>
              <w:rPr/>
            </w:pPr>
            <w:hyperlink w:anchor="ea020594701ex32-1_optimizerx.htm">
              <w:r>
                <w:rPr>
                  <w:rStyle w:val="InternetLink"/>
                  <w:sz w:val="20"/>
                </w:rPr>
                <w:t>Certification of Chief Executive Officer and Chief Financial Officer pursuant to 18 U.S.C. Section 1350, as adopted pursuant to Section 906 of the Sarbanes-Oxley Act of 2002</w:t>
              </w:r>
            </w:hyperlink>
          </w:p>
        </w:tc>
      </w:tr>
      <w:tr>
        <w:trPr/>
        <w:tc>
          <w:tcPr>
            <w:tcW w:w="1194" w:type="dxa"/>
            <w:tcBorders/>
            <w:tcMar>
              <w:bottom w:w="0" w:type="dxa"/>
            </w:tcMar>
            <w:vAlign w:val="center"/>
          </w:tcPr>
          <w:p>
            <w:pPr>
              <w:pStyle w:val="TableContents"/>
              <w:bidi w:val="0"/>
              <w:spacing w:before="0" w:after="283"/>
              <w:jc w:val="both"/>
              <w:rPr>
                <w:sz w:val="20"/>
              </w:rPr>
            </w:pPr>
            <w:r>
              <w:rPr>
                <w:sz w:val="20"/>
              </w:rPr>
              <w:t>101.INS**</w:t>
            </w:r>
          </w:p>
        </w:tc>
        <w:tc>
          <w:tcPr>
            <w:tcW w:w="60" w:type="dxa"/>
            <w:tcBorders/>
            <w:tcMar>
              <w:bottom w:w="0" w:type="dxa"/>
            </w:tcMar>
            <w:vAlign w:val="center"/>
          </w:tcPr>
          <w:p>
            <w:pPr>
              <w:pStyle w:val="TableContents"/>
              <w:bidi w:val="0"/>
              <w:spacing w:before="0" w:after="283"/>
              <w:jc w:val="left"/>
              <w:rPr/>
            </w:pPr>
            <w:r>
              <w:rPr/>
              <w:t> </w:t>
            </w:r>
          </w:p>
        </w:tc>
        <w:tc>
          <w:tcPr>
            <w:tcW w:w="8951" w:type="dxa"/>
            <w:tcBorders/>
            <w:tcMar>
              <w:bottom w:w="0" w:type="dxa"/>
            </w:tcMar>
            <w:vAlign w:val="center"/>
          </w:tcPr>
          <w:p>
            <w:pPr>
              <w:pStyle w:val="TableContents"/>
              <w:bidi w:val="0"/>
              <w:spacing w:before="0" w:after="283"/>
              <w:jc w:val="left"/>
              <w:rPr>
                <w:sz w:val="20"/>
              </w:rPr>
            </w:pPr>
            <w:r>
              <w:rPr>
                <w:sz w:val="20"/>
              </w:rPr>
              <w:t>Inline XBRL Instance Document</w:t>
            </w:r>
          </w:p>
        </w:tc>
      </w:tr>
      <w:tr>
        <w:trPr/>
        <w:tc>
          <w:tcPr>
            <w:tcW w:w="1194" w:type="dxa"/>
            <w:tcBorders/>
            <w:shd w:fill="CCEEFF" w:val="clear"/>
            <w:tcMar>
              <w:bottom w:w="0" w:type="dxa"/>
            </w:tcMar>
            <w:vAlign w:val="center"/>
          </w:tcPr>
          <w:p>
            <w:pPr>
              <w:pStyle w:val="TableContents"/>
              <w:bidi w:val="0"/>
              <w:spacing w:before="0" w:after="283"/>
              <w:jc w:val="both"/>
              <w:rPr>
                <w:sz w:val="20"/>
              </w:rPr>
            </w:pPr>
            <w:r>
              <w:rPr>
                <w:sz w:val="20"/>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51" w:type="dxa"/>
            <w:tcBorders/>
            <w:shd w:fill="CCEEFF" w:val="clear"/>
            <w:tcMar>
              <w:bottom w:w="0" w:type="dxa"/>
            </w:tcMar>
            <w:vAlign w:val="center"/>
          </w:tcPr>
          <w:p>
            <w:pPr>
              <w:pStyle w:val="TableContents"/>
              <w:bidi w:val="0"/>
              <w:spacing w:before="0" w:after="283"/>
              <w:jc w:val="left"/>
              <w:rPr>
                <w:sz w:val="20"/>
              </w:rPr>
            </w:pPr>
            <w:r>
              <w:rPr>
                <w:sz w:val="20"/>
              </w:rPr>
              <w:t>Inline XBRL Taxonomy Extension Schema Document</w:t>
            </w:r>
          </w:p>
        </w:tc>
      </w:tr>
      <w:tr>
        <w:trPr/>
        <w:tc>
          <w:tcPr>
            <w:tcW w:w="1194" w:type="dxa"/>
            <w:tcBorders/>
            <w:tcMar>
              <w:bottom w:w="0" w:type="dxa"/>
            </w:tcMar>
            <w:vAlign w:val="center"/>
          </w:tcPr>
          <w:p>
            <w:pPr>
              <w:pStyle w:val="TableContents"/>
              <w:bidi w:val="0"/>
              <w:spacing w:before="0" w:after="283"/>
              <w:jc w:val="both"/>
              <w:rPr>
                <w:sz w:val="20"/>
              </w:rPr>
            </w:pPr>
            <w:r>
              <w:rPr>
                <w:sz w:val="20"/>
              </w:rPr>
              <w:t>101.CAL</w:t>
            </w:r>
          </w:p>
        </w:tc>
        <w:tc>
          <w:tcPr>
            <w:tcW w:w="60" w:type="dxa"/>
            <w:tcBorders/>
            <w:tcMar>
              <w:bottom w:w="0" w:type="dxa"/>
            </w:tcMar>
            <w:vAlign w:val="center"/>
          </w:tcPr>
          <w:p>
            <w:pPr>
              <w:pStyle w:val="TableContents"/>
              <w:bidi w:val="0"/>
              <w:spacing w:before="0" w:after="283"/>
              <w:jc w:val="left"/>
              <w:rPr/>
            </w:pPr>
            <w:r>
              <w:rPr/>
              <w:t> </w:t>
            </w:r>
          </w:p>
        </w:tc>
        <w:tc>
          <w:tcPr>
            <w:tcW w:w="8951" w:type="dxa"/>
            <w:tcBorders/>
            <w:tcMar>
              <w:bottom w:w="0" w:type="dxa"/>
            </w:tcMar>
            <w:vAlign w:val="center"/>
          </w:tcPr>
          <w:p>
            <w:pPr>
              <w:pStyle w:val="TableContents"/>
              <w:bidi w:val="0"/>
              <w:spacing w:before="0" w:after="283"/>
              <w:jc w:val="left"/>
              <w:rPr>
                <w:sz w:val="20"/>
              </w:rPr>
            </w:pPr>
            <w:r>
              <w:rPr>
                <w:sz w:val="20"/>
              </w:rPr>
              <w:t>Inline XBRL Taxonomy Extension Calculation Linkbase Document</w:t>
            </w:r>
          </w:p>
        </w:tc>
      </w:tr>
      <w:tr>
        <w:trPr/>
        <w:tc>
          <w:tcPr>
            <w:tcW w:w="1194" w:type="dxa"/>
            <w:tcBorders/>
            <w:shd w:fill="CCEEFF" w:val="clear"/>
            <w:tcMar>
              <w:bottom w:w="0" w:type="dxa"/>
            </w:tcMar>
            <w:vAlign w:val="center"/>
          </w:tcPr>
          <w:p>
            <w:pPr>
              <w:pStyle w:val="TableContents"/>
              <w:bidi w:val="0"/>
              <w:spacing w:before="0" w:after="283"/>
              <w:jc w:val="both"/>
              <w:rPr>
                <w:sz w:val="20"/>
              </w:rPr>
            </w:pPr>
            <w:r>
              <w:rPr>
                <w:sz w:val="20"/>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51" w:type="dxa"/>
            <w:tcBorders/>
            <w:shd w:fill="CCEEFF" w:val="clear"/>
            <w:tcMar>
              <w:bottom w:w="0" w:type="dxa"/>
            </w:tcMar>
            <w:vAlign w:val="center"/>
          </w:tcPr>
          <w:p>
            <w:pPr>
              <w:pStyle w:val="TableContents"/>
              <w:bidi w:val="0"/>
              <w:spacing w:before="0" w:after="283"/>
              <w:jc w:val="left"/>
              <w:rPr>
                <w:sz w:val="20"/>
              </w:rPr>
            </w:pPr>
            <w:r>
              <w:rPr>
                <w:sz w:val="20"/>
              </w:rPr>
              <w:t>Inline XBRL Taxonomy Extension Definition Linkbase Document</w:t>
            </w:r>
          </w:p>
        </w:tc>
      </w:tr>
      <w:tr>
        <w:trPr/>
        <w:tc>
          <w:tcPr>
            <w:tcW w:w="1194" w:type="dxa"/>
            <w:tcBorders/>
            <w:tcMar>
              <w:bottom w:w="0" w:type="dxa"/>
            </w:tcMar>
            <w:vAlign w:val="center"/>
          </w:tcPr>
          <w:p>
            <w:pPr>
              <w:pStyle w:val="TableContents"/>
              <w:bidi w:val="0"/>
              <w:spacing w:before="0" w:after="283"/>
              <w:jc w:val="both"/>
              <w:rPr>
                <w:sz w:val="20"/>
              </w:rPr>
            </w:pPr>
            <w:r>
              <w:rPr>
                <w:sz w:val="20"/>
              </w:rPr>
              <w:t>101.LAB</w:t>
            </w:r>
          </w:p>
        </w:tc>
        <w:tc>
          <w:tcPr>
            <w:tcW w:w="60" w:type="dxa"/>
            <w:tcBorders/>
            <w:tcMar>
              <w:bottom w:w="0" w:type="dxa"/>
            </w:tcMar>
            <w:vAlign w:val="center"/>
          </w:tcPr>
          <w:p>
            <w:pPr>
              <w:pStyle w:val="TableContents"/>
              <w:bidi w:val="0"/>
              <w:spacing w:before="0" w:after="283"/>
              <w:jc w:val="left"/>
              <w:rPr/>
            </w:pPr>
            <w:r>
              <w:rPr/>
              <w:t> </w:t>
            </w:r>
          </w:p>
        </w:tc>
        <w:tc>
          <w:tcPr>
            <w:tcW w:w="8951" w:type="dxa"/>
            <w:tcBorders/>
            <w:tcMar>
              <w:bottom w:w="0" w:type="dxa"/>
            </w:tcMar>
            <w:vAlign w:val="center"/>
          </w:tcPr>
          <w:p>
            <w:pPr>
              <w:pStyle w:val="TableContents"/>
              <w:bidi w:val="0"/>
              <w:spacing w:before="0" w:after="283"/>
              <w:jc w:val="left"/>
              <w:rPr>
                <w:sz w:val="20"/>
              </w:rPr>
            </w:pPr>
            <w:r>
              <w:rPr>
                <w:sz w:val="20"/>
              </w:rPr>
              <w:t>Inline XBRL Taxonomy Extension Label Linkbase Document</w:t>
            </w:r>
          </w:p>
        </w:tc>
      </w:tr>
      <w:tr>
        <w:trPr/>
        <w:tc>
          <w:tcPr>
            <w:tcW w:w="1194" w:type="dxa"/>
            <w:tcBorders/>
            <w:shd w:fill="CCEEFF" w:val="clear"/>
            <w:tcMar>
              <w:bottom w:w="0" w:type="dxa"/>
            </w:tcMar>
            <w:vAlign w:val="center"/>
          </w:tcPr>
          <w:p>
            <w:pPr>
              <w:pStyle w:val="TableContents"/>
              <w:bidi w:val="0"/>
              <w:spacing w:before="0" w:after="283"/>
              <w:jc w:val="both"/>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51" w:type="dxa"/>
            <w:tcBorders/>
            <w:shd w:fill="CCEEFF" w:val="clear"/>
            <w:tcMar>
              <w:bottom w:w="0" w:type="dxa"/>
            </w:tcMar>
            <w:vAlign w:val="center"/>
          </w:tcPr>
          <w:p>
            <w:pPr>
              <w:pStyle w:val="TableContents"/>
              <w:bidi w:val="0"/>
              <w:spacing w:before="0" w:after="283"/>
              <w:jc w:val="both"/>
              <w:rPr>
                <w:sz w:val="20"/>
              </w:rPr>
            </w:pPr>
            <w:r>
              <w:rPr>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835" w:type="dxa"/>
        <w:jc w:val="left"/>
        <w:tblInd w:w="0" w:type="dxa"/>
        <w:tblLayout w:type="fixed"/>
        <w:tblCellMar>
          <w:top w:w="0" w:type="dxa"/>
          <w:left w:w="0" w:type="dxa"/>
          <w:bottom w:w="0" w:type="dxa"/>
          <w:right w:w="0" w:type="dxa"/>
        </w:tblCellMar>
      </w:tblPr>
      <w:tblGrid>
        <w:gridCol w:w="1655"/>
        <w:gridCol w:w="515"/>
        <w:gridCol w:w="3665"/>
      </w:tblGrid>
      <w:tr>
        <w:trPr/>
        <w:tc>
          <w:tcPr>
            <w:tcW w:w="165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180" w:type="dxa"/>
            <w:gridSpan w:val="2"/>
            <w:tcBorders/>
            <w:vAlign w:val="center"/>
          </w:tcPr>
          <w:p>
            <w:pPr>
              <w:pStyle w:val="TableContents"/>
              <w:bidi w:val="0"/>
              <w:spacing w:before="0" w:after="283"/>
              <w:jc w:val="left"/>
              <w:rPr>
                <w:b/>
                <w:sz w:val="20"/>
              </w:rPr>
            </w:pPr>
            <w:r>
              <w:rPr>
                <w:b/>
                <w:sz w:val="20"/>
              </w:rPr>
              <w:t>OptimizeRx Corporation</w:t>
            </w:r>
          </w:p>
        </w:tc>
      </w:tr>
      <w:tr>
        <w:trPr/>
        <w:tc>
          <w:tcPr>
            <w:tcW w:w="1655" w:type="dxa"/>
            <w:tcBorders/>
            <w:vAlign w:val="center"/>
          </w:tcPr>
          <w:p>
            <w:pPr>
              <w:pStyle w:val="TableContents"/>
              <w:bidi w:val="0"/>
              <w:spacing w:before="0" w:after="283"/>
              <w:jc w:val="left"/>
              <w:rPr/>
            </w:pPr>
            <w:r>
              <w:rPr/>
              <w:t> </w:t>
            </w:r>
          </w:p>
        </w:tc>
        <w:tc>
          <w:tcPr>
            <w:tcW w:w="4180"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Date: May 15, 2024</w:t>
            </w:r>
          </w:p>
        </w:tc>
        <w:tc>
          <w:tcPr>
            <w:tcW w:w="51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sz w:val="20"/>
              </w:rPr>
            </w:pPr>
            <w:r>
              <w:rPr>
                <w:sz w:val="20"/>
              </w:rPr>
              <w:t>By:</w:t>
            </w:r>
          </w:p>
        </w:tc>
        <w:tc>
          <w:tcPr>
            <w:tcW w:w="366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William J. Febbo</w:t>
            </w:r>
          </w:p>
        </w:tc>
      </w:tr>
      <w:tr>
        <w:trPr/>
        <w:tc>
          <w:tcPr>
            <w:tcW w:w="16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sz w:val="20"/>
              </w:rPr>
            </w:pPr>
            <w:r>
              <w:rPr>
                <w:sz w:val="20"/>
              </w:rPr>
              <w:t>William J. Febbo</w:t>
            </w:r>
          </w:p>
        </w:tc>
      </w:tr>
      <w:tr>
        <w:trPr/>
        <w:tc>
          <w:tcPr>
            <w:tcW w:w="16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sz w:val="20"/>
              </w:rPr>
            </w:pPr>
            <w:r>
              <w:rPr>
                <w:sz w:val="20"/>
              </w:rPr>
              <w:t xml:space="preserve">Title: </w:t>
            </w:r>
          </w:p>
        </w:tc>
        <w:tc>
          <w:tcPr>
            <w:tcW w:w="366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w:t>
            </w:r>
          </w:p>
        </w:tc>
      </w:tr>
      <w:tr>
        <w:trPr/>
        <w:tc>
          <w:tcPr>
            <w:tcW w:w="16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180" w:type="dxa"/>
            <w:gridSpan w:val="2"/>
            <w:tcBorders/>
            <w:vAlign w:val="center"/>
          </w:tcPr>
          <w:p>
            <w:pPr>
              <w:pStyle w:val="TableContents"/>
              <w:bidi w:val="0"/>
              <w:spacing w:before="0" w:after="283"/>
              <w:jc w:val="left"/>
              <w:rPr>
                <w:b/>
                <w:sz w:val="20"/>
              </w:rPr>
            </w:pPr>
            <w:r>
              <w:rPr>
                <w:b/>
                <w:sz w:val="20"/>
              </w:rPr>
              <w:t>OptimizeRx Corporation</w:t>
            </w:r>
          </w:p>
        </w:tc>
      </w:tr>
      <w:tr>
        <w:trPr/>
        <w:tc>
          <w:tcPr>
            <w:tcW w:w="1655" w:type="dxa"/>
            <w:tcBorders/>
            <w:vAlign w:val="center"/>
          </w:tcPr>
          <w:p>
            <w:pPr>
              <w:pStyle w:val="TableContents"/>
              <w:bidi w:val="0"/>
              <w:spacing w:before="0" w:after="283"/>
              <w:jc w:val="left"/>
              <w:rPr/>
            </w:pPr>
            <w:r>
              <w:rPr/>
              <w:t> </w:t>
            </w:r>
          </w:p>
        </w:tc>
        <w:tc>
          <w:tcPr>
            <w:tcW w:w="4180"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Date: May 15, 2024</w:t>
            </w:r>
          </w:p>
        </w:tc>
        <w:tc>
          <w:tcPr>
            <w:tcW w:w="51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sz w:val="20"/>
              </w:rPr>
            </w:pPr>
            <w:r>
              <w:rPr>
                <w:sz w:val="20"/>
              </w:rPr>
              <w:t>By:</w:t>
            </w:r>
          </w:p>
        </w:tc>
        <w:tc>
          <w:tcPr>
            <w:tcW w:w="366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Edward Stelmakh</w:t>
            </w:r>
          </w:p>
        </w:tc>
      </w:tr>
      <w:tr>
        <w:trPr/>
        <w:tc>
          <w:tcPr>
            <w:tcW w:w="16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sz w:val="20"/>
              </w:rPr>
            </w:pPr>
            <w:r>
              <w:rPr>
                <w:sz w:val="20"/>
              </w:rPr>
              <w:t>Edward Stelmakh</w:t>
            </w:r>
          </w:p>
        </w:tc>
      </w:tr>
      <w:tr>
        <w:trPr/>
        <w:tc>
          <w:tcPr>
            <w:tcW w:w="16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sz w:val="20"/>
              </w:rPr>
            </w:pPr>
            <w:r>
              <w:rPr>
                <w:sz w:val="20"/>
              </w:rPr>
              <w:t xml:space="preserve">Title: </w:t>
            </w:r>
          </w:p>
        </w:tc>
        <w:tc>
          <w:tcPr>
            <w:tcW w:w="366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Chief Financial Officer and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Operations Officer</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20594701ex31-1_optimizerx.htm"/>
      <w:bookmarkStart w:id="22" w:name="ksea020594701ex311_optimizerx"/>
      <w:bookmarkEnd w:id="21"/>
      <w:bookmarkEnd w:id="22"/>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522"/>
        <w:gridCol w:w="9556"/>
      </w:tblGrid>
      <w:tr>
        <w:trPr/>
        <w:tc>
          <w:tcPr>
            <w:tcW w:w="12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pPr>
            <w:r>
              <w:rPr/>
              <w:t>I,</w:t>
            </w:r>
          </w:p>
        </w:tc>
        <w:tc>
          <w:tcPr>
            <w:tcW w:w="9556" w:type="dxa"/>
            <w:tcBorders/>
            <w:vAlign w:val="center"/>
          </w:tcPr>
          <w:p>
            <w:pPr>
              <w:pStyle w:val="TableContents"/>
              <w:bidi w:val="0"/>
              <w:spacing w:before="0" w:after="283"/>
              <w:jc w:val="both"/>
              <w:rPr/>
            </w:pPr>
            <w:r>
              <w:rPr/>
              <w:t>William J. Febbo, certify that;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1.</w:t>
            </w:r>
          </w:p>
        </w:tc>
        <w:tc>
          <w:tcPr>
            <w:tcW w:w="10002" w:type="dxa"/>
            <w:tcBorders/>
            <w:vAlign w:val="center"/>
          </w:tcPr>
          <w:p>
            <w:pPr>
              <w:pStyle w:val="TableContents"/>
              <w:bidi w:val="0"/>
              <w:spacing w:before="0" w:after="283"/>
              <w:jc w:val="both"/>
              <w:rPr/>
            </w:pPr>
            <w:r>
              <w:rPr/>
              <w:t>I have reviewed this quarterly report on Form 10-Q for the quarter ended March 31, 2024 of OptimizeRx Corp (the “registrant”);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2024</w:t>
      </w:r>
    </w:p>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28" w:type="dxa"/>
          <w:right w:w="0" w:type="dxa"/>
        </w:tblCellMar>
      </w:tblPr>
      <w:tblGrid>
        <w:gridCol w:w="530"/>
        <w:gridCol w:w="2285"/>
        <w:gridCol w:w="75"/>
      </w:tblGrid>
      <w:tr>
        <w:trPr/>
        <w:tc>
          <w:tcPr>
            <w:tcW w:w="2815" w:type="dxa"/>
            <w:gridSpan w:val="2"/>
            <w:tcBorders>
              <w:bottom w:val="single" w:sz="12" w:space="0" w:color="000000"/>
            </w:tcBorders>
            <w:vAlign w:val="center"/>
          </w:tcPr>
          <w:p>
            <w:pPr>
              <w:pStyle w:val="TableContents"/>
              <w:bidi w:val="0"/>
              <w:spacing w:before="0" w:after="283"/>
              <w:jc w:val="left"/>
              <w:rPr>
                <w:sz w:val="20"/>
              </w:rPr>
            </w:pPr>
            <w:r>
              <w:rPr>
                <w:sz w:val="20"/>
              </w:rPr>
              <w:t>/s/ William J. Febbo</w:t>
            </w:r>
          </w:p>
        </w:tc>
        <w:tc>
          <w:tcPr>
            <w:tcW w:w="75" w:type="dxa"/>
            <w:tcBorders/>
            <w:tcMar>
              <w:bottom w:w="0" w:type="dxa"/>
            </w:tcMar>
            <w:vAlign w:val="center"/>
          </w:tcPr>
          <w:p>
            <w:pPr>
              <w:pStyle w:val="TableContents"/>
              <w:bidi w:val="0"/>
              <w:spacing w:before="0" w:after="283"/>
              <w:jc w:val="left"/>
              <w:rPr/>
            </w:pPr>
            <w:r>
              <w:rPr/>
              <w:t> </w:t>
            </w:r>
          </w:p>
        </w:tc>
      </w:tr>
      <w:tr>
        <w:trPr/>
        <w:tc>
          <w:tcPr>
            <w:tcW w:w="530" w:type="dxa"/>
            <w:tcBorders/>
            <w:tcMar>
              <w:bottom w:w="0" w:type="dxa"/>
            </w:tcMar>
            <w:vAlign w:val="center"/>
          </w:tcPr>
          <w:p>
            <w:pPr>
              <w:pStyle w:val="TableContents"/>
              <w:bidi w:val="0"/>
              <w:spacing w:before="0" w:after="283"/>
              <w:jc w:val="left"/>
              <w:rPr/>
            </w:pPr>
            <w:r>
              <w:rPr/>
              <w:t>By:</w:t>
            </w:r>
          </w:p>
        </w:tc>
        <w:tc>
          <w:tcPr>
            <w:tcW w:w="2285" w:type="dxa"/>
            <w:tcBorders/>
            <w:tcMar>
              <w:bottom w:w="0" w:type="dxa"/>
            </w:tcMar>
            <w:vAlign w:val="center"/>
          </w:tcPr>
          <w:p>
            <w:pPr>
              <w:pStyle w:val="TableContents"/>
              <w:bidi w:val="0"/>
              <w:spacing w:before="0" w:after="283"/>
              <w:jc w:val="left"/>
              <w:rPr/>
            </w:pPr>
            <w:r>
              <w:rPr/>
              <w:t>William J. Febbo</w:t>
            </w:r>
          </w:p>
        </w:tc>
        <w:tc>
          <w:tcPr>
            <w:tcW w:w="75" w:type="dxa"/>
            <w:tcBorders/>
            <w:tcMar>
              <w:bottom w:w="0" w:type="dxa"/>
            </w:tcMar>
            <w:vAlign w:val="center"/>
          </w:tcPr>
          <w:p>
            <w:pPr>
              <w:pStyle w:val="TableContents"/>
              <w:bidi w:val="0"/>
              <w:spacing w:before="0" w:after="283"/>
              <w:jc w:val="left"/>
              <w:rPr/>
            </w:pPr>
            <w:r>
              <w:rPr/>
              <w:t> </w:t>
            </w:r>
          </w:p>
        </w:tc>
      </w:tr>
      <w:tr>
        <w:trPr/>
        <w:tc>
          <w:tcPr>
            <w:tcW w:w="530" w:type="dxa"/>
            <w:tcBorders/>
            <w:tcMar>
              <w:bottom w:w="0" w:type="dxa"/>
            </w:tcMar>
            <w:vAlign w:val="center"/>
          </w:tcPr>
          <w:p>
            <w:pPr>
              <w:pStyle w:val="TableContents"/>
              <w:bidi w:val="0"/>
              <w:spacing w:before="0" w:after="283"/>
              <w:jc w:val="left"/>
              <w:rPr/>
            </w:pPr>
            <w:r>
              <w:rPr/>
              <w:t>Title:</w:t>
            </w:r>
          </w:p>
        </w:tc>
        <w:tc>
          <w:tcPr>
            <w:tcW w:w="2285" w:type="dxa"/>
            <w:tcBorders/>
            <w:tcMar>
              <w:bottom w:w="0" w:type="dxa"/>
            </w:tcMar>
            <w:vAlign w:val="center"/>
          </w:tcPr>
          <w:p>
            <w:pPr>
              <w:pStyle w:val="TableContents"/>
              <w:bidi w:val="0"/>
              <w:spacing w:before="0" w:after="283"/>
              <w:jc w:val="left"/>
              <w:rPr/>
            </w:pPr>
            <w:r>
              <w:rPr/>
              <w:t>Chief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0594701ex31-2_optimizerx.htm"/>
      <w:bookmarkStart w:id="24" w:name="ksea020594701ex312_optimizerx"/>
      <w:bookmarkEnd w:id="23"/>
      <w:bookmarkEnd w:id="24"/>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519"/>
        <w:gridCol w:w="9559"/>
      </w:tblGrid>
      <w:tr>
        <w:trPr/>
        <w:tc>
          <w:tcPr>
            <w:tcW w:w="12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pPr>
            <w:r>
              <w:rPr/>
              <w:t>I,</w:t>
            </w:r>
          </w:p>
        </w:tc>
        <w:tc>
          <w:tcPr>
            <w:tcW w:w="9559" w:type="dxa"/>
            <w:tcBorders/>
            <w:vAlign w:val="center"/>
          </w:tcPr>
          <w:p>
            <w:pPr>
              <w:pStyle w:val="TableContents"/>
              <w:bidi w:val="0"/>
              <w:spacing w:before="0" w:after="283"/>
              <w:jc w:val="both"/>
              <w:rPr/>
            </w:pPr>
            <w:r>
              <w:rPr/>
              <w:t>Edward Stelmakh certify that;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1.</w:t>
            </w:r>
          </w:p>
        </w:tc>
        <w:tc>
          <w:tcPr>
            <w:tcW w:w="9981" w:type="dxa"/>
            <w:tcBorders/>
            <w:vAlign w:val="center"/>
          </w:tcPr>
          <w:p>
            <w:pPr>
              <w:pStyle w:val="TableContents"/>
              <w:bidi w:val="0"/>
              <w:spacing w:before="0" w:after="283"/>
              <w:jc w:val="both"/>
              <w:rPr/>
            </w:pPr>
            <w:r>
              <w:rPr/>
              <w:t>I have reviewed this quarterly report on Form 10-Q for the quarter ended March 31, 2024 of OptimizeRx Corp (the “registrant”);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2024</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28" w:type="dxa"/>
          <w:right w:w="0" w:type="dxa"/>
        </w:tblCellMar>
      </w:tblPr>
      <w:tblGrid>
        <w:gridCol w:w="530"/>
        <w:gridCol w:w="2210"/>
        <w:gridCol w:w="75"/>
      </w:tblGrid>
      <w:tr>
        <w:trPr/>
        <w:tc>
          <w:tcPr>
            <w:tcW w:w="2740" w:type="dxa"/>
            <w:gridSpan w:val="2"/>
            <w:tcBorders>
              <w:bottom w:val="single" w:sz="12" w:space="0" w:color="000000"/>
            </w:tcBorders>
            <w:vAlign w:val="center"/>
          </w:tcPr>
          <w:p>
            <w:pPr>
              <w:pStyle w:val="TableContents"/>
              <w:bidi w:val="0"/>
              <w:spacing w:before="0" w:after="283"/>
              <w:jc w:val="left"/>
              <w:rPr>
                <w:sz w:val="20"/>
              </w:rPr>
            </w:pPr>
            <w:r>
              <w:rPr>
                <w:sz w:val="20"/>
              </w:rPr>
              <w:t>/s/ Edward Stelmakh</w:t>
            </w:r>
          </w:p>
        </w:tc>
        <w:tc>
          <w:tcPr>
            <w:tcW w:w="75" w:type="dxa"/>
            <w:tcBorders/>
            <w:tcMar>
              <w:bottom w:w="0" w:type="dxa"/>
            </w:tcMar>
            <w:vAlign w:val="center"/>
          </w:tcPr>
          <w:p>
            <w:pPr>
              <w:pStyle w:val="TableContents"/>
              <w:bidi w:val="0"/>
              <w:spacing w:before="0" w:after="283"/>
              <w:jc w:val="left"/>
              <w:rPr/>
            </w:pPr>
            <w:r>
              <w:rPr/>
              <w:t> </w:t>
            </w:r>
          </w:p>
        </w:tc>
      </w:tr>
      <w:tr>
        <w:trPr/>
        <w:tc>
          <w:tcPr>
            <w:tcW w:w="530" w:type="dxa"/>
            <w:tcBorders/>
            <w:tcMar>
              <w:bottom w:w="0" w:type="dxa"/>
            </w:tcMar>
            <w:vAlign w:val="center"/>
          </w:tcPr>
          <w:p>
            <w:pPr>
              <w:pStyle w:val="TableContents"/>
              <w:bidi w:val="0"/>
              <w:spacing w:before="0" w:after="283"/>
              <w:jc w:val="left"/>
              <w:rPr/>
            </w:pPr>
            <w:r>
              <w:rPr/>
              <w:t>By:</w:t>
            </w:r>
          </w:p>
        </w:tc>
        <w:tc>
          <w:tcPr>
            <w:tcW w:w="2210" w:type="dxa"/>
            <w:tcBorders/>
            <w:tcMar>
              <w:bottom w:w="0" w:type="dxa"/>
            </w:tcMar>
            <w:vAlign w:val="center"/>
          </w:tcPr>
          <w:p>
            <w:pPr>
              <w:pStyle w:val="TableContents"/>
              <w:bidi w:val="0"/>
              <w:spacing w:before="0" w:after="283"/>
              <w:jc w:val="left"/>
              <w:rPr/>
            </w:pPr>
            <w:r>
              <w:rPr/>
              <w:t>Edward Stelmakh</w:t>
            </w:r>
          </w:p>
        </w:tc>
        <w:tc>
          <w:tcPr>
            <w:tcW w:w="75" w:type="dxa"/>
            <w:tcBorders/>
            <w:tcMar>
              <w:bottom w:w="0" w:type="dxa"/>
            </w:tcMar>
            <w:vAlign w:val="center"/>
          </w:tcPr>
          <w:p>
            <w:pPr>
              <w:pStyle w:val="TableContents"/>
              <w:bidi w:val="0"/>
              <w:spacing w:before="0" w:after="283"/>
              <w:jc w:val="left"/>
              <w:rPr/>
            </w:pPr>
            <w:r>
              <w:rPr/>
              <w:t> </w:t>
            </w:r>
          </w:p>
        </w:tc>
      </w:tr>
      <w:tr>
        <w:trPr/>
        <w:tc>
          <w:tcPr>
            <w:tcW w:w="530" w:type="dxa"/>
            <w:tcBorders/>
            <w:tcMar>
              <w:bottom w:w="0" w:type="dxa"/>
            </w:tcMar>
            <w:vAlign w:val="center"/>
          </w:tcPr>
          <w:p>
            <w:pPr>
              <w:pStyle w:val="TableContents"/>
              <w:bidi w:val="0"/>
              <w:spacing w:before="0" w:after="283"/>
              <w:jc w:val="left"/>
              <w:rPr/>
            </w:pPr>
            <w:r>
              <w:rPr/>
              <w:t>Title:</w:t>
            </w:r>
          </w:p>
        </w:tc>
        <w:tc>
          <w:tcPr>
            <w:tcW w:w="2210" w:type="dxa"/>
            <w:tcBorders/>
            <w:tcMar>
              <w:bottom w:w="0" w:type="dxa"/>
            </w:tcMar>
            <w:vAlign w:val="center"/>
          </w:tcPr>
          <w:p>
            <w:pPr>
              <w:pStyle w:val="TableContents"/>
              <w:bidi w:val="0"/>
              <w:spacing w:before="0" w:after="283"/>
              <w:jc w:val="left"/>
              <w:rPr/>
            </w:pPr>
            <w:r>
              <w:rPr/>
              <w:t>Chief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0594701ex32-1_optimizerx.htm"/>
      <w:bookmarkStart w:id="26" w:name="ksea020594701ex321_optimizerx"/>
      <w:bookmarkEnd w:id="25"/>
      <w:bookmarkEnd w:id="26"/>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CHIEF EXECUTIVE OFFICER AND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OptimizeRx Corp (the “Company”) on Form 10-Q for the quarter ended March 31, 2024 filed with the Securities and Exchange Commission (the “Report”), I, Will Febbo, Chief Executive Officer and I, Edward Stelmakh, Chief Financial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1.</w:t>
            </w:r>
          </w:p>
        </w:tc>
        <w:tc>
          <w:tcPr>
            <w:tcW w:w="9971" w:type="dxa"/>
            <w:tcBorders/>
            <w:vAlign w:val="center"/>
          </w:tcPr>
          <w:p>
            <w:pPr>
              <w:pStyle w:val="TableContents"/>
              <w:bidi w:val="0"/>
              <w:spacing w:before="0" w:after="283"/>
              <w:jc w:val="both"/>
              <w:rPr/>
            </w:pPr>
            <w:r>
              <w:rPr/>
              <w:t>The Report fully complies with the requirements of Section 13(a) of the Securities Exchange Act of 1934;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2.</w:t>
            </w:r>
          </w:p>
        </w:tc>
        <w:tc>
          <w:tcPr>
            <w:tcW w:w="10003" w:type="dxa"/>
            <w:tcBorders/>
            <w:vAlign w:val="center"/>
          </w:tcPr>
          <w:p>
            <w:pPr>
              <w:pStyle w:val="TableContents"/>
              <w:bidi w:val="0"/>
              <w:spacing w:before="0" w:after="283"/>
              <w:jc w:val="both"/>
              <w:rPr/>
            </w:pPr>
            <w:r>
              <w:rPr/>
              <w:t>The information contained in the Report fairly presents, in all material respects, the consolidated financial condition of the Company as of the dates presented and the consolidated result of operations of the Company for the periods presented.</w:t>
            </w:r>
          </w:p>
        </w:tc>
      </w:tr>
    </w:tbl>
    <w:p>
      <w:pPr>
        <w:pStyle w:val="TextBody"/>
        <w:bidi w:val="0"/>
        <w:spacing w:before="0" w:after="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605"/>
        <w:gridCol w:w="2225"/>
        <w:gridCol w:w="75"/>
      </w:tblGrid>
      <w:tr>
        <w:trPr/>
        <w:tc>
          <w:tcPr>
            <w:tcW w:w="605" w:type="dxa"/>
            <w:tcBorders/>
            <w:vAlign w:val="center"/>
          </w:tcPr>
          <w:p>
            <w:pPr>
              <w:pStyle w:val="TableContents"/>
              <w:bidi w:val="0"/>
              <w:spacing w:before="0" w:after="283"/>
              <w:jc w:val="left"/>
              <w:rPr>
                <w:sz w:val="20"/>
              </w:rPr>
            </w:pPr>
            <w:r>
              <w:rPr>
                <w:sz w:val="20"/>
              </w:rPr>
              <w:t>By:</w:t>
            </w:r>
          </w:p>
        </w:tc>
        <w:tc>
          <w:tcPr>
            <w:tcW w:w="222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William J Febbo</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 </w:t>
            </w:r>
          </w:p>
        </w:tc>
        <w:tc>
          <w:tcPr>
            <w:tcW w:w="2225" w:type="dxa"/>
            <w:tcBorders/>
            <w:vAlign w:val="center"/>
          </w:tcPr>
          <w:p>
            <w:pPr>
              <w:pStyle w:val="TableContents"/>
              <w:bidi w:val="0"/>
              <w:spacing w:before="0" w:after="283"/>
              <w:jc w:val="left"/>
              <w:rPr>
                <w:sz w:val="20"/>
              </w:rPr>
            </w:pPr>
            <w:r>
              <w:rPr>
                <w:sz w:val="20"/>
              </w:rPr>
              <w:t>Willian J Febbo</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2225" w:type="dxa"/>
            <w:tcBorders/>
            <w:vAlign w:val="center"/>
          </w:tcPr>
          <w:p>
            <w:pPr>
              <w:pStyle w:val="TableContents"/>
              <w:bidi w:val="0"/>
              <w:spacing w:before="0" w:after="283"/>
              <w:jc w:val="left"/>
              <w:rPr>
                <w:sz w:val="20"/>
              </w:rPr>
            </w:pPr>
            <w:r>
              <w:rPr>
                <w:sz w:val="20"/>
              </w:rPr>
              <w:t>Principal Executive Officer</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Date:</w:t>
            </w:r>
          </w:p>
        </w:tc>
        <w:tc>
          <w:tcPr>
            <w:tcW w:w="2225" w:type="dxa"/>
            <w:tcBorders/>
            <w:vAlign w:val="center"/>
          </w:tcPr>
          <w:p>
            <w:pPr>
              <w:pStyle w:val="TableContents"/>
              <w:bidi w:val="0"/>
              <w:spacing w:before="0" w:after="283"/>
              <w:jc w:val="left"/>
              <w:rPr>
                <w:sz w:val="20"/>
              </w:rPr>
            </w:pPr>
            <w:r>
              <w:rPr>
                <w:sz w:val="20"/>
              </w:rPr>
              <w:t>May 15, 2024</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By:</w:t>
            </w:r>
          </w:p>
        </w:tc>
        <w:tc>
          <w:tcPr>
            <w:tcW w:w="2225" w:type="dxa"/>
            <w:tcBorders>
              <w:bottom w:val="single" w:sz="12" w:space="0" w:color="000000"/>
            </w:tcBorders>
            <w:tcMar>
              <w:bottom w:w="28" w:type="dxa"/>
            </w:tcMar>
            <w:vAlign w:val="center"/>
          </w:tcPr>
          <w:p>
            <w:pPr>
              <w:pStyle w:val="TableContents"/>
              <w:bidi w:val="0"/>
              <w:spacing w:before="0" w:after="283"/>
              <w:jc w:val="left"/>
              <w:rPr>
                <w:sz w:val="20"/>
              </w:rPr>
            </w:pPr>
            <w:r>
              <w:rPr>
                <w:sz w:val="20"/>
              </w:rPr>
              <w:t xml:space="preserve">/s/ Edward Stelmakh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w:t>
            </w:r>
          </w:p>
        </w:tc>
        <w:tc>
          <w:tcPr>
            <w:tcW w:w="2225" w:type="dxa"/>
            <w:tcBorders/>
            <w:vAlign w:val="center"/>
          </w:tcPr>
          <w:p>
            <w:pPr>
              <w:pStyle w:val="TableContents"/>
              <w:bidi w:val="0"/>
              <w:spacing w:before="0" w:after="283"/>
              <w:jc w:val="left"/>
              <w:rPr>
                <w:sz w:val="20"/>
              </w:rPr>
            </w:pPr>
            <w:r>
              <w:rPr>
                <w:sz w:val="20"/>
              </w:rPr>
              <w:t>Edward Stelmakh</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2225" w:type="dxa"/>
            <w:tcBorders/>
            <w:vAlign w:val="center"/>
          </w:tcPr>
          <w:p>
            <w:pPr>
              <w:pStyle w:val="TableContents"/>
              <w:bidi w:val="0"/>
              <w:spacing w:before="0" w:after="283"/>
              <w:jc w:val="left"/>
              <w:rPr>
                <w:sz w:val="20"/>
              </w:rPr>
            </w:pPr>
            <w:r>
              <w:rPr>
                <w:sz w:val="20"/>
              </w:rPr>
              <w:t>Principal Financial Officer</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Date:</w:t>
            </w:r>
          </w:p>
        </w:tc>
        <w:tc>
          <w:tcPr>
            <w:tcW w:w="2225" w:type="dxa"/>
            <w:tcBorders/>
            <w:vAlign w:val="center"/>
          </w:tcPr>
          <w:p>
            <w:pPr>
              <w:pStyle w:val="TableContents"/>
              <w:bidi w:val="0"/>
              <w:spacing w:before="0" w:after="283"/>
              <w:jc w:val="left"/>
              <w:rPr>
                <w:sz w:val="20"/>
              </w:rPr>
            </w:pPr>
            <w:r>
              <w:rPr>
                <w:sz w:val="20"/>
              </w:rPr>
              <w:t>May 15, 2024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has been furnished solely pursuant to Section 906 of the Sarbanes-Oxley Act of 2002.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48431/000136110608000414/optimizerx_s1-ex0301.htm" TargetMode="External"/><Relationship Id="rId3" Type="http://schemas.openxmlformats.org/officeDocument/2006/relationships/hyperlink" Target="http://www.sec.gov/Archives/edgar/data/1448431/000121390019003962/f10k2018ex3-5_optimizerx.htm" TargetMode="External"/><Relationship Id="rId4" Type="http://schemas.openxmlformats.org/officeDocument/2006/relationships/hyperlink" Target="http://www.sec.gov/Archives/edgar/data/1448431/000121390023019233/f10k2022ex3-3_optimizerx.htm" TargetMode="External"/><Relationship Id="rId5" Type="http://schemas.openxmlformats.org/officeDocument/2006/relationships/hyperlink" Target="http://www.sec.gov/Archives/edgar/data/1448431/000121390024029318/ea020314101ex10-1_optimize.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12412</Words>
  <Characters>68495</Characters>
  <CharactersWithSpaces>81786</CharactersWithSpaces>
  <Paragraphs>3426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