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6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6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8300" w:type="dxa"/>
            <w:vAlign w:val="bottom"/>
            <w:gridSpan w:val="7"/>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16, 2024</w:t>
            </w: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60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600" w:type="dxa"/>
            <w:vAlign w:val="bottom"/>
          </w:tcPr>
          <w:p>
            <w:pPr>
              <w:spacing w:after="0"/>
              <w:rPr>
                <w:sz w:val="20"/>
                <w:szCs w:val="20"/>
                <w:color w:val="auto"/>
              </w:rPr>
            </w:pPr>
          </w:p>
        </w:tc>
      </w:tr>
      <w:tr>
        <w:trPr>
          <w:trHeight w:val="452"/>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0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940" w:type="dxa"/>
            <w:vAlign w:val="bottom"/>
            <w:tcBorders>
              <w:top w:val="single" w:sz="8" w:color="auto"/>
            </w:tcBorders>
          </w:tcPr>
          <w:p>
            <w:pPr>
              <w:jc w:val="center"/>
              <w:ind w:left="5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16, 2024, OptimizeRx Corporation issued a press release announcing its financial results for the fourth quarter and full year ended December 31, 2023, providing Key Performance Indicators and reiterating its initial 2024 guidance. A copy of the press release is furnished with this Current Report on Form 8-K as Exhibit 99.1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16, 2024</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2024</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34"/>
        </w:trPr>
        <w:tc>
          <w:tcPr>
            <w:tcW w:w="3540" w:type="dxa"/>
            <w:vAlign w:val="bottom"/>
          </w:tcPr>
          <w:p>
            <w:pPr>
              <w:spacing w:after="0"/>
              <w:rPr>
                <w:sz w:val="20"/>
                <w:szCs w:val="20"/>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156845</wp:posOffset>
            </wp:positionV>
            <wp:extent cx="261429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Reports Strong Fourth Quarter and Full Year 2023 Financial Results</w:t>
      </w:r>
    </w:p>
    <w:p>
      <w:pPr>
        <w:spacing w:after="0" w:line="22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revenue of $28.4 million, increasing 44% year-over-year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gross profit increased 43% year-over-year to $17.8 million with gross margins coming in at 63% for both periods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Healthy Offers, Inc. (dba Medicx Health), a leading healthcare consumer-focused omnichannel marketing and analytics company that significantly expands our footprint with consumers and patients</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Meaningfully increased our DAAP footprint: 24 DAAP deals in 2023 compared to six deals in 2022</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 – April 16, 2024 – </w:t>
      </w:r>
      <w:r>
        <w:rPr>
          <w:rFonts w:ascii="Times New Roman" w:cs="Times New Roman" w:eastAsia="Times New Roman" w:hAnsi="Times New Roman"/>
          <w:sz w:val="18"/>
          <w:szCs w:val="18"/>
          <w:color w:val="auto"/>
        </w:rPr>
        <w:t>life sciences companies reach and December 31, 2023.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hanging="18"/>
        <w:spacing w:after="0" w:line="282" w:lineRule="auto"/>
        <w:rPr>
          <w:sz w:val="20"/>
          <w:szCs w:val="20"/>
          <w:color w:val="auto"/>
        </w:rPr>
      </w:pPr>
      <w:r>
        <w:rPr>
          <w:rFonts w:ascii="Times New Roman" w:cs="Times New Roman" w:eastAsia="Times New Roman" w:hAnsi="Times New Roman"/>
          <w:sz w:val="18"/>
          <w:szCs w:val="18"/>
          <w:color w:val="auto"/>
        </w:rPr>
        <w:t>OptimizeRx Corp. (the “Company”) (Nasdaq: OPRX), a leading provider of healthcare technology solutions helping engage healthcare professionals (HCPs) and patients, reported results for the fourth quarter and full year ended</w:t>
      </w:r>
    </w:p>
    <w:p>
      <w:pPr>
        <w:spacing w:after="0" w:line="373" w:lineRule="exact"/>
        <w:rPr>
          <w:sz w:val="20"/>
          <w:szCs w:val="20"/>
          <w:color w:val="auto"/>
        </w:rPr>
      </w:pPr>
    </w:p>
    <w:p>
      <w:pPr>
        <w:sectPr>
          <w:pgSz w:w="11900" w:h="16838" w:orient="portrait"/>
          <w:cols w:equalWidth="0" w:num="2">
            <w:col w:w="2600" w:space="80"/>
            <w:col w:w="85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45"/>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revenue per top 20 pharmaceutical manufacturer</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2,566,832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2,136,746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average full-time employee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586,242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606,312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Will Febbo, OptimizeRx CEO commented, “Q4 of 2023 ended strongly, setting the Company up well for 2024. Our revenue for the quarter exceeded expectations, reaching $28.4 million, a 44% increase year-over-year. This was fueled by organic growth through our Dynamic Audience Activation Platform (DAAP) and a two-month contribution from the Medicx Health acquisition. Notably, our core HCP business saw an over 30% growth compared to Q4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 extremely proud of everything we accomplished last year. DAAP deals quadrupled to 24, aligning with our strategic goals and providing a solid revenue base and momentum for 2024. Meanwhile, the acquisition of Medicx Health merged a leading Direct-to-Consumer (DTC) audience activation and messaging execution business with our HCP-focused, omnichannel, digital point-of-care pharma marketing business, unlocking new markets and cross-selling opportunities.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successfully completed our operational realignment to focus on core business lines and streamlining our operations to align with our profitable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fourth quarter of 2023 increased 44% to $28.4 million, from $19.7 million in the same period of 2022, with the full year revenue coming in at $71.5 million, a 15% increase when compared to the same year-ago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fourth quarter of 2023 increased 43% year-over-year to $17.8 million. Gross profit for the full year came in at $42.9 million.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totaled $(4.1) million or $(0.23) per basic and diluted share in the fourth quarter and totaled $(17.6) million or $(1.03) per basic and diluted share for the full year.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in the fourth quarter totaled $4.6 million or $0.26 per fully diluted shares outstanding and came in at $4.4 million or $0.26 per fully diluted shares outstanding for the full year (see definition of this non-GAAP measure and reconciliation to GAAP, below).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fourth quarter came in at $5.8 million a 50% increase from the $3.9 million we recognized during the same year-ago period. Adjusted EBITDA for the full year came in at $3.6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full year 2024, the Company is reiterating its 2024 guidance and expects revenue to be at least $100 million with an Adjusted EBITDA of at least $11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income (loss) and non-GAAP net income (loss) per diluted share or non-GAAP EPS, Adjusted EBITDA, all of which are non-GAAP financial measures.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defines non-GAAP net income (loss) as GAAP net income (loss) with an adjustment to add back depreciation, amortization, amortization of debt issuance costs, stock-based compensation, acquisition expenses, severance expense related to a reduction in force, income or loss related to the fair value of contingent consideration, gain or loss from the disposal of a business, asset impairment charges, other income (loss), and deferred income taxes. Non-GAAP EPS is defined as non-GAAP net income (loss) divided by the number of weighted average shares outstanding on a diluted basis. Adjusted EBITDA is defined as GAAP net income (loss) with an adjustment to add back depreciation, amortization, interest, stock-based compensation, acquisition expenses, severance expense related to a reduction in force, income or loss related to the fair value of contingent consideration, gain or loss from the disposal of a business, asset impairment charges, other income (loss), and deferred income taxes. The Company has provided non-GAAP financial measures to aid investors in better understanding its performance. Management believes that these non-GAAP financial measures provide additional insight into the operations and cash flow of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 non-cash expenses allows for meaningful comparisons between the Company’s business operating results and those of other companies, as well as provides an important tool for financial and operational decision making and for evaluating the Company’s business operating results over different periods of time.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non-GAAP financial measures may not provide information that is directly comparable to that provided by other companies in the Company’s industry, as other companies in the industry may calculate such non-GAAP financial results differently. The Company’s non-GAAP net income (loss), non-GAAP EPS and Adjusted EBITDA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table, “Reconciliation of Non-GAAP to GAAP Financial Measures,” included below, provides a reconciliation of Non-GAAP net income, Non-GAAP EPS and Adjusted EBITDA for the fourth quarter and full year ended December 31, 2023 and 2022. Although the Company provides guidance for Adjusted EBITDA, it is not able to provide guidance to the most directly comparable GAAP measures. Reconciliations for forward-looking figures would require unreasonable efforts at this time because of the uncertainty and variability of the nature and amount of certain components of various necessary GAAP components, including, for example, those related to compensation, acquisition expenses,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Key Performance Indicators*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Top 20 pharmaceutical manufacturers: </w:t>
      </w:r>
      <w:r>
        <w:rPr>
          <w:rFonts w:ascii="Times New Roman" w:cs="Times New Roman" w:eastAsia="Times New Roman" w:hAnsi="Times New Roman"/>
          <w:sz w:val="18"/>
          <w:szCs w:val="18"/>
          <w:color w:val="auto"/>
        </w:rPr>
        <w:t>Top 20 pharmaceutical manufacturers are based on Fierce Pharma’s “The top 20 pharma companies by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We previously used “The top 20 pharma companies by 2020 revenue”. As a result of this change, prior periods have been restated for comparative purposes.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Net revenue retention</w:t>
      </w:r>
      <w:r>
        <w:rPr>
          <w:rFonts w:ascii="Times New Roman" w:cs="Times New Roman" w:eastAsia="Times New Roman" w:hAnsi="Times New Roman"/>
          <w:sz w:val="18"/>
          <w:szCs w:val="18"/>
          <w:color w:val="auto"/>
        </w:rPr>
        <w:t>: Net revenue retention is a comparison of revenue generated from all clients in the previous period to total revenue generated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clients in the following year (i.e., excludes new client relationships for the most recent year).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full-time employee: </w:t>
      </w:r>
      <w:r>
        <w:rPr>
          <w:rFonts w:ascii="Times New Roman" w:cs="Times New Roman" w:eastAsia="Times New Roman" w:hAnsi="Times New Roman"/>
          <w:sz w:val="18"/>
          <w:szCs w:val="18"/>
          <w:color w:val="auto"/>
        </w:rPr>
        <w:t>We define revenue per average full-time employee (FTE) as total revenue over the last 12 months (LTM)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LTM, which is calculated by taking our total number of FTEs at the end of the prior year period by our total FTE headcount at the end of the most recent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provides best-in-class health technology that enables care-focused engagement between life sciences organizations, healthcare providers, and patients at critical junctures throughout the patient care journey. Connecting over two million of U.S. healthcare providers and millions of their patients through an intelligent technology platform embedded within a proprietary digital point-of-care network, OptimizeRx helps patients start and stay on their medications.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future performance, expected revenues, expected Adjusted EBITDA and prospects.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seasonal trends, our ability to maintain our contracts with electronic prescription platforms, competition, and other risks summarized in the Company’s Annual Report on Form 10-K for the fiscal year ended December 31, 2023, its subsequent Quarterly Reports on Form 10-Q, and its other filings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Robinson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arr@lifesciadvisors.com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9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13,852,456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18,208,685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55,931,821</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$239,172 and $352,043 at December 31 2023 and 2022,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36,253,214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22,155,301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1,035,754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3,189,468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2,280,828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54,330,892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98,576,635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78,357,074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22,673,820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6,184,742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1,940,178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9,012,756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7,702,895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 and customer relationships,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34,198,084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3,379,838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572,895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235,320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568,048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128,893,599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183,373,898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134,651,185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2,227,177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1,549,979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7,754,781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2,601,246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5,505,701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3,990,440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221,625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89,902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171,841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164,309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17,881,125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8,395,876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34,230,737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371,438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144,532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4,337,424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56,820,724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8,540,408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December 31, 2023</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2022,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19,899,679 and 18,288,571 shares issued at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19,899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$0.001 par value, 1,741,397 and 1,214,398 purchased at December 31, 2023 and 2022, respectively</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190,792,980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172,785,800</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(64,257,964)</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(46,692,098)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126,553,174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126,110,777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183,373,898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134,651,185</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14"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45"/>
        </w:trPr>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revenue</w:t>
      </w:r>
    </w:p>
    <w:p>
      <w:pPr>
        <w:spacing w:after="0" w:line="27" w:lineRule="exact"/>
        <w:rPr>
          <w:sz w:val="20"/>
          <w:szCs w:val="20"/>
          <w:color w:val="auto"/>
        </w:rPr>
      </w:pPr>
    </w:p>
    <w:p>
      <w:pPr>
        <w:ind w:left="180" w:right="155" w:hanging="161"/>
        <w:spacing w:after="0" w:line="255" w:lineRule="auto"/>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w:t>
      </w:r>
    </w:p>
    <w:p>
      <w:pPr>
        <w:spacing w:after="0" w:line="20" w:lineRule="exact"/>
        <w:rPr>
          <w:sz w:val="20"/>
          <w:szCs w:val="20"/>
          <w:color w:val="auto"/>
        </w:rPr>
      </w:pPr>
      <w:r>
        <w:rPr>
          <w:sz w:val="20"/>
          <w:szCs w:val="20"/>
          <w:color w:val="auto"/>
        </w:rPr>
        <w:br w:type="column"/>
      </w:r>
    </w:p>
    <w:p>
      <w:pPr>
        <w:ind w:left="325" w:hanging="325"/>
        <w:spacing w:after="0"/>
        <w:tabs>
          <w:tab w:leader="none" w:pos="3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28,368,946   $   19,654,457   $  71,521,506   $  62,450,156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ind w:left="325"/>
        <w:spacing w:after="0"/>
        <w:tabs>
          <w:tab w:leader="none" w:pos="1765" w:val="left"/>
          <w:tab w:leader="none" w:pos="3005" w:val="left"/>
          <w:tab w:leader="none" w:pos="4325" w:val="left"/>
        </w:tabs>
        <w:rPr>
          <w:sz w:val="20"/>
          <w:szCs w:val="20"/>
          <w:color w:val="auto"/>
        </w:rPr>
      </w:pPr>
      <w:r>
        <w:rPr>
          <w:rFonts w:ascii="Times New Roman" w:cs="Times New Roman" w:eastAsia="Times New Roman" w:hAnsi="Times New Roman"/>
          <w:sz w:val="18"/>
          <w:szCs w:val="18"/>
          <w:color w:val="auto"/>
        </w:rPr>
        <w:t>10,527,640</w:t>
      </w:r>
      <w:r>
        <w:rPr>
          <w:sz w:val="20"/>
          <w:szCs w:val="20"/>
          <w:color w:val="auto"/>
        </w:rPr>
        <w:tab/>
      </w:r>
      <w:r>
        <w:rPr>
          <w:rFonts w:ascii="Times New Roman" w:cs="Times New Roman" w:eastAsia="Times New Roman" w:hAnsi="Times New Roman"/>
          <w:sz w:val="18"/>
          <w:szCs w:val="18"/>
          <w:color w:val="auto"/>
        </w:rPr>
        <w:t>7,200,029</w:t>
      </w:r>
      <w:r>
        <w:rPr>
          <w:sz w:val="20"/>
          <w:szCs w:val="20"/>
          <w:color w:val="auto"/>
        </w:rPr>
        <w:tab/>
      </w:r>
      <w:r>
        <w:rPr>
          <w:rFonts w:ascii="Times New Roman" w:cs="Times New Roman" w:eastAsia="Times New Roman" w:hAnsi="Times New Roman"/>
          <w:sz w:val="18"/>
          <w:szCs w:val="18"/>
          <w:color w:val="auto"/>
        </w:rPr>
        <w:t>28,621,589</w:t>
      </w:r>
      <w:r>
        <w:rPr>
          <w:sz w:val="20"/>
          <w:szCs w:val="20"/>
          <w:color w:val="auto"/>
        </w:rPr>
        <w:tab/>
      </w:r>
      <w:r>
        <w:rPr>
          <w:rFonts w:ascii="Times New Roman" w:cs="Times New Roman" w:eastAsia="Times New Roman" w:hAnsi="Times New Roman"/>
          <w:sz w:val="18"/>
          <w:szCs w:val="18"/>
          <w:color w:val="auto"/>
        </w:rPr>
        <w:t>23,483,336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17145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25"/>
        <w:spacing w:after="0"/>
        <w:tabs>
          <w:tab w:leader="none" w:pos="1685" w:val="left"/>
          <w:tab w:leader="none" w:pos="3005" w:val="left"/>
          <w:tab w:leader="none" w:pos="4325" w:val="left"/>
        </w:tabs>
        <w:rPr>
          <w:sz w:val="20"/>
          <w:szCs w:val="20"/>
          <w:color w:val="auto"/>
        </w:rPr>
      </w:pPr>
      <w:r>
        <w:rPr>
          <w:rFonts w:ascii="Times New Roman" w:cs="Times New Roman" w:eastAsia="Times New Roman" w:hAnsi="Times New Roman"/>
          <w:sz w:val="18"/>
          <w:szCs w:val="18"/>
          <w:color w:val="auto"/>
        </w:rPr>
        <w:t>17,841,306</w:t>
      </w:r>
      <w:r>
        <w:rPr>
          <w:sz w:val="20"/>
          <w:szCs w:val="20"/>
          <w:color w:val="auto"/>
        </w:rPr>
        <w:tab/>
      </w:r>
      <w:r>
        <w:rPr>
          <w:rFonts w:ascii="Times New Roman" w:cs="Times New Roman" w:eastAsia="Times New Roman" w:hAnsi="Times New Roman"/>
          <w:sz w:val="18"/>
          <w:szCs w:val="18"/>
          <w:color w:val="auto"/>
        </w:rPr>
        <w:t>12,454,428</w:t>
      </w:r>
      <w:r>
        <w:rPr>
          <w:sz w:val="20"/>
          <w:szCs w:val="20"/>
          <w:color w:val="auto"/>
        </w:rPr>
        <w:tab/>
      </w:r>
      <w:r>
        <w:rPr>
          <w:rFonts w:ascii="Times New Roman" w:cs="Times New Roman" w:eastAsia="Times New Roman" w:hAnsi="Times New Roman"/>
          <w:sz w:val="18"/>
          <w:szCs w:val="18"/>
          <w:color w:val="auto"/>
        </w:rPr>
        <w:t>42,899,917</w:t>
      </w:r>
      <w:r>
        <w:rPr>
          <w:sz w:val="20"/>
          <w:szCs w:val="20"/>
          <w:color w:val="auto"/>
        </w:rPr>
        <w:tab/>
      </w:r>
      <w:r>
        <w:rPr>
          <w:rFonts w:ascii="Times New Roman" w:cs="Times New Roman" w:eastAsia="Times New Roman" w:hAnsi="Times New Roman"/>
          <w:sz w:val="18"/>
          <w:szCs w:val="18"/>
          <w:color w:val="auto"/>
        </w:rPr>
        <w:t>38,966,820</w:t>
      </w:r>
    </w:p>
    <w:p>
      <w:pPr>
        <w:spacing w:after="0" w:line="200" w:lineRule="exact"/>
        <w:rPr>
          <w:sz w:val="20"/>
          <w:szCs w:val="20"/>
          <w:color w:val="auto"/>
        </w:rPr>
      </w:pPr>
    </w:p>
    <w:p>
      <w:pPr>
        <w:sectPr>
          <w:pgSz w:w="11900" w:h="16838" w:orient="portrait"/>
          <w:cols w:equalWidth="0" w:num="2">
            <w:col w:w="5255" w:space="720"/>
            <w:col w:w="5265"/>
          </w:cols>
          <w:pgMar w:left="320" w:top="900" w:right="3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2,627,480</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4,269,160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13,717,333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15,745,822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a business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2,142,319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2,142,319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1,006,228</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456,545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2,401,628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2,022,029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6,737,580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6,737,580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sales, general and administrative expenses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16,230,872</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8,593,070</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44,302,771</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33,489,707</w:t>
            </w:r>
          </w:p>
        </w:tc>
        <w:tc>
          <w:tcPr>
            <w:tcW w:w="0" w:type="dxa"/>
            <w:vAlign w:val="bottom"/>
          </w:tcPr>
          <w:p>
            <w:pPr>
              <w:spacing w:after="0"/>
              <w:rPr>
                <w:sz w:val="1"/>
                <w:szCs w:val="1"/>
                <w:color w:val="auto"/>
              </w:rPr>
            </w:pPr>
          </w:p>
        </w:tc>
      </w:tr>
      <w:tr>
        <w:trPr>
          <w:trHeight w:val="236"/>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28,744,479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13,318,775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69,301,631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51,257,558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(10,903,173)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(864,347)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(26,401,714)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(12,290,738)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(1,453,764)</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(1,453,764)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500,001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117,608</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538,511</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2,191,689</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852,298</w:t>
            </w:r>
          </w:p>
        </w:tc>
        <w:tc>
          <w:tcPr>
            <w:tcW w:w="0" w:type="dxa"/>
            <w:vAlign w:val="bottom"/>
          </w:tcPr>
          <w:p>
            <w:pPr>
              <w:spacing w:after="0"/>
              <w:rPr>
                <w:sz w:val="1"/>
                <w:szCs w:val="1"/>
                <w:color w:val="auto"/>
              </w:rPr>
            </w:pPr>
          </w:p>
        </w:tc>
      </w:tr>
      <w:tr>
        <w:trPr>
          <w:trHeight w:val="236"/>
        </w:trPr>
        <w:tc>
          <w:tcPr>
            <w:tcW w:w="4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(836,155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(11,739,328)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(325,836)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(25,163,788)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(11,438,440)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7,597,922</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7,597,922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4860" w:type="dxa"/>
            <w:vAlign w:val="bottom"/>
            <w:vMerge w:val="continue"/>
          </w:tcPr>
          <w:p>
            <w:pPr>
              <w:spacing w:after="0"/>
              <w:rPr>
                <w:sz w:val="24"/>
                <w:szCs w:val="24"/>
                <w:color w:val="auto"/>
              </w:rPr>
            </w:pPr>
          </w:p>
        </w:tc>
        <w:tc>
          <w:tcPr>
            <w:tcW w:w="1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(4,141,406</w:t>
            </w:r>
          </w:p>
        </w:tc>
        <w:tc>
          <w:tcPr>
            <w:tcW w:w="260" w:type="dxa"/>
            <w:vAlign w:val="bottom"/>
            <w:vMerge w:val="continue"/>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(325,836</w:t>
            </w:r>
          </w:p>
        </w:tc>
        <w:tc>
          <w:tcPr>
            <w:tcW w:w="22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(17,565,866</w:t>
            </w:r>
          </w:p>
        </w:tc>
        <w:tc>
          <w:tcPr>
            <w:tcW w:w="22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(11,438,440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17,769,670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17,159,971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17,124,801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17,783,992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86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17,769,670</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17,159,971</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17,124,801</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17,783,992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Loss per share – basic</w:t>
            </w:r>
          </w:p>
        </w:tc>
        <w:tc>
          <w:tcPr>
            <w:tcW w:w="1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 diluted</w:t>
            </w:r>
          </w:p>
        </w:tc>
        <w:tc>
          <w:tcPr>
            <w:tcW w:w="1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(17,565,866)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(11,438,440)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 provided by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2,401,628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2,022,029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6,737,580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2,142,319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bad debt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665,973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363,512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13,717,333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15,745,822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210,737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 net of the effects of acquisitions: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(8,712,954)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2,281,773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(573,333)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2,650,951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(1,320,150)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943,171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1,515,262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1,305,164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(301,366)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(7,695,374)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(67,472)</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(1,225,598)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 PROVIDED BY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(7,239,153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10,654,078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(87,073)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(82,947,264)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2,540,000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(162,777,510)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(55,931,821)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Redemptions of short-term investments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218,709,331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 and other</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(784,349)</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(163,560)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(25,336,865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(58,176,386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 / PROVIDED BY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debt, net of issuance costs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37,730,000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(7,522,426)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(20,024,258)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net of cash paid for withholding taxes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(277,785)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1,073,481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28,219,789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(18,950,777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(4,356,229)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(66,473,085)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18,208,685</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84,681,770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13,852,456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18,208,685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1,212,619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Reduction of EvinceMed purchase price for amounts previously paid</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708,334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Shares issued in connection with acquisition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12,091,142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9,374,455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680" w:type="dxa"/>
            <w:vAlign w:val="bottom"/>
            <w:vMerge w:val="continue"/>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48,222</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Twelve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(4,141,406)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(325,836)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(17,565,866)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(11,438,440)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reversal</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(7,695,374)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(7,695,374)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1,006,227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456,545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2,401,627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2,022,029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2,627,480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4,269,160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13,717,333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15,745,822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6,737,580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6,737,580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2,142,319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2,142,319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charges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288,204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494,681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210,737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3,901,606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4,482,297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19,739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4,577,372</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4,399,869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4,425,333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6,349,150</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Non-GAAP net income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shares outstanding: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800" w:val="left"/>
          <w:tab w:leader="none" w:pos="1360" w:val="left"/>
          <w:tab w:leader="none" w:pos="2180" w:val="left"/>
          <w:tab w:leader="none" w:pos="2700" w:val="left"/>
          <w:tab w:leader="none" w:pos="3500" w:val="left"/>
          <w:tab w:leader="none" w:pos="4020" w:val="left"/>
          <w:tab w:leader="none" w:pos="4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0.26</w:t>
        <w:tab/>
        <w:t>$</w:t>
      </w:r>
      <w:r>
        <w:rPr>
          <w:sz w:val="20"/>
          <w:szCs w:val="20"/>
          <w:color w:val="auto"/>
        </w:rPr>
        <w:tab/>
      </w:r>
      <w:r>
        <w:rPr>
          <w:rFonts w:ascii="Times New Roman" w:cs="Times New Roman" w:eastAsia="Times New Roman" w:hAnsi="Times New Roman"/>
          <w:sz w:val="18"/>
          <w:szCs w:val="18"/>
          <w:color w:val="auto"/>
        </w:rPr>
        <w:t>0.25</w:t>
        <w:tab/>
        <w:t>$</w:t>
      </w:r>
      <w:r>
        <w:rPr>
          <w:sz w:val="20"/>
          <w:szCs w:val="20"/>
          <w:color w:val="auto"/>
        </w:rPr>
        <w:tab/>
      </w:r>
      <w:r>
        <w:rPr>
          <w:rFonts w:ascii="Times New Roman" w:cs="Times New Roman" w:eastAsia="Times New Roman" w:hAnsi="Times New Roman"/>
          <w:sz w:val="18"/>
          <w:szCs w:val="18"/>
          <w:color w:val="auto"/>
        </w:rPr>
        <w:t>0.26</w:t>
        <w:tab/>
        <w:t>$</w:t>
      </w:r>
      <w:r>
        <w:rPr>
          <w:sz w:val="20"/>
          <w:szCs w:val="20"/>
          <w:color w:val="auto"/>
        </w:rPr>
        <w:tab/>
      </w:r>
      <w:r>
        <w:rPr>
          <w:rFonts w:ascii="Times New Roman" w:cs="Times New Roman" w:eastAsia="Times New Roman" w:hAnsi="Times New Roman"/>
          <w:sz w:val="18"/>
          <w:szCs w:val="18"/>
          <w:color w:val="auto"/>
        </w:rPr>
        <w:t>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-281940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17145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ind w:left="320"/>
        <w:spacing w:after="0"/>
        <w:tabs>
          <w:tab w:leader="none" w:pos="1680" w:val="left"/>
          <w:tab w:leader="none" w:pos="3000" w:val="left"/>
          <w:tab w:leader="none" w:pos="4320" w:val="left"/>
        </w:tabs>
        <w:rPr>
          <w:sz w:val="20"/>
          <w:szCs w:val="20"/>
          <w:color w:val="auto"/>
        </w:rPr>
      </w:pPr>
      <w:r>
        <w:rPr>
          <w:rFonts w:ascii="Times New Roman" w:cs="Times New Roman" w:eastAsia="Times New Roman" w:hAnsi="Times New Roman"/>
          <w:sz w:val="18"/>
          <w:szCs w:val="18"/>
          <w:color w:val="auto"/>
        </w:rPr>
        <w:t>17,789,235</w:t>
      </w:r>
      <w:r>
        <w:rPr>
          <w:sz w:val="20"/>
          <w:szCs w:val="20"/>
          <w:color w:val="auto"/>
        </w:rPr>
        <w:tab/>
      </w:r>
      <w:r>
        <w:rPr>
          <w:rFonts w:ascii="Times New Roman" w:cs="Times New Roman" w:eastAsia="Times New Roman" w:hAnsi="Times New Roman"/>
          <w:sz w:val="18"/>
          <w:szCs w:val="18"/>
          <w:color w:val="auto"/>
        </w:rPr>
        <w:t>17,285,777</w:t>
      </w:r>
      <w:r>
        <w:rPr>
          <w:sz w:val="20"/>
          <w:szCs w:val="20"/>
          <w:color w:val="auto"/>
        </w:rPr>
        <w:tab/>
      </w:r>
      <w:r>
        <w:rPr>
          <w:rFonts w:ascii="Times New Roman" w:cs="Times New Roman" w:eastAsia="Times New Roman" w:hAnsi="Times New Roman"/>
          <w:sz w:val="18"/>
          <w:szCs w:val="18"/>
          <w:color w:val="auto"/>
        </w:rPr>
        <w:t>17,191,300</w:t>
      </w:r>
      <w:r>
        <w:rPr>
          <w:sz w:val="20"/>
          <w:szCs w:val="20"/>
          <w:color w:val="auto"/>
        </w:rPr>
        <w:tab/>
      </w:r>
      <w:r>
        <w:rPr>
          <w:rFonts w:ascii="Times New Roman" w:cs="Times New Roman" w:eastAsia="Times New Roman" w:hAnsi="Times New Roman"/>
          <w:sz w:val="18"/>
          <w:szCs w:val="18"/>
          <w:color w:val="auto"/>
        </w:rPr>
        <w:t>18,048,477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27469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0" w:right="3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Twelve Months Ended</w:t>
            </w: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7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(4,141,406)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(325,836)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(17,565,866)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(11,438,440)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1,006,227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456,545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2,401,627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2,022,029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2,627,480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4,269,160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13,717,333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15,745,822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3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6,737,580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6,737,580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3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2,142,319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2,142,319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Severance charges</w:t>
            </w:r>
          </w:p>
        </w:tc>
        <w:tc>
          <w:tcPr>
            <w:tcW w:w="3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288,204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494,681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expense</w:t>
            </w:r>
          </w:p>
        </w:tc>
        <w:tc>
          <w:tcPr>
            <w:tcW w:w="3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3,901,606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4,482,297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19,739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(500,001)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3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1,336,155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(538,511)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(737,926)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(852,298)</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(7,597,922)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(7,597,922)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vMerge w:val="continue"/>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5,800,242</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3,861,358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3,574,122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5,496,852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2024-04-18T15:38:41Z</dcterms:created>
  <dcterms:modified xsi:type="dcterms:W3CDTF">2024-04-18T15:38:41Z</dcterms:modified>
</cp:coreProperties>
</file>