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10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October 10, 2018</w:t>
            </w:r>
          </w:p>
        </w:tc>
        <w:tc>
          <w:tcPr>
            <w:tcW w:w="3260" w:type="dxa"/>
            <w:vAlign w:val="bottom"/>
          </w:tcPr>
          <w:p>
            <w:pPr>
              <w:spacing w:after="0"/>
              <w:rPr>
                <w:sz w:val="24"/>
                <w:szCs w:val="24"/>
                <w:color w:val="auto"/>
              </w:rPr>
            </w:pPr>
          </w:p>
        </w:tc>
      </w:tr>
      <w:tr>
        <w:trPr>
          <w:trHeight w:val="392"/>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40" w:type="dxa"/>
            <w:vAlign w:val="bottom"/>
            <w:gridSpan w:val="3"/>
          </w:tcPr>
          <w:p>
            <w:pPr>
              <w:spacing w:after="0"/>
              <w:rPr>
                <w:sz w:val="24"/>
                <w:szCs w:val="24"/>
                <w:color w:val="auto"/>
              </w:rPr>
            </w:pPr>
          </w:p>
        </w:tc>
        <w:tc>
          <w:tcPr>
            <w:tcW w:w="3260" w:type="dxa"/>
            <w:vAlign w:val="bottom"/>
          </w:tcPr>
          <w:p>
            <w:pPr>
              <w:spacing w:after="0"/>
              <w:rPr>
                <w:sz w:val="24"/>
                <w:szCs w:val="24"/>
                <w:color w:val="auto"/>
              </w:rPr>
            </w:pPr>
          </w:p>
        </w:tc>
      </w:tr>
      <w:tr>
        <w:trPr>
          <w:trHeight w:val="237"/>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53"/>
        </w:trPr>
        <w:tc>
          <w:tcPr>
            <w:tcW w:w="3060" w:type="dxa"/>
            <w:vAlign w:val="bottom"/>
          </w:tcPr>
          <w:p>
            <w:pPr>
              <w:jc w:val="center"/>
              <w:ind w:left="530"/>
              <w:spacing w:after="0"/>
              <w:rPr>
                <w:sz w:val="20"/>
                <w:szCs w:val="20"/>
                <w:color w:val="auto"/>
              </w:rPr>
            </w:pPr>
            <w:r>
              <w:rPr>
                <w:rFonts w:ascii="Arial" w:cs="Arial" w:eastAsia="Arial" w:hAnsi="Arial"/>
                <w:sz w:val="18"/>
                <w:szCs w:val="18"/>
                <w:color w:val="auto"/>
                <w:w w:val="90"/>
              </w:rPr>
              <w:t>Nevada</w:t>
            </w:r>
          </w:p>
        </w:tc>
        <w:tc>
          <w:tcPr>
            <w:tcW w:w="3560" w:type="dxa"/>
            <w:vAlign w:val="bottom"/>
            <w:gridSpan w:val="6"/>
          </w:tcPr>
          <w:p>
            <w:pPr>
              <w:jc w:val="center"/>
              <w:ind w:left="169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tcPr>
          <w:p>
            <w:pPr>
              <w:jc w:val="center"/>
              <w:ind w:right="290"/>
              <w:spacing w:after="0"/>
              <w:rPr>
                <w:sz w:val="20"/>
                <w:szCs w:val="20"/>
                <w:color w:val="auto"/>
              </w:rPr>
            </w:pPr>
            <w:r>
              <w:rPr>
                <w:rFonts w:ascii="Arial" w:cs="Arial" w:eastAsia="Arial" w:hAnsi="Arial"/>
                <w:sz w:val="18"/>
                <w:szCs w:val="18"/>
                <w:color w:val="auto"/>
                <w:w w:val="91"/>
              </w:rPr>
              <w:t>26-1265381</w:t>
            </w:r>
          </w:p>
        </w:tc>
      </w:tr>
      <w:tr>
        <w:trPr>
          <w:trHeight w:val="202"/>
        </w:trPr>
        <w:tc>
          <w:tcPr>
            <w:tcW w:w="306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1"/>
              </w:rPr>
              <w:t>(State or other jurisdiction</w:t>
            </w: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left="530"/>
              <w:spacing w:after="0"/>
              <w:rPr>
                <w:sz w:val="20"/>
                <w:szCs w:val="20"/>
                <w:color w:val="auto"/>
              </w:rPr>
            </w:pPr>
            <w:r>
              <w:rPr>
                <w:rFonts w:ascii="Arial" w:cs="Arial" w:eastAsia="Arial" w:hAnsi="Arial"/>
                <w:sz w:val="18"/>
                <w:szCs w:val="18"/>
                <w:color w:val="auto"/>
                <w:w w:val="95"/>
              </w:rPr>
              <w:t>of incorporation)</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60" w:type="dxa"/>
            <w:vAlign w:val="bottom"/>
            <w:gridSpan w:val="10"/>
          </w:tcPr>
          <w:p>
            <w:pPr>
              <w:jc w:val="center"/>
              <w:ind w:right="2540"/>
              <w:spacing w:after="0"/>
              <w:rPr>
                <w:sz w:val="20"/>
                <w:szCs w:val="20"/>
                <w:color w:val="auto"/>
              </w:rPr>
            </w:pPr>
            <w:r>
              <w:rPr>
                <w:rFonts w:ascii="Arial" w:cs="Arial" w:eastAsia="Arial" w:hAnsi="Arial"/>
                <w:sz w:val="18"/>
                <w:szCs w:val="18"/>
                <w:color w:val="auto"/>
                <w:w w:val="90"/>
              </w:rPr>
              <w:t>400 Water Street, Suite 200, Rochester, MI</w:t>
            </w:r>
          </w:p>
        </w:tc>
        <w:tc>
          <w:tcPr>
            <w:tcW w:w="326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25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On October 10, 2018, we issued a press release about our invitation to speak at the 12th Annual Digital Pharma East conference being held at the Pennsylvania Convention Center in Philadelphia on October 16-19, 2018.</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October 10,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10, 2018</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154940</wp:posOffset>
            </wp:positionV>
            <wp:extent cx="269303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Invited to Co-Host Plenary Session at Digital Pharma East on October 17, 2018</w:t>
      </w:r>
    </w:p>
    <w:p>
      <w:pPr>
        <w:spacing w:after="0" w:line="225"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b w:val="1"/>
          <w:bCs w:val="1"/>
          <w:color w:val="auto"/>
        </w:rPr>
        <w:t xml:space="preserve">ROCHESTER, Mich., (October 10, 2018) — </w:t>
      </w:r>
      <w:r>
        <w:rPr>
          <w:rFonts w:ascii="Arial" w:cs="Arial" w:eastAsia="Arial" w:hAnsi="Arial"/>
          <w:sz w:val="18"/>
          <w:szCs w:val="18"/>
          <w:color w:val="auto"/>
        </w:rPr>
        <w:t>OptimizeRx Corp. (NASDAQ: OPRX), a leading provider of digital health messaging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has been invited to speak at the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Digital Pharma East conference being held at the Pennsylvania Convention Center in Philadelphia on October 16-19, 2018.</w:t>
      </w:r>
    </w:p>
    <w:p>
      <w:pPr>
        <w:spacing w:after="0" w:line="20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Bringing together more than 1,000 participants, this conference will feature latest case studies and senior-level discussions with pharma companies, health systems, physicians, health-tech companies, startups and non-traditional healthcare companies involved in digital health.</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plenary session, “Addressing Medication Adherence to Improve Quality of Care,” will be co-hosted by Miriam Paramore, president of OptimizeRx, at 5:00 p.m. Eastern time on October 17.</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Today, healthcare providers are increasingly measured by the outcomes their care provides, not just the number of patient visits or procedures ordered. This requires the pharma industry to work more closely with providers to ensure successful outcomes, with the value placed not only on the moment of care but also on the broader, longer term ability to produce positive health outcomes for patients. This means the challenge now shifts to pharma being able to successfully and cost-effectively assist providers in delivering better care.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this session, Paramore and Dr. Jack Pinney of MidMichigan Health will discuss: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How real-time patient savings, education and adherence strategies are integral parts of a value-based care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Need for pharma marketers to execute a multi-channel strategy across financial, clinical and brand support at the point-of-care.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How digital heath has impacted Dr. Pinney’s efforts in providing quality patient care.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“Rising drug costs are a major industry challenge,” noted Paramore. “However, the increase in digitally-delivered copay coupons and savings vouchers have provided needed relief to the affordability issue.”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latest industry research also reveals that medication adherence improves when patients can lower their co-payments,” continued Paramore. “OptimizeRx delivers patient savings opportunities directly into the physician EHR workflow at the point of prescribe, with this improving medication adherence and patient outcomes. For this conference session, I look forward to discussing how our technology is positively impacting the intersection of pharma, physicians and patient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Digital Pharma East</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Digital Pharma East is the leading marketing conference globally for life science professionals looking to learn, network and be inspired. For more information, visit www.digitalpharmaseries.com/east.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Twitter, LinkedIn or visit www.optimizerx.com.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117475</wp:posOffset>
            </wp:positionV>
            <wp:extent cx="28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sectPr>
      <w:pgSz w:w="11900" w:h="16838" w:orient="portrait"/>
      <w:cols w:equalWidth="0" w:num="1">
        <w:col w:w="11400"/>
      </w:cols>
      <w:pgMar w:left="240" w:top="9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2019-12-28T19:16:25Z</dcterms:created>
  <dcterms:modified xsi:type="dcterms:W3CDTF">2019-12-28T19:16:25Z</dcterms:modified>
</cp:coreProperties>
</file>