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614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145" cy="37465"/>
                    </a:xfrm>
                    <a:prstGeom prst="rect">
                      <a:avLst/>
                    </a:prstGeom>
                    <a:noFill/>
                  </pic:spPr>
                </pic:pic>
              </a:graphicData>
            </a:graphic>
          </wp:anchor>
        </w:drawing>
        <w:t>UNITED STATES</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Washington, DC 20549</w:t>
      </w: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FORM 10-Q</w:t>
      </w:r>
    </w:p>
    <w:p>
      <w:pPr>
        <w:spacing w:after="0" w:line="252" w:lineRule="exact"/>
        <w:rPr>
          <w:sz w:val="24"/>
          <w:szCs w:val="24"/>
          <w:color w:val="auto"/>
        </w:rPr>
      </w:pPr>
    </w:p>
    <w:p>
      <w:pPr>
        <w:ind w:left="680" w:hanging="676"/>
        <w:spacing w:after="0"/>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20" w:lineRule="exact"/>
        <w:rPr>
          <w:sz w:val="24"/>
          <w:szCs w:val="24"/>
          <w:color w:val="auto"/>
        </w:rPr>
      </w:pPr>
    </w:p>
    <w:p>
      <w:pPr>
        <w:ind w:left="7880"/>
        <w:spacing w:after="0"/>
        <w:rPr>
          <w:sz w:val="20"/>
          <w:szCs w:val="20"/>
          <w:color w:val="auto"/>
        </w:rPr>
      </w:pPr>
      <w:r>
        <w:rPr>
          <w:rFonts w:ascii="Arial" w:cs="Arial" w:eastAsia="Arial" w:hAnsi="Arial"/>
          <w:sz w:val="15"/>
          <w:szCs w:val="15"/>
          <w:color w:val="auto"/>
        </w:rPr>
        <w:t xml:space="preserve">For the quarterly period ended </w:t>
      </w:r>
      <w:r>
        <w:rPr>
          <w:rFonts w:ascii="Arial" w:cs="Arial" w:eastAsia="Arial" w:hAnsi="Arial"/>
          <w:sz w:val="15"/>
          <w:szCs w:val="15"/>
          <w:u w:val="single" w:color="auto"/>
          <w:color w:val="auto"/>
        </w:rPr>
        <w:t>September 30, 2009</w:t>
      </w:r>
    </w:p>
    <w:p>
      <w:pPr>
        <w:spacing w:after="0" w:line="243" w:lineRule="exact"/>
        <w:rPr>
          <w:sz w:val="24"/>
          <w:szCs w:val="24"/>
          <w:color w:val="auto"/>
        </w:rPr>
      </w:pPr>
    </w:p>
    <w:p>
      <w:pPr>
        <w:spacing w:after="0"/>
        <w:tabs>
          <w:tab w:leader="none" w:pos="66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Transition Report pursuant to 13 or 15(d) of the Securities Exchange Act of 1934</w:t>
      </w:r>
    </w:p>
    <w:p>
      <w:pPr>
        <w:spacing w:after="0" w:line="220" w:lineRule="exact"/>
        <w:rPr>
          <w:sz w:val="24"/>
          <w:szCs w:val="24"/>
          <w:color w:val="auto"/>
        </w:rPr>
      </w:pPr>
    </w:p>
    <w:p>
      <w:pPr>
        <w:ind w:left="8580"/>
        <w:spacing w:after="0"/>
        <w:rPr>
          <w:sz w:val="20"/>
          <w:szCs w:val="20"/>
          <w:color w:val="auto"/>
        </w:rPr>
      </w:pPr>
      <w:r>
        <w:rPr>
          <w:rFonts w:ascii="Arial" w:cs="Arial" w:eastAsia="Arial" w:hAnsi="Arial"/>
          <w:sz w:val="15"/>
          <w:szCs w:val="15"/>
          <w:color w:val="auto"/>
        </w:rPr>
        <w:t>For the transition period  to __________</w:t>
      </w:r>
    </w:p>
    <w:p>
      <w:pPr>
        <w:spacing w:after="0" w:line="243" w:lineRule="exact"/>
        <w:rPr>
          <w:sz w:val="24"/>
          <w:szCs w:val="24"/>
          <w:color w:val="auto"/>
        </w:rPr>
      </w:pPr>
    </w:p>
    <w:p>
      <w:pPr>
        <w:ind w:left="8740"/>
        <w:spacing w:after="0"/>
        <w:rPr>
          <w:sz w:val="20"/>
          <w:szCs w:val="20"/>
          <w:color w:val="auto"/>
        </w:rPr>
      </w:pPr>
      <w:r>
        <w:rPr>
          <w:rFonts w:ascii="Arial" w:cs="Arial" w:eastAsia="Arial" w:hAnsi="Arial"/>
          <w:sz w:val="16"/>
          <w:szCs w:val="16"/>
          <w:color w:val="auto"/>
        </w:rPr>
        <w:t>Commission File Number: 000-53605</w:t>
      </w:r>
    </w:p>
    <w:p>
      <w:pPr>
        <w:spacing w:after="0" w:line="258" w:lineRule="exact"/>
        <w:rPr>
          <w:sz w:val="24"/>
          <w:szCs w:val="24"/>
          <w:color w:val="auto"/>
        </w:rPr>
      </w:pPr>
    </w:p>
    <w:p>
      <w:pPr>
        <w:jc w:val="center"/>
        <w:ind w:left="560"/>
        <w:spacing w:after="0"/>
        <w:rPr>
          <w:sz w:val="20"/>
          <w:szCs w:val="20"/>
          <w:color w:val="auto"/>
        </w:rPr>
      </w:pPr>
      <w:r>
        <w:rPr>
          <w:rFonts w:ascii="Arial" w:cs="Arial" w:eastAsia="Arial" w:hAnsi="Arial"/>
          <w:sz w:val="17"/>
          <w:szCs w:val="17"/>
          <w:u w:val="single" w:color="auto"/>
          <w:color w:val="auto"/>
        </w:rPr>
        <w:t>OptimizeRx Cororation</w:t>
      </w:r>
    </w:p>
    <w:p>
      <w:pPr>
        <w:spacing w:after="0" w:line="25"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(Exact name of small business issuer as specified in its charter)</w:t>
      </w:r>
    </w:p>
    <w:p>
      <w:pPr>
        <w:spacing w:after="0" w:line="220" w:lineRule="exact"/>
        <w:rPr>
          <w:sz w:val="24"/>
          <w:szCs w:val="24"/>
          <w:color w:val="auto"/>
        </w:rPr>
      </w:pPr>
    </w:p>
    <w:tbl>
      <w:tblPr>
        <w:tblLayout w:type="fixed"/>
        <w:tblInd w:w="2820" w:type="dxa"/>
        <w:tblCellMar>
          <w:top w:w="0" w:type="dxa"/>
          <w:left w:w="0" w:type="dxa"/>
          <w:bottom w:w="0" w:type="dxa"/>
          <w:right w:w="0" w:type="dxa"/>
        </w:tblCellMar>
      </w:tblPr>
      <w:tr>
        <w:trPr>
          <w:trHeight w:val="195"/>
        </w:trPr>
        <w:tc>
          <w:tcPr>
            <w:tcW w:w="16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7"/>
                <w:szCs w:val="17"/>
                <w:color w:val="auto"/>
                <w:w w:val="88"/>
              </w:rPr>
              <w:t>Nevada</w:t>
            </w:r>
          </w:p>
        </w:tc>
        <w:tc>
          <w:tcPr>
            <w:tcW w:w="5220" w:type="dxa"/>
            <w:vAlign w:val="bottom"/>
            <w:gridSpan w:val="5"/>
          </w:tcPr>
          <w:p>
            <w:pPr>
              <w:spacing w:after="0"/>
              <w:rPr>
                <w:sz w:val="16"/>
                <w:szCs w:val="16"/>
                <w:color w:val="auto"/>
              </w:rPr>
            </w:pPr>
          </w:p>
        </w:tc>
        <w:tc>
          <w:tcPr>
            <w:tcW w:w="2420" w:type="dxa"/>
            <w:vAlign w:val="bottom"/>
            <w:gridSpan w:val="3"/>
          </w:tcPr>
          <w:p>
            <w:pPr>
              <w:jc w:val="right"/>
              <w:ind w:right="140"/>
              <w:spacing w:after="0"/>
              <w:rPr>
                <w:sz w:val="20"/>
                <w:szCs w:val="20"/>
                <w:color w:val="auto"/>
              </w:rPr>
            </w:pPr>
            <w:r>
              <w:rPr>
                <w:rFonts w:ascii="Arial" w:cs="Arial" w:eastAsia="Arial" w:hAnsi="Arial"/>
                <w:sz w:val="17"/>
                <w:szCs w:val="17"/>
                <w:color w:val="auto"/>
              </w:rPr>
              <w:t>26-1265381</w:t>
            </w: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7"/>
        </w:trPr>
        <w:tc>
          <w:tcPr>
            <w:tcW w:w="5920" w:type="dxa"/>
            <w:vAlign w:val="bottom"/>
            <w:gridSpan w:val="7"/>
          </w:tcPr>
          <w:p>
            <w:pPr>
              <w:spacing w:after="0"/>
              <w:rPr>
                <w:sz w:val="20"/>
                <w:szCs w:val="20"/>
                <w:color w:val="auto"/>
              </w:rPr>
            </w:pPr>
            <w:r>
              <w:rPr>
                <w:rFonts w:ascii="Arial" w:cs="Arial" w:eastAsia="Arial" w:hAnsi="Arial"/>
                <w:sz w:val="17"/>
                <w:szCs w:val="17"/>
                <w:color w:val="auto"/>
              </w:rPr>
              <w:t>(State or other jurisdiction of incorporation or organization)</w:t>
            </w:r>
          </w:p>
        </w:tc>
        <w:tc>
          <w:tcPr>
            <w:tcW w:w="2420" w:type="dxa"/>
            <w:vAlign w:val="bottom"/>
            <w:gridSpan w:val="3"/>
          </w:tcPr>
          <w:p>
            <w:pPr>
              <w:ind w:left="40"/>
              <w:spacing w:after="0"/>
              <w:rPr>
                <w:sz w:val="20"/>
                <w:szCs w:val="20"/>
                <w:color w:val="auto"/>
              </w:rPr>
            </w:pPr>
            <w:r>
              <w:rPr>
                <w:rFonts w:ascii="Arial" w:cs="Arial" w:eastAsia="Arial" w:hAnsi="Arial"/>
                <w:sz w:val="17"/>
                <w:szCs w:val="17"/>
                <w:color w:val="auto"/>
                <w:w w:val="95"/>
              </w:rPr>
              <w:t>(IRS Employer Identification No.)</w:t>
            </w:r>
          </w:p>
        </w:tc>
      </w:tr>
      <w:tr>
        <w:trPr>
          <w:trHeight w:val="611"/>
        </w:trPr>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gridSpan w:val="4"/>
          </w:tcPr>
          <w:p>
            <w:pPr>
              <w:jc w:val="center"/>
              <w:ind w:right="2700"/>
              <w:spacing w:after="0"/>
              <w:rPr>
                <w:sz w:val="20"/>
                <w:szCs w:val="20"/>
                <w:color w:val="auto"/>
              </w:rPr>
            </w:pPr>
            <w:r>
              <w:rPr>
                <w:rFonts w:ascii="Arial" w:cs="Arial" w:eastAsia="Arial" w:hAnsi="Arial"/>
                <w:sz w:val="17"/>
                <w:szCs w:val="17"/>
                <w:color w:val="auto"/>
                <w:w w:val="88"/>
              </w:rPr>
              <w:t>407 6</w:t>
            </w:r>
            <w:r>
              <w:rPr>
                <w:rFonts w:ascii="Arial" w:cs="Arial" w:eastAsia="Arial" w:hAnsi="Arial"/>
                <w:sz w:val="24"/>
                <w:szCs w:val="24"/>
                <w:color w:val="auto"/>
                <w:w w:val="88"/>
                <w:vertAlign w:val="superscript"/>
              </w:rPr>
              <w:t>th</w:t>
            </w:r>
            <w:r>
              <w:rPr>
                <w:rFonts w:ascii="Arial" w:cs="Arial" w:eastAsia="Arial" w:hAnsi="Arial"/>
                <w:sz w:val="17"/>
                <w:szCs w:val="17"/>
                <w:color w:val="auto"/>
                <w:w w:val="88"/>
              </w:rPr>
              <w:t xml:space="preserve"> Street</w:t>
            </w: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Borders>
              <w:bottom w:val="single" w:sz="8" w:color="auto"/>
            </w:tcBorders>
            <w:gridSpan w:val="2"/>
          </w:tcPr>
          <w:p>
            <w:pPr>
              <w:jc w:val="center"/>
              <w:spacing w:after="0" w:line="181" w:lineRule="exact"/>
              <w:rPr>
                <w:sz w:val="20"/>
                <w:szCs w:val="20"/>
                <w:color w:val="auto"/>
              </w:rPr>
            </w:pPr>
            <w:r>
              <w:rPr>
                <w:rFonts w:ascii="Arial" w:cs="Arial" w:eastAsia="Arial" w:hAnsi="Arial"/>
                <w:sz w:val="17"/>
                <w:szCs w:val="17"/>
                <w:color w:val="auto"/>
                <w:w w:val="92"/>
              </w:rPr>
              <w:t>Rochester, MI, 48307</w:t>
            </w:r>
          </w:p>
        </w:tc>
        <w:tc>
          <w:tcPr>
            <w:tcW w:w="2700" w:type="dxa"/>
            <w:vAlign w:val="bottom"/>
            <w:gridSpan w:val="2"/>
          </w:tcPr>
          <w:p>
            <w:pPr>
              <w:spacing w:after="0"/>
              <w:rPr>
                <w:sz w:val="15"/>
                <w:szCs w:val="15"/>
                <w:color w:val="auto"/>
              </w:rPr>
            </w:pPr>
          </w:p>
        </w:tc>
        <w:tc>
          <w:tcPr>
            <w:tcW w:w="1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7"/>
        </w:trPr>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20" w:type="dxa"/>
            <w:vAlign w:val="bottom"/>
            <w:gridSpan w:val="5"/>
          </w:tcPr>
          <w:p>
            <w:pPr>
              <w:jc w:val="center"/>
              <w:ind w:right="1680"/>
              <w:spacing w:after="0"/>
              <w:rPr>
                <w:sz w:val="20"/>
                <w:szCs w:val="20"/>
                <w:color w:val="auto"/>
              </w:rPr>
            </w:pPr>
            <w:r>
              <w:rPr>
                <w:rFonts w:ascii="Arial" w:cs="Arial" w:eastAsia="Arial" w:hAnsi="Arial"/>
                <w:sz w:val="17"/>
                <w:szCs w:val="17"/>
                <w:color w:val="auto"/>
                <w:w w:val="94"/>
              </w:rPr>
              <w:t>(Address of principal executive offices)</w:t>
            </w:r>
          </w:p>
        </w:tc>
        <w:tc>
          <w:tcPr>
            <w:tcW w:w="1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03"/>
        </w:trPr>
        <w:tc>
          <w:tcPr>
            <w:tcW w:w="3660" w:type="dxa"/>
            <w:vAlign w:val="bottom"/>
            <w:gridSpan w:val="6"/>
          </w:tcPr>
          <w:p>
            <w:pPr>
              <w:jc w:val="right"/>
              <w:spacing w:after="0"/>
              <w:rPr>
                <w:sz w:val="20"/>
                <w:szCs w:val="20"/>
                <w:color w:val="auto"/>
              </w:rPr>
            </w:pPr>
            <w:r>
              <w:rPr>
                <w:rFonts w:ascii="Arial" w:cs="Arial" w:eastAsia="Arial" w:hAnsi="Arial"/>
                <w:sz w:val="17"/>
                <w:szCs w:val="17"/>
                <w:color w:val="auto"/>
              </w:rPr>
              <w:t>248-651-6568</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7"/>
        </w:trPr>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0" w:type="dxa"/>
            <w:vAlign w:val="bottom"/>
            <w:gridSpan w:val="4"/>
          </w:tcPr>
          <w:p>
            <w:pPr>
              <w:ind w:left="480"/>
              <w:spacing w:after="0"/>
              <w:rPr>
                <w:sz w:val="20"/>
                <w:szCs w:val="20"/>
                <w:color w:val="auto"/>
              </w:rPr>
            </w:pPr>
            <w:r>
              <w:rPr>
                <w:rFonts w:ascii="Arial" w:cs="Arial" w:eastAsia="Arial" w:hAnsi="Arial"/>
                <w:sz w:val="17"/>
                <w:szCs w:val="17"/>
                <w:color w:val="auto"/>
              </w:rPr>
              <w:t>(Issuer’s telephone number)</w:t>
            </w:r>
          </w:p>
        </w:tc>
        <w:tc>
          <w:tcPr>
            <w:tcW w:w="1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6"/>
        </w:trPr>
        <w:tc>
          <w:tcPr>
            <w:tcW w:w="5920" w:type="dxa"/>
            <w:vAlign w:val="bottom"/>
            <w:gridSpan w:val="7"/>
          </w:tcPr>
          <w:p>
            <w:pPr>
              <w:jc w:val="right"/>
              <w:ind w:right="20"/>
              <w:spacing w:after="0"/>
              <w:rPr>
                <w:sz w:val="20"/>
                <w:szCs w:val="20"/>
                <w:color w:val="auto"/>
              </w:rPr>
            </w:pPr>
            <w:r>
              <w:rPr>
                <w:rFonts w:ascii="Arial" w:cs="Arial" w:eastAsia="Arial" w:hAnsi="Arial"/>
                <w:sz w:val="17"/>
                <w:szCs w:val="17"/>
                <w:color w:val="auto"/>
                <w:w w:val="98"/>
              </w:rPr>
              <w:t>_______________________________________________________________</w:t>
            </w: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ind w:left="3180"/>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208" w:lineRule="exact"/>
        <w:rPr>
          <w:sz w:val="24"/>
          <w:szCs w:val="24"/>
          <w:color w:val="auto"/>
        </w:rPr>
      </w:pPr>
    </w:p>
    <w:p>
      <w:pPr>
        <w:jc w:val="both"/>
        <w:ind w:right="60"/>
        <w:spacing w:after="0" w:line="355" w:lineRule="auto"/>
        <w:rPr>
          <w:sz w:val="20"/>
          <w:szCs w:val="20"/>
          <w:color w:val="auto"/>
        </w:rPr>
      </w:pPr>
      <w:r>
        <w:rPr>
          <w:rFonts w:ascii="Arial" w:cs="Arial" w:eastAsia="Arial" w:hAnsi="Arial"/>
          <w:sz w:val="15"/>
          <w:szCs w:val="15"/>
          <w:color w:val="auto"/>
        </w:rPr>
        <w:t>Check whether the issuer (1) filed all reports required to be filed by Section 13 or 15(d) of the Securities Exchange Act of 1934 during the preceding 12 months (or for such shorter period that the issuer was required to file such reports), and (2) has been subject to such filing requirements for the past 90 days [X] Yes [ ] No</w:t>
      </w:r>
    </w:p>
    <w:p>
      <w:pPr>
        <w:spacing w:after="0" w:line="139" w:lineRule="exact"/>
        <w:rPr>
          <w:sz w:val="24"/>
          <w:szCs w:val="24"/>
          <w:color w:val="auto"/>
        </w:rPr>
      </w:pPr>
    </w:p>
    <w:p>
      <w:pPr>
        <w:jc w:val="both"/>
        <w:ind w:right="40"/>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Yes [ ] No [X]</w:t>
      </w: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60"/>
          </w:cols>
          <w:pgMar w:left="240" w:top="777" w:right="199" w:bottom="1440" w:gutter="0" w:footer="0" w:header="0"/>
        </w:sectPr>
      </w:pPr>
    </w:p>
    <w:p>
      <w:pPr>
        <w:spacing w:after="0" w:line="246" w:lineRule="exact"/>
        <w:rPr>
          <w:sz w:val="24"/>
          <w:szCs w:val="24"/>
          <w:color w:val="auto"/>
        </w:rPr>
      </w:pPr>
    </w:p>
    <w:p>
      <w:pPr>
        <w:ind w:right="2020"/>
        <w:spacing w:after="0" w:line="285" w:lineRule="auto"/>
        <w:rPr>
          <w:sz w:val="20"/>
          <w:szCs w:val="20"/>
          <w:color w:val="auto"/>
        </w:rPr>
      </w:pPr>
      <w:r>
        <w:rPr>
          <w:rFonts w:ascii="Arial" w:cs="Arial" w:eastAsia="Arial" w:hAnsi="Arial"/>
          <w:sz w:val="17"/>
          <w:szCs w:val="17"/>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65" w:lineRule="exact"/>
        <w:rPr>
          <w:sz w:val="24"/>
          <w:szCs w:val="24"/>
          <w:color w:val="auto"/>
        </w:rPr>
      </w:pPr>
    </w:p>
    <w:p>
      <w:pPr>
        <w:sectPr>
          <w:pgSz w:w="11900" w:h="16838" w:orient="portrait"/>
          <w:cols w:equalWidth="0" w:num="2">
            <w:col w:w="4980" w:space="720"/>
            <w:col w:w="5760"/>
          </w:cols>
          <w:pgMar w:left="240" w:top="777" w:right="199" w:bottom="1440" w:gutter="0" w:footer="0" w:header="0"/>
          <w:type w:val="continuous"/>
        </w:sect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 ]  No [X]</w:t>
      </w:r>
    </w:p>
    <w:p>
      <w:pPr>
        <w:spacing w:after="0" w:line="246" w:lineRule="exact"/>
        <w:rPr>
          <w:sz w:val="24"/>
          <w:szCs w:val="24"/>
          <w:color w:val="auto"/>
        </w:rPr>
      </w:pPr>
    </w:p>
    <w:p>
      <w:pPr>
        <w:spacing w:after="0" w:line="285" w:lineRule="auto"/>
        <w:rPr>
          <w:sz w:val="20"/>
          <w:szCs w:val="20"/>
          <w:color w:val="auto"/>
        </w:rPr>
      </w:pPr>
      <w:r>
        <w:rPr>
          <w:rFonts w:ascii="Arial" w:cs="Arial" w:eastAsia="Arial" w:hAnsi="Arial"/>
          <w:sz w:val="17"/>
          <w:szCs w:val="17"/>
          <w:color w:val="auto"/>
        </w:rPr>
        <w:t>State the number of shares outstanding of each of the issuer’s classes of common stock, as of the latest practicable date: 12,726,117 Common Shares as of September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5614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614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511175</wp:posOffset>
            </wp:positionV>
            <wp:extent cx="725614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60"/>
          </w:cols>
          <w:pgMar w:left="240" w:top="777" w:right="199" w:bottom="1440" w:gutter="0" w:footer="0" w:header="0"/>
          <w:type w:val="continuous"/>
        </w:sectPr>
      </w:pPr>
    </w:p>
    <w:bookmarkStart w:id="1" w:name="page2"/>
    <w:bookmarkEnd w:id="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00" w:type="dxa"/>
            <w:vAlign w:val="bottom"/>
            <w:gridSpan w:val="5"/>
          </w:tcPr>
          <w:p>
            <w:pPr>
              <w:ind w:left="520"/>
              <w:spacing w:after="0"/>
              <w:rPr>
                <w:sz w:val="20"/>
                <w:szCs w:val="20"/>
                <w:color w:val="auto"/>
              </w:rPr>
            </w:pPr>
            <w:r>
              <w:rPr>
                <w:rFonts w:ascii="Arial" w:cs="Arial" w:eastAsia="Arial" w:hAnsi="Arial"/>
                <w:sz w:val="17"/>
                <w:szCs w:val="17"/>
                <w:color w:val="auto"/>
              </w:rPr>
              <w:t>TABLE OF CONTENTS</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gridSpan w:val="6"/>
            <w:vMerge w:val="restart"/>
          </w:tcPr>
          <w:p>
            <w:pPr>
              <w:jc w:val="center"/>
              <w:ind w:right="1140"/>
              <w:spacing w:after="0"/>
              <w:rPr>
                <w:sz w:val="20"/>
                <w:szCs w:val="20"/>
                <w:color w:val="auto"/>
              </w:rPr>
            </w:pPr>
            <w:r>
              <w:rPr>
                <w:rFonts w:ascii="Arial" w:cs="Arial" w:eastAsia="Arial" w:hAnsi="Arial"/>
                <w:sz w:val="17"/>
                <w:szCs w:val="17"/>
                <w:color w:val="auto"/>
                <w:w w:val="99"/>
              </w:rPr>
              <w:t>PART I – FINANCIAL INFORMATION</w:t>
            </w:r>
          </w:p>
        </w:tc>
        <w:tc>
          <w:tcPr>
            <w:tcW w:w="2960" w:type="dxa"/>
            <w:vAlign w:val="bottom"/>
          </w:tcPr>
          <w:p>
            <w:pPr>
              <w:ind w:left="400"/>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60" w:type="dxa"/>
            <w:vAlign w:val="bottom"/>
            <w:gridSpan w:val="6"/>
            <w:vMerge w:val="continue"/>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144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Item 1:</w:t>
              </w:r>
            </w:hyperlink>
          </w:p>
        </w:tc>
        <w:tc>
          <w:tcPr>
            <w:tcW w:w="5800" w:type="dxa"/>
            <w:vAlign w:val="bottom"/>
            <w:gridSpan w:val="11"/>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Statements</w:t>
              </w:r>
            </w:hyperlink>
          </w:p>
        </w:tc>
        <w:tc>
          <w:tcPr>
            <w:tcW w:w="2960" w:type="dxa"/>
            <w:vAlign w:val="bottom"/>
          </w:tcPr>
          <w:p>
            <w:pPr>
              <w:ind w:left="4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40" w:type="dxa"/>
            <w:vAlign w:val="bottom"/>
          </w:tcPr>
          <w:p>
            <w:pPr>
              <w:spacing w:after="0"/>
              <w:rPr>
                <w:sz w:val="16"/>
                <w:szCs w:val="16"/>
                <w:color w:val="auto"/>
              </w:rPr>
            </w:pPr>
          </w:p>
        </w:tc>
        <w:tc>
          <w:tcPr>
            <w:tcW w:w="1220" w:type="dxa"/>
            <w:vAlign w:val="bottom"/>
            <w:gridSpan w:val="4"/>
          </w:tcPr>
          <w:p>
            <w:pPr>
              <w:spacing w:after="0" w:line="188" w:lineRule="exact"/>
              <w:rPr>
                <w:rFonts w:ascii="Arial" w:cs="Arial" w:eastAsia="Arial" w:hAnsi="Arial"/>
                <w:sz w:val="17"/>
                <w:szCs w:val="17"/>
                <w:color w:val="0000EE"/>
              </w:rPr>
            </w:pPr>
            <w:hyperlink w:anchor="page19">
              <w:r>
                <w:rPr>
                  <w:rFonts w:ascii="Arial" w:cs="Arial" w:eastAsia="Arial" w:hAnsi="Arial"/>
                  <w:sz w:val="17"/>
                  <w:szCs w:val="17"/>
                  <w:color w:val="0000EE"/>
                </w:rPr>
                <w:t>Item 2:</w:t>
              </w:r>
            </w:hyperlink>
          </w:p>
        </w:tc>
        <w:tc>
          <w:tcPr>
            <w:tcW w:w="5800" w:type="dxa"/>
            <w:vAlign w:val="bottom"/>
            <w:gridSpan w:val="11"/>
          </w:tcPr>
          <w:p>
            <w:pPr>
              <w:spacing w:after="0" w:line="188" w:lineRule="exact"/>
              <w:rPr>
                <w:rFonts w:ascii="Arial" w:cs="Arial" w:eastAsia="Arial" w:hAnsi="Arial"/>
                <w:sz w:val="17"/>
                <w:szCs w:val="17"/>
                <w:color w:val="0000EE"/>
                <w:w w:val="99"/>
              </w:rPr>
            </w:pPr>
            <w:hyperlink w:anchor="page19">
              <w:r>
                <w:rPr>
                  <w:rFonts w:ascii="Arial" w:cs="Arial" w:eastAsia="Arial" w:hAnsi="Arial"/>
                  <w:sz w:val="17"/>
                  <w:szCs w:val="17"/>
                  <w:color w:val="0000EE"/>
                  <w:w w:val="99"/>
                </w:rPr>
                <w:t>Management’s Discussion and Analysis of Financial Condition and Results of</w:t>
              </w:r>
            </w:hyperlink>
          </w:p>
        </w:tc>
        <w:tc>
          <w:tcPr>
            <w:tcW w:w="2960" w:type="dxa"/>
            <w:vAlign w:val="bottom"/>
          </w:tcPr>
          <w:p>
            <w:pPr>
              <w:ind w:left="400"/>
              <w:spacing w:after="0" w:line="188"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Borders>
              <w:top w:val="single" w:sz="8" w:color="0000EE"/>
              <w:bottom w:val="single" w:sz="8" w:color="0000EE"/>
            </w:tcBorders>
            <w:gridSpan w:val="2"/>
          </w:tcPr>
          <w:p>
            <w:pPr>
              <w:spacing w:after="0" w:line="188" w:lineRule="exact"/>
              <w:rPr>
                <w:rFonts w:ascii="Arial" w:cs="Arial" w:eastAsia="Arial" w:hAnsi="Arial"/>
                <w:sz w:val="17"/>
                <w:szCs w:val="17"/>
                <w:color w:val="0000EE"/>
                <w:w w:val="88"/>
              </w:rPr>
            </w:pPr>
            <w:hyperlink w:anchor="page19">
              <w:r>
                <w:rPr>
                  <w:rFonts w:ascii="Arial" w:cs="Arial" w:eastAsia="Arial" w:hAnsi="Arial"/>
                  <w:sz w:val="17"/>
                  <w:szCs w:val="17"/>
                  <w:color w:val="0000EE"/>
                  <w:w w:val="88"/>
                </w:rPr>
                <w:t>Operations</w:t>
              </w:r>
            </w:hyperlink>
          </w:p>
        </w:tc>
        <w:tc>
          <w:tcPr>
            <w:tcW w:w="4640" w:type="dxa"/>
            <w:vAlign w:val="bottom"/>
            <w:tcBorders>
              <w:top w:val="single" w:sz="8" w:color="0000EE"/>
            </w:tcBorders>
            <w:gridSpan w:val="8"/>
          </w:tcPr>
          <w:p>
            <w:pPr>
              <w:spacing w:after="0"/>
              <w:rPr>
                <w:sz w:val="16"/>
                <w:szCs w:val="16"/>
                <w:color w:val="auto"/>
              </w:rPr>
            </w:pPr>
          </w:p>
        </w:tc>
        <w:tc>
          <w:tcPr>
            <w:tcW w:w="4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1220" w:type="dxa"/>
            <w:vAlign w:val="bottom"/>
            <w:gridSpan w:val="4"/>
          </w:tcPr>
          <w:p>
            <w:pPr>
              <w:spacing w:after="0" w:line="188" w:lineRule="exact"/>
              <w:rPr>
                <w:rFonts w:ascii="Arial" w:cs="Arial" w:eastAsia="Arial" w:hAnsi="Arial"/>
                <w:sz w:val="17"/>
                <w:szCs w:val="17"/>
                <w:color w:val="0000EE"/>
              </w:rPr>
            </w:pPr>
            <w:hyperlink w:anchor="page21">
              <w:r>
                <w:rPr>
                  <w:rFonts w:ascii="Arial" w:cs="Arial" w:eastAsia="Arial" w:hAnsi="Arial"/>
                  <w:sz w:val="17"/>
                  <w:szCs w:val="17"/>
                  <w:color w:val="0000EE"/>
                </w:rPr>
                <w:t>Item 3:</w:t>
              </w:r>
            </w:hyperlink>
          </w:p>
        </w:tc>
        <w:tc>
          <w:tcPr>
            <w:tcW w:w="5800" w:type="dxa"/>
            <w:vAlign w:val="bottom"/>
            <w:gridSpan w:val="11"/>
          </w:tcPr>
          <w:p>
            <w:pPr>
              <w:spacing w:after="0" w:line="188" w:lineRule="exact"/>
              <w:rPr>
                <w:rFonts w:ascii="Arial" w:cs="Arial" w:eastAsia="Arial" w:hAnsi="Arial"/>
                <w:sz w:val="17"/>
                <w:szCs w:val="17"/>
                <w:color w:val="0000EE"/>
              </w:rPr>
            </w:pPr>
            <w:hyperlink w:anchor="page21">
              <w:r>
                <w:rPr>
                  <w:rFonts w:ascii="Arial" w:cs="Arial" w:eastAsia="Arial" w:hAnsi="Arial"/>
                  <w:sz w:val="17"/>
                  <w:szCs w:val="17"/>
                  <w:color w:val="0000EE"/>
                </w:rPr>
                <w:t>Quantitative and Qualitative Disclosures About Market Risk</w:t>
              </w:r>
            </w:hyperlink>
          </w:p>
        </w:tc>
        <w:tc>
          <w:tcPr>
            <w:tcW w:w="2960" w:type="dxa"/>
            <w:vAlign w:val="bottom"/>
          </w:tcPr>
          <w:p>
            <w:pPr>
              <w:ind w:left="400"/>
              <w:spacing w:after="0" w:line="188"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40" w:type="dxa"/>
            <w:vAlign w:val="bottom"/>
          </w:tcPr>
          <w:p>
            <w:pPr>
              <w:spacing w:after="0"/>
              <w:rPr>
                <w:sz w:val="16"/>
                <w:szCs w:val="16"/>
                <w:color w:val="auto"/>
              </w:rPr>
            </w:pPr>
          </w:p>
        </w:tc>
        <w:tc>
          <w:tcPr>
            <w:tcW w:w="1220" w:type="dxa"/>
            <w:vAlign w:val="bottom"/>
            <w:gridSpan w:val="4"/>
          </w:tcPr>
          <w:p>
            <w:pPr>
              <w:spacing w:after="0" w:line="188" w:lineRule="exact"/>
              <w:rPr>
                <w:rFonts w:ascii="Arial" w:cs="Arial" w:eastAsia="Arial" w:hAnsi="Arial"/>
                <w:sz w:val="17"/>
                <w:szCs w:val="17"/>
                <w:color w:val="0000EE"/>
              </w:rPr>
            </w:pPr>
            <w:hyperlink w:anchor="page21">
              <w:r>
                <w:rPr>
                  <w:rFonts w:ascii="Arial" w:cs="Arial" w:eastAsia="Arial" w:hAnsi="Arial"/>
                  <w:sz w:val="17"/>
                  <w:szCs w:val="17"/>
                  <w:color w:val="0000EE"/>
                </w:rPr>
                <w:t>Item 4T:</w:t>
              </w:r>
            </w:hyperlink>
          </w:p>
        </w:tc>
        <w:tc>
          <w:tcPr>
            <w:tcW w:w="5800" w:type="dxa"/>
            <w:vAlign w:val="bottom"/>
            <w:gridSpan w:val="11"/>
          </w:tcPr>
          <w:p>
            <w:pPr>
              <w:spacing w:after="0" w:line="188" w:lineRule="exact"/>
              <w:rPr>
                <w:rFonts w:ascii="Arial" w:cs="Arial" w:eastAsia="Arial" w:hAnsi="Arial"/>
                <w:sz w:val="17"/>
                <w:szCs w:val="17"/>
                <w:color w:val="0000EE"/>
              </w:rPr>
            </w:pPr>
            <w:hyperlink w:anchor="page21">
              <w:r>
                <w:rPr>
                  <w:rFonts w:ascii="Arial" w:cs="Arial" w:eastAsia="Arial" w:hAnsi="Arial"/>
                  <w:sz w:val="17"/>
                  <w:szCs w:val="17"/>
                  <w:color w:val="0000EE"/>
                </w:rPr>
                <w:t>Controls and Procedures</w:t>
              </w:r>
            </w:hyperlink>
          </w:p>
        </w:tc>
        <w:tc>
          <w:tcPr>
            <w:tcW w:w="2960" w:type="dxa"/>
            <w:vAlign w:val="bottom"/>
          </w:tcPr>
          <w:p>
            <w:pPr>
              <w:ind w:left="400"/>
              <w:spacing w:after="0" w:line="188"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435"/>
        </w:trPr>
        <w:tc>
          <w:tcPr>
            <w:tcW w:w="144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100" w:type="dxa"/>
            <w:vAlign w:val="bottom"/>
            <w:gridSpan w:val="5"/>
          </w:tcPr>
          <w:p>
            <w:pPr>
              <w:jc w:val="center"/>
              <w:ind w:right="1380"/>
              <w:spacing w:after="0"/>
              <w:rPr>
                <w:sz w:val="20"/>
                <w:szCs w:val="20"/>
                <w:color w:val="auto"/>
              </w:rPr>
            </w:pPr>
            <w:r>
              <w:rPr>
                <w:rFonts w:ascii="Arial" w:cs="Arial" w:eastAsia="Arial" w:hAnsi="Arial"/>
                <w:sz w:val="17"/>
                <w:szCs w:val="17"/>
                <w:color w:val="auto"/>
                <w:w w:val="97"/>
              </w:rPr>
              <w:t>PART II – OTHER INFORMATION</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44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Item 1:</w:t>
              </w:r>
            </w:hyperlink>
          </w:p>
        </w:tc>
        <w:tc>
          <w:tcPr>
            <w:tcW w:w="5800" w:type="dxa"/>
            <w:vAlign w:val="bottom"/>
            <w:gridSpan w:val="11"/>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Legal Proceedings</w:t>
              </w:r>
            </w:hyperlink>
          </w:p>
        </w:tc>
        <w:tc>
          <w:tcPr>
            <w:tcW w:w="2960" w:type="dxa"/>
            <w:vAlign w:val="bottom"/>
          </w:tcPr>
          <w:p>
            <w:pPr>
              <w:jc w:val="right"/>
              <w:ind w:right="2293"/>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40" w:type="dxa"/>
            <w:vAlign w:val="bottom"/>
          </w:tcPr>
          <w:p>
            <w:pPr>
              <w:spacing w:after="0"/>
              <w:rPr>
                <w:sz w:val="16"/>
                <w:szCs w:val="16"/>
                <w:color w:val="auto"/>
              </w:rPr>
            </w:pPr>
          </w:p>
        </w:tc>
        <w:tc>
          <w:tcPr>
            <w:tcW w:w="620" w:type="dxa"/>
            <w:vAlign w:val="bottom"/>
            <w:gridSpan w:val="3"/>
          </w:tcPr>
          <w:p>
            <w:pPr>
              <w:spacing w:after="0" w:line="188" w:lineRule="exact"/>
              <w:rPr>
                <w:rFonts w:ascii="Arial" w:cs="Arial" w:eastAsia="Arial" w:hAnsi="Arial"/>
                <w:sz w:val="17"/>
                <w:szCs w:val="17"/>
                <w:color w:val="0000EE"/>
                <w:w w:val="94"/>
              </w:rPr>
            </w:pPr>
            <w:hyperlink w:anchor="page22">
              <w:r>
                <w:rPr>
                  <w:rFonts w:ascii="Arial" w:cs="Arial" w:eastAsia="Arial" w:hAnsi="Arial"/>
                  <w:sz w:val="17"/>
                  <w:szCs w:val="17"/>
                  <w:color w:val="0000EE"/>
                  <w:w w:val="94"/>
                </w:rPr>
                <w:t>Item 1A:</w:t>
              </w:r>
            </w:hyperlink>
          </w:p>
        </w:tc>
        <w:tc>
          <w:tcPr>
            <w:tcW w:w="600" w:type="dxa"/>
            <w:vAlign w:val="bottom"/>
          </w:tcPr>
          <w:p>
            <w:pPr>
              <w:spacing w:after="0"/>
              <w:rPr>
                <w:sz w:val="16"/>
                <w:szCs w:val="16"/>
                <w:color w:val="auto"/>
              </w:rPr>
            </w:pPr>
          </w:p>
        </w:tc>
        <w:tc>
          <w:tcPr>
            <w:tcW w:w="5800" w:type="dxa"/>
            <w:vAlign w:val="bottom"/>
            <w:gridSpan w:val="11"/>
          </w:tcPr>
          <w:p>
            <w:pPr>
              <w:spacing w:after="0" w:line="188" w:lineRule="exact"/>
              <w:rPr>
                <w:rFonts w:ascii="Arial" w:cs="Arial" w:eastAsia="Arial" w:hAnsi="Arial"/>
                <w:sz w:val="17"/>
                <w:szCs w:val="17"/>
                <w:color w:val="0000EE"/>
              </w:rPr>
            </w:pPr>
            <w:hyperlink w:anchor="page22">
              <w:r>
                <w:rPr>
                  <w:rFonts w:ascii="Arial" w:cs="Arial" w:eastAsia="Arial" w:hAnsi="Arial"/>
                  <w:sz w:val="17"/>
                  <w:szCs w:val="17"/>
                  <w:color w:val="0000EE"/>
                </w:rPr>
                <w:t>Risk Factors</w:t>
              </w:r>
            </w:hyperlink>
          </w:p>
        </w:tc>
        <w:tc>
          <w:tcPr>
            <w:tcW w:w="2960" w:type="dxa"/>
            <w:vAlign w:val="bottom"/>
          </w:tcPr>
          <w:p>
            <w:pPr>
              <w:jc w:val="right"/>
              <w:ind w:right="2293"/>
              <w:spacing w:after="0" w:line="188"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40" w:type="dxa"/>
            <w:vAlign w:val="bottom"/>
          </w:tcPr>
          <w:p>
            <w:pPr>
              <w:spacing w:after="0"/>
              <w:rPr>
                <w:sz w:val="16"/>
                <w:szCs w:val="16"/>
                <w:color w:val="auto"/>
              </w:rPr>
            </w:pPr>
          </w:p>
        </w:tc>
        <w:tc>
          <w:tcPr>
            <w:tcW w:w="620" w:type="dxa"/>
            <w:vAlign w:val="bottom"/>
            <w:tcBorders>
              <w:bottom w:val="single" w:sz="8" w:color="0000EE"/>
            </w:tcBorders>
            <w:gridSpan w:val="3"/>
          </w:tcPr>
          <w:p>
            <w:pPr>
              <w:spacing w:after="0" w:line="188" w:lineRule="exact"/>
              <w:rPr>
                <w:rFonts w:ascii="Arial" w:cs="Arial" w:eastAsia="Arial" w:hAnsi="Arial"/>
                <w:sz w:val="17"/>
                <w:szCs w:val="17"/>
                <w:color w:val="0000EE"/>
              </w:rPr>
            </w:pPr>
            <w:hyperlink w:anchor="page22">
              <w:r>
                <w:rPr>
                  <w:rFonts w:ascii="Arial" w:cs="Arial" w:eastAsia="Arial" w:hAnsi="Arial"/>
                  <w:sz w:val="17"/>
                  <w:szCs w:val="17"/>
                  <w:color w:val="0000EE"/>
                </w:rPr>
                <w:t>Item 2:</w:t>
              </w:r>
            </w:hyperlink>
          </w:p>
        </w:tc>
        <w:tc>
          <w:tcPr>
            <w:tcW w:w="600" w:type="dxa"/>
            <w:vAlign w:val="bottom"/>
            <w:tcBorders>
              <w:bottom w:val="single" w:sz="8" w:color="0000EE"/>
            </w:tcBorders>
          </w:tcPr>
          <w:p>
            <w:pPr>
              <w:spacing w:after="0"/>
              <w:rPr>
                <w:sz w:val="16"/>
                <w:szCs w:val="16"/>
                <w:color w:val="auto"/>
              </w:rPr>
            </w:pPr>
          </w:p>
        </w:tc>
        <w:tc>
          <w:tcPr>
            <w:tcW w:w="4200" w:type="dxa"/>
            <w:vAlign w:val="bottom"/>
            <w:tcBorders>
              <w:bottom w:val="single" w:sz="8" w:color="0000EE"/>
            </w:tcBorders>
            <w:gridSpan w:val="9"/>
          </w:tcPr>
          <w:p>
            <w:pPr>
              <w:spacing w:after="0" w:line="188" w:lineRule="exact"/>
              <w:rPr>
                <w:rFonts w:ascii="Arial" w:cs="Arial" w:eastAsia="Arial" w:hAnsi="Arial"/>
                <w:sz w:val="17"/>
                <w:szCs w:val="17"/>
                <w:color w:val="0000EE"/>
                <w:w w:val="90"/>
              </w:rPr>
            </w:pPr>
            <w:hyperlink w:anchor="page22">
              <w:r>
                <w:rPr>
                  <w:rFonts w:ascii="Arial" w:cs="Arial" w:eastAsia="Arial" w:hAnsi="Arial"/>
                  <w:sz w:val="17"/>
                  <w:szCs w:val="17"/>
                  <w:color w:val="0000EE"/>
                  <w:w w:val="90"/>
                </w:rPr>
                <w:t>Unregistered Sales of Equity Securities and Use of Proceeds</w:t>
              </w:r>
            </w:hyperlink>
          </w:p>
        </w:tc>
        <w:tc>
          <w:tcPr>
            <w:tcW w:w="1600" w:type="dxa"/>
            <w:vAlign w:val="bottom"/>
            <w:gridSpan w:val="2"/>
          </w:tcPr>
          <w:p>
            <w:pPr>
              <w:spacing w:after="0"/>
              <w:rPr>
                <w:sz w:val="16"/>
                <w:szCs w:val="16"/>
                <w:color w:val="auto"/>
              </w:rPr>
            </w:pPr>
          </w:p>
        </w:tc>
        <w:tc>
          <w:tcPr>
            <w:tcW w:w="2960" w:type="dxa"/>
            <w:vAlign w:val="bottom"/>
          </w:tcPr>
          <w:p>
            <w:pPr>
              <w:jc w:val="right"/>
              <w:ind w:right="2293"/>
              <w:spacing w:after="0" w:line="188"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1220" w:type="dxa"/>
            <w:vAlign w:val="bottom"/>
            <w:gridSpan w:val="4"/>
          </w:tcPr>
          <w:p>
            <w:pPr>
              <w:spacing w:after="0" w:line="188" w:lineRule="exact"/>
              <w:rPr>
                <w:rFonts w:ascii="Arial" w:cs="Arial" w:eastAsia="Arial" w:hAnsi="Arial"/>
                <w:sz w:val="17"/>
                <w:szCs w:val="17"/>
                <w:color w:val="0000EE"/>
              </w:rPr>
            </w:pPr>
            <w:hyperlink w:anchor="page23">
              <w:r>
                <w:rPr>
                  <w:rFonts w:ascii="Arial" w:cs="Arial" w:eastAsia="Arial" w:hAnsi="Arial"/>
                  <w:sz w:val="17"/>
                  <w:szCs w:val="17"/>
                  <w:color w:val="0000EE"/>
                </w:rPr>
                <w:t>Item 3:</w:t>
              </w:r>
            </w:hyperlink>
          </w:p>
        </w:tc>
        <w:tc>
          <w:tcPr>
            <w:tcW w:w="5800" w:type="dxa"/>
            <w:vAlign w:val="bottom"/>
            <w:gridSpan w:val="11"/>
          </w:tcPr>
          <w:p>
            <w:pPr>
              <w:spacing w:after="0" w:line="188" w:lineRule="exact"/>
              <w:rPr>
                <w:rFonts w:ascii="Arial" w:cs="Arial" w:eastAsia="Arial" w:hAnsi="Arial"/>
                <w:sz w:val="17"/>
                <w:szCs w:val="17"/>
                <w:color w:val="0000EE"/>
              </w:rPr>
            </w:pPr>
            <w:hyperlink w:anchor="page23">
              <w:r>
                <w:rPr>
                  <w:rFonts w:ascii="Arial" w:cs="Arial" w:eastAsia="Arial" w:hAnsi="Arial"/>
                  <w:sz w:val="17"/>
                  <w:szCs w:val="17"/>
                  <w:color w:val="0000EE"/>
                </w:rPr>
                <w:t>Defaults Upon Senior Securities</w:t>
              </w:r>
            </w:hyperlink>
          </w:p>
        </w:tc>
        <w:tc>
          <w:tcPr>
            <w:tcW w:w="2960" w:type="dxa"/>
            <w:vAlign w:val="bottom"/>
          </w:tcPr>
          <w:p>
            <w:pPr>
              <w:jc w:val="right"/>
              <w:ind w:right="2293"/>
              <w:spacing w:after="0" w:line="188"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40" w:type="dxa"/>
            <w:vAlign w:val="bottom"/>
          </w:tcPr>
          <w:p>
            <w:pPr>
              <w:spacing w:after="0"/>
              <w:rPr>
                <w:sz w:val="16"/>
                <w:szCs w:val="16"/>
                <w:color w:val="auto"/>
              </w:rPr>
            </w:pPr>
          </w:p>
        </w:tc>
        <w:tc>
          <w:tcPr>
            <w:tcW w:w="1220" w:type="dxa"/>
            <w:vAlign w:val="bottom"/>
            <w:tcBorders>
              <w:bottom w:val="single" w:sz="8" w:color="0000EE"/>
            </w:tcBorders>
            <w:gridSpan w:val="4"/>
          </w:tcPr>
          <w:p>
            <w:pPr>
              <w:spacing w:after="0" w:line="188" w:lineRule="exact"/>
              <w:rPr>
                <w:rFonts w:ascii="Arial" w:cs="Arial" w:eastAsia="Arial" w:hAnsi="Arial"/>
                <w:sz w:val="17"/>
                <w:szCs w:val="17"/>
                <w:color w:val="0000EE"/>
              </w:rPr>
            </w:pPr>
            <w:hyperlink w:anchor="page23">
              <w:r>
                <w:rPr>
                  <w:rFonts w:ascii="Arial" w:cs="Arial" w:eastAsia="Arial" w:hAnsi="Arial"/>
                  <w:sz w:val="17"/>
                  <w:szCs w:val="17"/>
                  <w:color w:val="0000EE"/>
                </w:rPr>
                <w:t>Item 4:</w:t>
              </w:r>
            </w:hyperlink>
          </w:p>
        </w:tc>
        <w:tc>
          <w:tcPr>
            <w:tcW w:w="3620" w:type="dxa"/>
            <w:vAlign w:val="bottom"/>
            <w:tcBorders>
              <w:bottom w:val="single" w:sz="8" w:color="0000EE"/>
            </w:tcBorders>
            <w:gridSpan w:val="8"/>
          </w:tcPr>
          <w:p>
            <w:pPr>
              <w:spacing w:after="0" w:line="188" w:lineRule="exact"/>
              <w:rPr>
                <w:rFonts w:ascii="Arial" w:cs="Arial" w:eastAsia="Arial" w:hAnsi="Arial"/>
                <w:sz w:val="17"/>
                <w:szCs w:val="17"/>
                <w:color w:val="0000EE"/>
                <w:w w:val="92"/>
              </w:rPr>
            </w:pPr>
            <w:hyperlink w:anchor="page23">
              <w:r>
                <w:rPr>
                  <w:rFonts w:ascii="Arial" w:cs="Arial" w:eastAsia="Arial" w:hAnsi="Arial"/>
                  <w:sz w:val="17"/>
                  <w:szCs w:val="17"/>
                  <w:color w:val="0000EE"/>
                  <w:w w:val="92"/>
                </w:rPr>
                <w:t>Submission of Matters to a Vote of Security Holders</w:t>
              </w:r>
            </w:hyperlink>
          </w:p>
        </w:tc>
        <w:tc>
          <w:tcPr>
            <w:tcW w:w="2180" w:type="dxa"/>
            <w:vAlign w:val="bottom"/>
            <w:gridSpan w:val="3"/>
          </w:tcPr>
          <w:p>
            <w:pPr>
              <w:spacing w:after="0"/>
              <w:rPr>
                <w:sz w:val="16"/>
                <w:szCs w:val="16"/>
                <w:color w:val="auto"/>
              </w:rPr>
            </w:pPr>
          </w:p>
        </w:tc>
        <w:tc>
          <w:tcPr>
            <w:tcW w:w="2960" w:type="dxa"/>
            <w:vAlign w:val="bottom"/>
          </w:tcPr>
          <w:p>
            <w:pPr>
              <w:jc w:val="right"/>
              <w:ind w:right="2293"/>
              <w:spacing w:after="0" w:line="188"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1220" w:type="dxa"/>
            <w:vAlign w:val="bottom"/>
            <w:gridSpan w:val="4"/>
          </w:tcPr>
          <w:p>
            <w:pPr>
              <w:spacing w:after="0" w:line="188" w:lineRule="exact"/>
              <w:rPr>
                <w:rFonts w:ascii="Arial" w:cs="Arial" w:eastAsia="Arial" w:hAnsi="Arial"/>
                <w:sz w:val="17"/>
                <w:szCs w:val="17"/>
                <w:color w:val="0000EE"/>
              </w:rPr>
            </w:pPr>
            <w:hyperlink w:anchor="page23">
              <w:r>
                <w:rPr>
                  <w:rFonts w:ascii="Arial" w:cs="Arial" w:eastAsia="Arial" w:hAnsi="Arial"/>
                  <w:sz w:val="17"/>
                  <w:szCs w:val="17"/>
                  <w:color w:val="0000EE"/>
                </w:rPr>
                <w:t>Item 5:</w:t>
              </w:r>
            </w:hyperlink>
          </w:p>
        </w:tc>
        <w:tc>
          <w:tcPr>
            <w:tcW w:w="5800" w:type="dxa"/>
            <w:vAlign w:val="bottom"/>
            <w:gridSpan w:val="11"/>
          </w:tcPr>
          <w:p>
            <w:pPr>
              <w:spacing w:after="0" w:line="188" w:lineRule="exact"/>
              <w:rPr>
                <w:rFonts w:ascii="Arial" w:cs="Arial" w:eastAsia="Arial" w:hAnsi="Arial"/>
                <w:sz w:val="17"/>
                <w:szCs w:val="17"/>
                <w:color w:val="0000EE"/>
              </w:rPr>
            </w:pPr>
            <w:hyperlink w:anchor="page23">
              <w:r>
                <w:rPr>
                  <w:rFonts w:ascii="Arial" w:cs="Arial" w:eastAsia="Arial" w:hAnsi="Arial"/>
                  <w:sz w:val="17"/>
                  <w:szCs w:val="17"/>
                  <w:color w:val="0000EE"/>
                </w:rPr>
                <w:t>Other Information</w:t>
              </w:r>
            </w:hyperlink>
          </w:p>
        </w:tc>
        <w:tc>
          <w:tcPr>
            <w:tcW w:w="2960" w:type="dxa"/>
            <w:vAlign w:val="bottom"/>
          </w:tcPr>
          <w:p>
            <w:pPr>
              <w:jc w:val="right"/>
              <w:ind w:right="2293"/>
              <w:spacing w:after="0" w:line="188"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40" w:type="dxa"/>
            <w:vAlign w:val="bottom"/>
          </w:tcPr>
          <w:p>
            <w:pPr>
              <w:spacing w:after="0"/>
              <w:rPr>
                <w:sz w:val="16"/>
                <w:szCs w:val="16"/>
                <w:color w:val="auto"/>
              </w:rPr>
            </w:pPr>
          </w:p>
        </w:tc>
        <w:tc>
          <w:tcPr>
            <w:tcW w:w="1220" w:type="dxa"/>
            <w:vAlign w:val="bottom"/>
            <w:gridSpan w:val="4"/>
          </w:tcPr>
          <w:p>
            <w:pPr>
              <w:spacing w:after="0" w:line="188" w:lineRule="exact"/>
              <w:rPr>
                <w:rFonts w:ascii="Arial" w:cs="Arial" w:eastAsia="Arial" w:hAnsi="Arial"/>
                <w:sz w:val="17"/>
                <w:szCs w:val="17"/>
                <w:color w:val="0000EE"/>
              </w:rPr>
            </w:pPr>
            <w:hyperlink w:anchor="page23">
              <w:r>
                <w:rPr>
                  <w:rFonts w:ascii="Arial" w:cs="Arial" w:eastAsia="Arial" w:hAnsi="Arial"/>
                  <w:sz w:val="17"/>
                  <w:szCs w:val="17"/>
                  <w:color w:val="0000EE"/>
                </w:rPr>
                <w:t>Item 6:</w:t>
              </w:r>
            </w:hyperlink>
          </w:p>
        </w:tc>
        <w:tc>
          <w:tcPr>
            <w:tcW w:w="5800" w:type="dxa"/>
            <w:vAlign w:val="bottom"/>
            <w:gridSpan w:val="11"/>
          </w:tcPr>
          <w:p>
            <w:pPr>
              <w:spacing w:after="0" w:line="188" w:lineRule="exact"/>
              <w:rPr>
                <w:rFonts w:ascii="Arial" w:cs="Arial" w:eastAsia="Arial" w:hAnsi="Arial"/>
                <w:sz w:val="17"/>
                <w:szCs w:val="17"/>
                <w:color w:val="0000EE"/>
              </w:rPr>
            </w:pPr>
            <w:hyperlink w:anchor="page23">
              <w:r>
                <w:rPr>
                  <w:rFonts w:ascii="Arial" w:cs="Arial" w:eastAsia="Arial" w:hAnsi="Arial"/>
                  <w:sz w:val="17"/>
                  <w:szCs w:val="17"/>
                  <w:color w:val="0000EE"/>
                </w:rPr>
                <w:t>Exhibits</w:t>
              </w:r>
            </w:hyperlink>
          </w:p>
        </w:tc>
        <w:tc>
          <w:tcPr>
            <w:tcW w:w="2960" w:type="dxa"/>
            <w:vAlign w:val="bottom"/>
          </w:tcPr>
          <w:p>
            <w:pPr>
              <w:jc w:val="right"/>
              <w:ind w:right="2293"/>
              <w:spacing w:after="0" w:line="188"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461"/>
        </w:trPr>
        <w:tc>
          <w:tcPr>
            <w:tcW w:w="144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40" w:type="dxa"/>
            <w:vAlign w:val="bottom"/>
            <w:gridSpan w:val="7"/>
          </w:tcPr>
          <w:p>
            <w:pPr>
              <w:jc w:val="center"/>
              <w:ind w:left="1833"/>
              <w:spacing w:after="0"/>
              <w:rPr>
                <w:sz w:val="20"/>
                <w:szCs w:val="20"/>
                <w:color w:val="auto"/>
              </w:rPr>
            </w:pPr>
            <w:r>
              <w:rPr>
                <w:rFonts w:ascii="Arial" w:cs="Arial" w:eastAsia="Arial" w:hAnsi="Arial"/>
                <w:sz w:val="17"/>
                <w:szCs w:val="17"/>
                <w:color w:val="auto"/>
                <w:w w:val="84"/>
              </w:rPr>
              <w:t>2</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4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PART I - FINANCIAL INFORMATION</w:t>
      </w:r>
    </w:p>
    <w:p>
      <w:pPr>
        <w:spacing w:after="0" w:line="246" w:lineRule="exact"/>
        <w:rPr>
          <w:sz w:val="20"/>
          <w:szCs w:val="20"/>
          <w:color w:val="auto"/>
        </w:rPr>
      </w:pPr>
    </w:p>
    <w:p>
      <w:pPr>
        <w:spacing w:after="0"/>
        <w:tabs>
          <w:tab w:leader="none" w:pos="1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consolidated financial statements included in this Form 10-Q are as follows:</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7"/>
          <w:szCs w:val="17"/>
          <w:color w:val="auto"/>
        </w:rPr>
        <w:t>F-1</w:t>
      </w:r>
      <w:r>
        <w:rPr>
          <w:sz w:val="20"/>
          <w:szCs w:val="20"/>
          <w:color w:val="auto"/>
        </w:rPr>
        <w:tab/>
      </w:r>
      <w:r>
        <w:rPr>
          <w:rFonts w:ascii="Arial" w:cs="Arial" w:eastAsia="Arial" w:hAnsi="Arial"/>
          <w:sz w:val="15"/>
          <w:szCs w:val="15"/>
          <w:color w:val="auto"/>
        </w:rPr>
        <w:t>Consolidated Balance Sheets as of September 30, 2009 (Unaudited) and December 31, 2008 (Audited)</w:t>
      </w:r>
    </w:p>
    <w:p>
      <w:pPr>
        <w:spacing w:after="0" w:line="220"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7"/>
          <w:szCs w:val="17"/>
          <w:color w:val="auto"/>
        </w:rPr>
        <w:t>F-2</w:t>
      </w:r>
      <w:r>
        <w:rPr>
          <w:sz w:val="20"/>
          <w:szCs w:val="20"/>
          <w:color w:val="auto"/>
        </w:rPr>
        <w:tab/>
      </w:r>
      <w:r>
        <w:rPr>
          <w:rFonts w:ascii="Arial" w:cs="Arial" w:eastAsia="Arial" w:hAnsi="Arial"/>
          <w:sz w:val="15"/>
          <w:szCs w:val="15"/>
          <w:color w:val="auto"/>
        </w:rPr>
        <w:t>Consolidated Statements of Operations for the Three Months Ended September 30, 2009 and 2008</w:t>
      </w:r>
    </w:p>
    <w:p>
      <w:pPr>
        <w:spacing w:after="0" w:line="220" w:lineRule="exact"/>
        <w:rPr>
          <w:sz w:val="20"/>
          <w:szCs w:val="20"/>
          <w:color w:val="auto"/>
        </w:rPr>
      </w:pPr>
    </w:p>
    <w:p>
      <w:pPr>
        <w:ind w:left="360" w:right="40" w:hanging="307"/>
        <w:spacing w:after="0" w:line="285" w:lineRule="auto"/>
        <w:tabs>
          <w:tab w:leader="none" w:pos="340" w:val="left"/>
        </w:tabs>
        <w:rPr>
          <w:sz w:val="20"/>
          <w:szCs w:val="20"/>
          <w:color w:val="auto"/>
        </w:rPr>
      </w:pPr>
      <w:r>
        <w:rPr>
          <w:rFonts w:ascii="Arial" w:cs="Arial" w:eastAsia="Arial" w:hAnsi="Arial"/>
          <w:sz w:val="17"/>
          <w:szCs w:val="17"/>
          <w:color w:val="auto"/>
        </w:rPr>
        <w:t>F-3</w:t>
        <w:tab/>
        <w:t>Consolidated Statements of Operations for the Nine Months Ended September 30, 2009 and 2008 and for the Period from January 31, 2006 (Inception) to September 30, 2009 (Unaudited)</w:t>
      </w:r>
    </w:p>
    <w:p>
      <w:pPr>
        <w:spacing w:after="0" w:line="159"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7"/>
          <w:szCs w:val="17"/>
          <w:color w:val="auto"/>
        </w:rPr>
        <w:t>F-4</w:t>
      </w:r>
      <w:r>
        <w:rPr>
          <w:sz w:val="20"/>
          <w:szCs w:val="20"/>
          <w:color w:val="auto"/>
        </w:rPr>
        <w:tab/>
      </w:r>
      <w:r>
        <w:rPr>
          <w:rFonts w:ascii="Arial" w:cs="Arial" w:eastAsia="Arial" w:hAnsi="Arial"/>
          <w:sz w:val="15"/>
          <w:szCs w:val="15"/>
          <w:color w:val="auto"/>
        </w:rPr>
        <w:t>Consolidated Statement of Stockholders’ Equity as of September 30, 2009 (Unaudited)</w:t>
      </w:r>
    </w:p>
    <w:p>
      <w:pPr>
        <w:spacing w:after="0" w:line="220" w:lineRule="exact"/>
        <w:rPr>
          <w:sz w:val="20"/>
          <w:szCs w:val="20"/>
          <w:color w:val="auto"/>
        </w:rPr>
      </w:pPr>
    </w:p>
    <w:p>
      <w:pPr>
        <w:ind w:left="360" w:hanging="307"/>
        <w:spacing w:after="0" w:line="285" w:lineRule="auto"/>
        <w:tabs>
          <w:tab w:leader="none" w:pos="340" w:val="left"/>
        </w:tabs>
        <w:rPr>
          <w:sz w:val="20"/>
          <w:szCs w:val="20"/>
          <w:color w:val="auto"/>
        </w:rPr>
      </w:pPr>
      <w:r>
        <w:rPr>
          <w:rFonts w:ascii="Arial" w:cs="Arial" w:eastAsia="Arial" w:hAnsi="Arial"/>
          <w:sz w:val="17"/>
          <w:szCs w:val="17"/>
          <w:color w:val="auto"/>
        </w:rPr>
        <w:t>F-5</w:t>
        <w:tab/>
        <w:t>Consolidated Statements of Cash Flows for the Nine Months Ended September 30, 2009 and 2008 and for the Period from January 31, 2006 (Inception) to September 30, 2009 (Unaudited)</w:t>
      </w:r>
    </w:p>
    <w:p>
      <w:pPr>
        <w:spacing w:after="0" w:line="159"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7"/>
          <w:szCs w:val="17"/>
          <w:color w:val="auto"/>
        </w:rPr>
        <w:t>F-6</w:t>
      </w:r>
      <w:r>
        <w:rPr>
          <w:sz w:val="20"/>
          <w:szCs w:val="20"/>
          <w:color w:val="auto"/>
        </w:rPr>
        <w:tab/>
      </w:r>
      <w:r>
        <w:rPr>
          <w:rFonts w:ascii="Arial" w:cs="Arial" w:eastAsia="Arial" w:hAnsi="Arial"/>
          <w:sz w:val="15"/>
          <w:szCs w:val="15"/>
          <w:color w:val="auto"/>
        </w:rPr>
        <w:t>Notes to the Consolidated Financial Statements</w:t>
      </w:r>
    </w:p>
    <w:p>
      <w:pPr>
        <w:spacing w:after="0" w:line="24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40"/>
          </w:cols>
          <w:pgMar w:left="240" w:top="121" w:right="51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OPTIMIZERx CORPORATION</w:t>
      </w:r>
    </w:p>
    <w:p>
      <w:pPr>
        <w:spacing w:after="0" w:line="31" w:lineRule="exact"/>
        <w:rPr>
          <w:sz w:val="20"/>
          <w:szCs w:val="20"/>
          <w:color w:val="auto"/>
        </w:rPr>
      </w:pPr>
    </w:p>
    <w:p>
      <w:pPr>
        <w:jc w:val="center"/>
        <w:ind w:right="-1240"/>
        <w:spacing w:after="0"/>
        <w:rPr>
          <w:sz w:val="20"/>
          <w:szCs w:val="20"/>
          <w:color w:val="auto"/>
        </w:rPr>
      </w:pPr>
      <w:r>
        <w:rPr>
          <w:rFonts w:ascii="Arial" w:cs="Arial" w:eastAsia="Arial" w:hAnsi="Arial"/>
          <w:sz w:val="17"/>
          <w:szCs w:val="17"/>
          <w:b w:val="1"/>
          <w:bCs w:val="1"/>
          <w:color w:val="auto"/>
        </w:rPr>
        <w:t>(A DEVELOPMENT STAGE COMPANY)</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Consolidated Balance Sheets as of September 30, 2009(Unaudited)</w:t>
      </w:r>
    </w:p>
    <w:p>
      <w:pPr>
        <w:jc w:val="center"/>
        <w:ind w:right="-1200"/>
        <w:spacing w:after="0"/>
        <w:rPr>
          <w:sz w:val="20"/>
          <w:szCs w:val="20"/>
          <w:color w:val="auto"/>
        </w:rPr>
      </w:pPr>
      <w:r>
        <w:rPr>
          <w:rFonts w:ascii="Arial" w:cs="Arial" w:eastAsia="Arial" w:hAnsi="Arial"/>
          <w:sz w:val="21"/>
          <w:szCs w:val="21"/>
          <w:color w:val="auto"/>
        </w:rPr>
        <w:t>and December 31, 2008 (Audited)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4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440" w:type="dxa"/>
            <w:vAlign w:val="bottom"/>
          </w:tcPr>
          <w:p>
            <w:pPr>
              <w:ind w:left="3900"/>
              <w:spacing w:after="0"/>
              <w:rPr>
                <w:sz w:val="20"/>
                <w:szCs w:val="20"/>
                <w:color w:val="auto"/>
              </w:rPr>
            </w:pPr>
            <w:r>
              <w:rPr>
                <w:rFonts w:ascii="Arial" w:cs="Arial" w:eastAsia="Arial" w:hAnsi="Arial"/>
                <w:sz w:val="17"/>
                <w:szCs w:val="17"/>
                <w:color w:val="auto"/>
              </w:rPr>
              <w:t>ASSETS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9/30/09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12/31/08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7"/>
                <w:szCs w:val="17"/>
                <w:color w:val="auto"/>
                <w:w w:val="92"/>
              </w:rPr>
              <w:t>(unaudited)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(audited)</w:t>
            </w:r>
          </w:p>
        </w:tc>
        <w:tc>
          <w:tcPr>
            <w:tcW w:w="0" w:type="dxa"/>
            <w:vAlign w:val="bottom"/>
          </w:tcPr>
          <w:p>
            <w:pPr>
              <w:spacing w:after="0"/>
              <w:rPr>
                <w:sz w:val="1"/>
                <w:szCs w:val="1"/>
                <w:color w:val="auto"/>
              </w:rPr>
            </w:pPr>
          </w:p>
        </w:tc>
      </w:tr>
      <w:tr>
        <w:trPr>
          <w:trHeight w:val="208"/>
        </w:trPr>
        <w:tc>
          <w:tcPr>
            <w:tcW w:w="646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1,006,382</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$ 2,502,656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tcPr>
          <w:p>
            <w:pPr>
              <w:ind w:left="440"/>
              <w:spacing w:after="0"/>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4,892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Prepaid expenses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10,806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440"/>
              <w:spacing w:after="0"/>
              <w:rPr>
                <w:sz w:val="20"/>
                <w:szCs w:val="20"/>
                <w:color w:val="auto"/>
              </w:rPr>
            </w:pPr>
            <w:r>
              <w:rPr>
                <w:rFonts w:ascii="Arial" w:cs="Arial" w:eastAsia="Arial" w:hAnsi="Arial"/>
                <w:sz w:val="17"/>
                <w:szCs w:val="17"/>
                <w:color w:val="auto"/>
              </w:rPr>
              <w:t>Loan receivable - employee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122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1,022,080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2,507,294</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Furniture and equipment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16,888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16,888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440"/>
              <w:spacing w:after="0"/>
              <w:rPr>
                <w:sz w:val="20"/>
                <w:szCs w:val="20"/>
                <w:color w:val="auto"/>
              </w:rPr>
            </w:pPr>
            <w:r>
              <w:rPr>
                <w:rFonts w:ascii="Arial" w:cs="Arial" w:eastAsia="Arial" w:hAnsi="Arial"/>
                <w:sz w:val="17"/>
                <w:szCs w:val="17"/>
                <w:color w:val="auto"/>
              </w:rPr>
              <w:t>Less accumulated depreciation</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7"/>
                <w:szCs w:val="17"/>
                <w:color w:val="auto"/>
              </w:rPr>
              <w:t>(2,884)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(1,618)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1220"/>
              <w:spacing w:after="0"/>
              <w:rPr>
                <w:sz w:val="20"/>
                <w:szCs w:val="20"/>
                <w:color w:val="auto"/>
              </w:rPr>
            </w:pPr>
            <w:r>
              <w:rPr>
                <w:rFonts w:ascii="Arial" w:cs="Arial" w:eastAsia="Arial" w:hAnsi="Arial"/>
                <w:sz w:val="17"/>
                <w:szCs w:val="17"/>
                <w:color w:val="auto"/>
              </w:rPr>
              <w:t>NET PROPERTY AND EQUIPMENT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14,004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15,270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tcPr>
          <w:p>
            <w:pPr>
              <w:ind w:left="440"/>
              <w:spacing w:after="0"/>
              <w:rPr>
                <w:sz w:val="20"/>
                <w:szCs w:val="20"/>
                <w:color w:val="auto"/>
              </w:rPr>
            </w:pPr>
            <w:r>
              <w:rPr>
                <w:rFonts w:ascii="Arial" w:cs="Arial" w:eastAsia="Arial" w:hAnsi="Arial"/>
                <w:sz w:val="17"/>
                <w:szCs w:val="17"/>
                <w:color w:val="auto"/>
              </w:rPr>
              <w:t>Website development costs, net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97,617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120,737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1220"/>
              <w:spacing w:after="0"/>
              <w:rPr>
                <w:sz w:val="20"/>
                <w:szCs w:val="20"/>
                <w:color w:val="auto"/>
              </w:rPr>
            </w:pPr>
            <w:r>
              <w:rPr>
                <w:rFonts w:ascii="Arial" w:cs="Arial" w:eastAsia="Arial" w:hAnsi="Arial"/>
                <w:sz w:val="17"/>
                <w:szCs w:val="17"/>
                <w:color w:val="auto"/>
              </w:rPr>
              <w:t>TOTAL OTHER ASSETS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97,617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120,737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1,133,701</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$ 2,643,301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1,133,701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1,133,701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2440"/>
              <w:spacing w:after="0"/>
              <w:rPr>
                <w:sz w:val="20"/>
                <w:szCs w:val="20"/>
                <w:color w:val="auto"/>
              </w:rPr>
            </w:pPr>
            <w:r>
              <w:rPr>
                <w:rFonts w:ascii="Arial" w:cs="Arial" w:eastAsia="Arial" w:hAnsi="Arial"/>
                <w:sz w:val="17"/>
                <w:szCs w:val="17"/>
                <w:color w:val="auto"/>
              </w:rPr>
              <w:t>LIABILITIES AND STOCKHOLDERS' EQUITY</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tcPr>
          <w:p>
            <w:pPr>
              <w:ind w:left="440"/>
              <w:spacing w:after="0"/>
              <w:rPr>
                <w:sz w:val="20"/>
                <w:szCs w:val="20"/>
                <w:color w:val="auto"/>
              </w:rPr>
            </w:pPr>
            <w:r>
              <w:rPr>
                <w:rFonts w:ascii="Arial" w:cs="Arial" w:eastAsia="Arial" w:hAnsi="Arial"/>
                <w:sz w:val="17"/>
                <w:szCs w:val="17"/>
                <w:color w:val="auto"/>
              </w:rPr>
              <w:t>Accounts payable - trade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11,781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171,864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expenses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41,933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440"/>
              <w:spacing w:after="0"/>
              <w:rPr>
                <w:sz w:val="20"/>
                <w:szCs w:val="20"/>
                <w:color w:val="auto"/>
              </w:rPr>
            </w:pPr>
            <w:r>
              <w:rPr>
                <w:rFonts w:ascii="Arial" w:cs="Arial" w:eastAsia="Arial" w:hAnsi="Arial"/>
                <w:sz w:val="17"/>
                <w:szCs w:val="17"/>
                <w:color w:val="auto"/>
              </w:rPr>
              <w:t>Note payable - related parties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1220"/>
              <w:spacing w:after="0"/>
              <w:rPr>
                <w:sz w:val="20"/>
                <w:szCs w:val="20"/>
                <w:color w:val="auto"/>
              </w:rPr>
            </w:pPr>
            <w:r>
              <w:rPr>
                <w:rFonts w:ascii="Arial" w:cs="Arial" w:eastAsia="Arial" w:hAnsi="Arial"/>
                <w:sz w:val="17"/>
                <w:szCs w:val="17"/>
                <w:color w:val="auto"/>
              </w:rPr>
              <w:t>TOTAL CURRENT LIABILITIES</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122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11,781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217,797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tcPr>
          <w:p>
            <w:pPr>
              <w:ind w:left="280"/>
              <w:spacing w:after="0"/>
              <w:rPr>
                <w:sz w:val="20"/>
                <w:szCs w:val="20"/>
                <w:color w:val="auto"/>
              </w:rPr>
            </w:pPr>
            <w:r>
              <w:rPr>
                <w:rFonts w:ascii="Arial" w:cs="Arial" w:eastAsia="Arial" w:hAnsi="Arial"/>
                <w:sz w:val="17"/>
                <w:szCs w:val="17"/>
                <w:color w:val="auto"/>
              </w:rPr>
              <w:t>Common stock, $.001 par value, 500,000,000 shares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authorized, 12,726,117 shares issued and outstanding</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12,263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tcPr>
          <w:p>
            <w:pPr>
              <w:ind w:left="280"/>
              <w:spacing w:after="0"/>
              <w:rPr>
                <w:sz w:val="20"/>
                <w:szCs w:val="20"/>
                <w:color w:val="auto"/>
              </w:rPr>
            </w:pPr>
            <w:r>
              <w:rPr>
                <w:rFonts w:ascii="Arial" w:cs="Arial" w:eastAsia="Arial" w:hAnsi="Arial"/>
                <w:sz w:val="17"/>
                <w:szCs w:val="17"/>
                <w:color w:val="auto"/>
              </w:rPr>
              <w:t>Stock warrants</w:t>
            </w:r>
          </w:p>
        </w:tc>
        <w:tc>
          <w:tcPr>
            <w:tcW w:w="10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7"/>
                <w:szCs w:val="17"/>
                <w:color w:val="auto"/>
                <w:w w:val="93"/>
              </w:rPr>
              <w:t>16,199,995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16,905,280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Additional paid-in-capital</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1,626,313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280"/>
              <w:spacing w:after="0"/>
              <w:rPr>
                <w:sz w:val="20"/>
                <w:szCs w:val="20"/>
                <w:color w:val="auto"/>
              </w:rPr>
            </w:pPr>
            <w:r>
              <w:rPr>
                <w:rFonts w:ascii="Arial" w:cs="Arial" w:eastAsia="Arial" w:hAnsi="Arial"/>
                <w:sz w:val="17"/>
                <w:szCs w:val="17"/>
                <w:color w:val="auto"/>
              </w:rPr>
              <w:t>Deficit accumulated during the development stage</w:t>
            </w:r>
          </w:p>
        </w:tc>
        <w:tc>
          <w:tcPr>
            <w:tcW w:w="10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7"/>
                <w:szCs w:val="17"/>
                <w:color w:val="auto"/>
                <w:w w:val="89"/>
              </w:rPr>
              <w:t>(16,717,114)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(14,492,039)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1220"/>
              <w:spacing w:after="0"/>
              <w:rPr>
                <w:sz w:val="20"/>
                <w:szCs w:val="20"/>
                <w:color w:val="auto"/>
              </w:rPr>
            </w:pPr>
            <w:r>
              <w:rPr>
                <w:rFonts w:ascii="Arial" w:cs="Arial" w:eastAsia="Arial" w:hAnsi="Arial"/>
                <w:sz w:val="17"/>
                <w:szCs w:val="17"/>
                <w:color w:val="auto"/>
              </w:rPr>
              <w:t>STOCKHOLDERS' EQUITY</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1,121,920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2,425,504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1,133,701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2,643,301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The accompanying notes are an integral part of these financial statements.</w:t>
      </w:r>
    </w:p>
    <w:p>
      <w:pPr>
        <w:sectPr>
          <w:pgSz w:w="11900" w:h="16838" w:orient="portrait"/>
          <w:cols w:equalWidth="0" w:num="1">
            <w:col w:w="10219"/>
          </w:cols>
          <w:pgMar w:left="240" w:top="122" w:right="1440" w:bottom="1440" w:gutter="0" w:footer="0" w:header="0"/>
        </w:sectPr>
      </w:pP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25614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OPTIMIZERx CORPORATION</w:t>
      </w:r>
    </w:p>
    <w:p>
      <w:pPr>
        <w:spacing w:after="0" w:line="31" w:lineRule="exact"/>
        <w:rPr>
          <w:sz w:val="20"/>
          <w:szCs w:val="20"/>
          <w:color w:val="auto"/>
        </w:rPr>
      </w:pPr>
    </w:p>
    <w:p>
      <w:pPr>
        <w:jc w:val="center"/>
        <w:ind w:right="-1240"/>
        <w:spacing w:after="0"/>
        <w:rPr>
          <w:sz w:val="20"/>
          <w:szCs w:val="20"/>
          <w:color w:val="auto"/>
        </w:rPr>
      </w:pPr>
      <w:r>
        <w:rPr>
          <w:rFonts w:ascii="Arial" w:cs="Arial" w:eastAsia="Arial" w:hAnsi="Arial"/>
          <w:sz w:val="17"/>
          <w:szCs w:val="17"/>
          <w:b w:val="1"/>
          <w:bCs w:val="1"/>
          <w:color w:val="auto"/>
        </w:rPr>
        <w:t>(A DEVELOPMENT STAGE COMPANY)</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Consolidated Statements of Operations for the</w:t>
      </w:r>
    </w:p>
    <w:p>
      <w:pPr>
        <w:jc w:val="center"/>
        <w:ind w:right="-1200"/>
        <w:spacing w:after="0" w:line="232" w:lineRule="auto"/>
        <w:rPr>
          <w:sz w:val="20"/>
          <w:szCs w:val="20"/>
          <w:color w:val="auto"/>
        </w:rPr>
      </w:pPr>
      <w:r>
        <w:rPr>
          <w:rFonts w:ascii="Arial" w:cs="Arial" w:eastAsia="Arial" w:hAnsi="Arial"/>
          <w:sz w:val="21"/>
          <w:szCs w:val="21"/>
          <w:color w:val="auto"/>
        </w:rPr>
        <w:t>Three Months Ended September 30, 2009 and 2008</w:t>
      </w:r>
    </w:p>
    <w:p>
      <w:pPr>
        <w:jc w:val="center"/>
        <w:ind w:right="-1200"/>
        <w:spacing w:after="0"/>
        <w:rPr>
          <w:sz w:val="20"/>
          <w:szCs w:val="20"/>
          <w:color w:val="auto"/>
        </w:rPr>
      </w:pPr>
      <w:r>
        <w:rPr>
          <w:rFonts w:ascii="Arial" w:cs="Arial" w:eastAsia="Arial" w:hAnsi="Arial"/>
          <w:sz w:val="21"/>
          <w:szCs w:val="2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4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7"/>
                <w:szCs w:val="17"/>
                <w:color w:val="auto"/>
              </w:rPr>
              <w:t>9/30/09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7"/>
                <w:szCs w:val="17"/>
                <w:color w:val="auto"/>
              </w:rPr>
              <w:t>9/30/08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w w:val="95"/>
              </w:rPr>
              <w:t>(unaudited)</w:t>
            </w:r>
          </w:p>
        </w:tc>
        <w:tc>
          <w:tcPr>
            <w:tcW w:w="960" w:type="dxa"/>
            <w:vAlign w:val="bottom"/>
            <w:gridSpan w:val="3"/>
          </w:tcPr>
          <w:p>
            <w:pPr>
              <w:jc w:val="right"/>
              <w:ind w:right="120"/>
              <w:spacing w:after="0"/>
              <w:rPr>
                <w:sz w:val="20"/>
                <w:szCs w:val="20"/>
                <w:color w:val="auto"/>
              </w:rPr>
            </w:pPr>
            <w:r>
              <w:rPr>
                <w:rFonts w:ascii="Arial" w:cs="Arial" w:eastAsia="Arial" w:hAnsi="Arial"/>
                <w:sz w:val="17"/>
                <w:szCs w:val="17"/>
                <w:color w:val="auto"/>
                <w:w w:val="95"/>
              </w:rPr>
              <w:t>(unaudited)</w:t>
            </w:r>
          </w:p>
        </w:tc>
        <w:tc>
          <w:tcPr>
            <w:tcW w:w="0" w:type="dxa"/>
            <w:vAlign w:val="bottom"/>
          </w:tcPr>
          <w:p>
            <w:pPr>
              <w:spacing w:after="0"/>
              <w:rPr>
                <w:sz w:val="1"/>
                <w:szCs w:val="1"/>
                <w:color w:val="auto"/>
              </w:rPr>
            </w:pPr>
          </w:p>
        </w:tc>
      </w:tr>
      <w:tr>
        <w:trPr>
          <w:trHeight w:val="208"/>
        </w:trPr>
        <w:tc>
          <w:tcPr>
            <w:tcW w:w="658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6,908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TOTAL REVENUE</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534,065</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162,519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tcPr>
          <w:p>
            <w:pPr>
              <w:ind w:left="1220"/>
              <w:spacing w:after="0"/>
              <w:rPr>
                <w:sz w:val="20"/>
                <w:szCs w:val="20"/>
                <w:color w:val="auto"/>
              </w:rPr>
            </w:pPr>
            <w:r>
              <w:rPr>
                <w:rFonts w:ascii="Arial" w:cs="Arial" w:eastAsia="Arial" w:hAnsi="Arial"/>
                <w:sz w:val="17"/>
                <w:szCs w:val="17"/>
                <w:color w:val="auto"/>
              </w:rPr>
              <w:t>TOTAL EXPENSES</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534,065</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162,519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tcPr>
          <w:p>
            <w:pPr>
              <w:ind w:left="1220"/>
              <w:spacing w:after="0"/>
              <w:rPr>
                <w:sz w:val="20"/>
                <w:szCs w:val="20"/>
                <w:color w:val="auto"/>
              </w:rPr>
            </w:pPr>
            <w:r>
              <w:rPr>
                <w:rFonts w:ascii="Arial" w:cs="Arial" w:eastAsia="Arial" w:hAnsi="Arial"/>
                <w:sz w:val="17"/>
                <w:szCs w:val="17"/>
                <w:color w:val="auto"/>
              </w:rPr>
              <w:t>OPERATING LOSS</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(527,157)</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(161,408)</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7"/>
                <w:szCs w:val="17"/>
                <w:color w:val="auto"/>
              </w:rPr>
              <w:t>OTHER INCOME (EXPENSE)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income</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(697)</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Stock warrant expense</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TOTAL OTHER INCOME (EXPENSE)</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tcPr>
          <w:p>
            <w:pPr>
              <w:ind w:left="1220"/>
              <w:spacing w:after="0"/>
              <w:rPr>
                <w:sz w:val="20"/>
                <w:szCs w:val="20"/>
                <w:color w:val="auto"/>
              </w:rPr>
            </w:pPr>
            <w:r>
              <w:rPr>
                <w:rFonts w:ascii="Arial" w:cs="Arial" w:eastAsia="Arial" w:hAnsi="Arial"/>
                <w:sz w:val="17"/>
                <w:szCs w:val="17"/>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(522,207) $</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(161,408)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7"/>
                <w:szCs w:val="17"/>
                <w:color w:val="auto"/>
              </w:rPr>
              <w:t>WEIGHTED AVERAGE NUMBER OF</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5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SHARES OUTSTANDING</w:t>
            </w: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12,609,094</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11,662,465</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5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The accompanying notes are an integral part of these financial statements.</w:t>
      </w:r>
    </w:p>
    <w:p>
      <w:pPr>
        <w:spacing w:after="0" w:line="200" w:lineRule="exact"/>
        <w:rPr>
          <w:sz w:val="20"/>
          <w:szCs w:val="20"/>
          <w:color w:val="auto"/>
        </w:rPr>
      </w:pP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5"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OPTIMIZERx CORPORATION</w:t>
      </w:r>
    </w:p>
    <w:p>
      <w:pPr>
        <w:spacing w:after="0" w:line="31" w:lineRule="exact"/>
        <w:rPr>
          <w:sz w:val="20"/>
          <w:szCs w:val="20"/>
          <w:color w:val="auto"/>
        </w:rPr>
      </w:pPr>
    </w:p>
    <w:p>
      <w:pPr>
        <w:jc w:val="center"/>
        <w:ind w:right="-1240"/>
        <w:spacing w:after="0"/>
        <w:rPr>
          <w:sz w:val="20"/>
          <w:szCs w:val="20"/>
          <w:color w:val="auto"/>
        </w:rPr>
      </w:pPr>
      <w:r>
        <w:rPr>
          <w:rFonts w:ascii="Arial" w:cs="Arial" w:eastAsia="Arial" w:hAnsi="Arial"/>
          <w:sz w:val="17"/>
          <w:szCs w:val="17"/>
          <w:b w:val="1"/>
          <w:bCs w:val="1"/>
          <w:color w:val="auto"/>
        </w:rPr>
        <w:t>(A DEVELOPMENT STAGE COMPANY)</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1"/>
          <w:szCs w:val="21"/>
          <w:color w:val="auto"/>
        </w:rPr>
        <w:t>Consolidated Statements of Operations for the</w:t>
      </w:r>
    </w:p>
    <w:tbl>
      <w:tblPr>
        <w:tblLayout w:type="fixed"/>
        <w:tblInd w:w="0" w:type="dxa"/>
        <w:tblCellMar>
          <w:top w:w="0" w:type="dxa"/>
          <w:left w:w="0" w:type="dxa"/>
          <w:bottom w:w="0" w:type="dxa"/>
          <w:right w:w="0" w:type="dxa"/>
        </w:tblCellMar>
      </w:tblPr>
      <w:tr>
        <w:trPr>
          <w:trHeight w:val="216"/>
        </w:trPr>
        <w:tc>
          <w:tcPr>
            <w:tcW w:w="8680" w:type="dxa"/>
            <w:vAlign w:val="bottom"/>
            <w:gridSpan w:val="12"/>
          </w:tcPr>
          <w:p>
            <w:pPr>
              <w:jc w:val="center"/>
              <w:ind w:left="2672"/>
              <w:spacing w:after="0" w:line="216" w:lineRule="exact"/>
              <w:rPr>
                <w:sz w:val="20"/>
                <w:szCs w:val="20"/>
                <w:color w:val="auto"/>
              </w:rPr>
            </w:pPr>
            <w:r>
              <w:rPr>
                <w:rFonts w:ascii="Arial" w:cs="Arial" w:eastAsia="Arial" w:hAnsi="Arial"/>
                <w:sz w:val="21"/>
                <w:szCs w:val="21"/>
                <w:color w:val="auto"/>
                <w:w w:val="88"/>
              </w:rPr>
              <w:t>Nine Months Ended September 30, 2009 and 2008 and</w:t>
            </w:r>
          </w:p>
        </w:tc>
      </w:tr>
      <w:tr>
        <w:trPr>
          <w:trHeight w:val="234"/>
        </w:trPr>
        <w:tc>
          <w:tcPr>
            <w:tcW w:w="8680" w:type="dxa"/>
            <w:vAlign w:val="bottom"/>
            <w:gridSpan w:val="12"/>
          </w:tcPr>
          <w:p>
            <w:pPr>
              <w:jc w:val="center"/>
              <w:ind w:left="2652"/>
              <w:spacing w:after="0" w:line="234" w:lineRule="exact"/>
              <w:rPr>
                <w:sz w:val="20"/>
                <w:szCs w:val="20"/>
                <w:color w:val="auto"/>
              </w:rPr>
            </w:pPr>
            <w:r>
              <w:rPr>
                <w:rFonts w:ascii="Arial" w:cs="Arial" w:eastAsia="Arial" w:hAnsi="Arial"/>
                <w:sz w:val="21"/>
                <w:szCs w:val="21"/>
                <w:color w:val="auto"/>
                <w:w w:val="89"/>
              </w:rPr>
              <w:t>for the Period from January 31, 2006(Inception) to September 30, 2009</w:t>
            </w:r>
          </w:p>
        </w:tc>
      </w:tr>
      <w:tr>
        <w:trPr>
          <w:trHeight w:val="265"/>
        </w:trPr>
        <w:tc>
          <w:tcPr>
            <w:tcW w:w="4640" w:type="dxa"/>
            <w:vAlign w:val="bottom"/>
          </w:tcPr>
          <w:p>
            <w:pPr>
              <w:spacing w:after="0"/>
              <w:rPr>
                <w:sz w:val="23"/>
                <w:szCs w:val="23"/>
                <w:color w:val="auto"/>
              </w:rPr>
            </w:pPr>
          </w:p>
        </w:tc>
        <w:tc>
          <w:tcPr>
            <w:tcW w:w="1960" w:type="dxa"/>
            <w:vAlign w:val="bottom"/>
            <w:gridSpan w:val="4"/>
          </w:tcPr>
          <w:p>
            <w:pPr>
              <w:jc w:val="center"/>
              <w:ind w:left="109"/>
              <w:spacing w:after="0"/>
              <w:rPr>
                <w:sz w:val="20"/>
                <w:szCs w:val="20"/>
                <w:color w:val="auto"/>
              </w:rPr>
            </w:pPr>
            <w:r>
              <w:rPr>
                <w:rFonts w:ascii="Arial" w:cs="Arial" w:eastAsia="Arial" w:hAnsi="Arial"/>
                <w:sz w:val="21"/>
                <w:szCs w:val="21"/>
                <w:color w:val="auto"/>
                <w:w w:val="91"/>
              </w:rPr>
              <w:t>(Unaudited)</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887"/>
        </w:trPr>
        <w:tc>
          <w:tcPr>
            <w:tcW w:w="4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7"/>
                <w:szCs w:val="17"/>
                <w:color w:val="auto"/>
                <w:w w:val="92"/>
              </w:rPr>
              <w:t>Inception</w:t>
            </w:r>
          </w:p>
        </w:tc>
      </w:tr>
      <w:tr>
        <w:trPr>
          <w:trHeight w:val="208"/>
        </w:trPr>
        <w:tc>
          <w:tcPr>
            <w:tcW w:w="4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7"/>
                <w:szCs w:val="17"/>
                <w:color w:val="auto"/>
                <w:w w:val="93"/>
              </w:rPr>
              <w:t>through</w:t>
            </w:r>
          </w:p>
        </w:tc>
      </w:tr>
      <w:tr>
        <w:trPr>
          <w:trHeight w:val="208"/>
        </w:trPr>
        <w:tc>
          <w:tcPr>
            <w:tcW w:w="4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73"/>
              <w:spacing w:after="0"/>
              <w:rPr>
                <w:sz w:val="20"/>
                <w:szCs w:val="20"/>
                <w:color w:val="auto"/>
              </w:rPr>
            </w:pPr>
            <w:r>
              <w:rPr>
                <w:rFonts w:ascii="Arial" w:cs="Arial" w:eastAsia="Arial" w:hAnsi="Arial"/>
                <w:sz w:val="17"/>
                <w:szCs w:val="17"/>
                <w:color w:val="auto"/>
              </w:rPr>
              <w:t>9/30/09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7"/>
                <w:szCs w:val="17"/>
                <w:color w:val="auto"/>
              </w:rPr>
              <w:t>9/30/08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1"/>
              </w:rPr>
              <w:t>9/30/09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6"/>
        </w:trPr>
        <w:tc>
          <w:tcPr>
            <w:tcW w:w="4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w w:val="95"/>
              </w:rPr>
              <w:t>(unaudited)</w:t>
            </w: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w w:val="95"/>
              </w:rPr>
              <w:t>(unaudited)</w:t>
            </w:r>
          </w:p>
        </w:tc>
        <w:tc>
          <w:tcPr>
            <w:tcW w:w="1040" w:type="dxa"/>
            <w:vAlign w:val="bottom"/>
            <w:gridSpan w:val="4"/>
          </w:tcPr>
          <w:p>
            <w:pPr>
              <w:jc w:val="center"/>
              <w:ind w:right="200"/>
              <w:spacing w:after="0"/>
              <w:rPr>
                <w:sz w:val="20"/>
                <w:szCs w:val="20"/>
                <w:color w:val="auto"/>
              </w:rPr>
            </w:pPr>
            <w:r>
              <w:rPr>
                <w:rFonts w:ascii="Arial" w:cs="Arial" w:eastAsia="Arial" w:hAnsi="Arial"/>
                <w:sz w:val="17"/>
                <w:szCs w:val="17"/>
                <w:color w:val="auto"/>
                <w:w w:val="92"/>
              </w:rPr>
              <w:t>(unaudited)</w:t>
            </w:r>
          </w:p>
        </w:tc>
      </w:tr>
      <w:tr>
        <w:trPr>
          <w:trHeight w:val="208"/>
        </w:trPr>
        <w:tc>
          <w:tcPr>
            <w:tcW w:w="4640" w:type="dxa"/>
            <w:vAlign w:val="bottom"/>
          </w:tcPr>
          <w:p>
            <w:pPr>
              <w:spacing w:after="0"/>
              <w:rPr>
                <w:sz w:val="20"/>
                <w:szCs w:val="20"/>
                <w:color w:val="auto"/>
              </w:rPr>
            </w:pPr>
            <w:r>
              <w:rPr>
                <w:rFonts w:ascii="Arial" w:cs="Arial" w:eastAsia="Arial" w:hAnsi="Arial"/>
                <w:sz w:val="17"/>
                <w:szCs w:val="17"/>
                <w:color w:val="auto"/>
              </w:rPr>
              <w:t>REVENUE</w:t>
            </w:r>
          </w:p>
        </w:tc>
        <w:tc>
          <w:tcPr>
            <w:tcW w:w="9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68,317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195,632</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464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TOTAL REVENUE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68,317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195,632</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40" w:type="dxa"/>
            <w:vAlign w:val="bottom"/>
          </w:tcPr>
          <w:p>
            <w:pPr>
              <w:ind w:left="320"/>
              <w:spacing w:after="0"/>
              <w:rPr>
                <w:sz w:val="20"/>
                <w:szCs w:val="20"/>
                <w:color w:val="auto"/>
              </w:rPr>
            </w:pPr>
            <w:r>
              <w:rPr>
                <w:rFonts w:ascii="Arial" w:cs="Arial" w:eastAsia="Arial" w:hAnsi="Arial"/>
                <w:sz w:val="17"/>
                <w:szCs w:val="17"/>
                <w:color w:val="auto"/>
              </w:rPr>
              <w:t>Operating expenses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2,265,831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638,285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4,498,139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4640" w:type="dxa"/>
            <w:vAlign w:val="bottom"/>
          </w:tcPr>
          <w:p>
            <w:pPr>
              <w:ind w:left="1260"/>
              <w:spacing w:after="0"/>
              <w:rPr>
                <w:sz w:val="20"/>
                <w:szCs w:val="20"/>
                <w:color w:val="auto"/>
              </w:rPr>
            </w:pPr>
            <w:r>
              <w:rPr>
                <w:rFonts w:ascii="Arial" w:cs="Arial" w:eastAsia="Arial" w:hAnsi="Arial"/>
                <w:sz w:val="17"/>
                <w:szCs w:val="17"/>
                <w:color w:val="auto"/>
              </w:rPr>
              <w:t>TOTAL EXPENSES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2,265,831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638,285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4,498,139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4640" w:type="dxa"/>
            <w:vAlign w:val="bottom"/>
          </w:tcPr>
          <w:p>
            <w:pPr>
              <w:ind w:left="1260"/>
              <w:spacing w:after="0"/>
              <w:rPr>
                <w:sz w:val="20"/>
                <w:szCs w:val="20"/>
                <w:color w:val="auto"/>
              </w:rPr>
            </w:pPr>
            <w:r>
              <w:rPr>
                <w:rFonts w:ascii="Arial" w:cs="Arial" w:eastAsia="Arial" w:hAnsi="Arial"/>
                <w:sz w:val="17"/>
                <w:szCs w:val="17"/>
                <w:color w:val="auto"/>
              </w:rPr>
              <w:t>OPERATING LOSS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(2,254,203)</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(569,968)</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(4,302,507)</w:t>
            </w:r>
          </w:p>
        </w:tc>
        <w:tc>
          <w:tcPr>
            <w:tcW w:w="120" w:type="dxa"/>
            <w:vAlign w:val="bottom"/>
          </w:tcPr>
          <w:p>
            <w:pPr>
              <w:spacing w:after="0"/>
              <w:rPr>
                <w:sz w:val="18"/>
                <w:szCs w:val="18"/>
                <w:color w:val="auto"/>
              </w:rPr>
            </w:pPr>
          </w:p>
        </w:tc>
      </w:tr>
      <w:tr>
        <w:trPr>
          <w:trHeight w:val="208"/>
        </w:trPr>
        <w:tc>
          <w:tcPr>
            <w:tcW w:w="4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40" w:type="dxa"/>
            <w:vAlign w:val="bottom"/>
          </w:tcPr>
          <w:p>
            <w:pPr>
              <w:spacing w:after="0"/>
              <w:rPr>
                <w:sz w:val="20"/>
                <w:szCs w:val="20"/>
                <w:color w:val="auto"/>
              </w:rPr>
            </w:pPr>
            <w:r>
              <w:rPr>
                <w:rFonts w:ascii="Arial" w:cs="Arial" w:eastAsia="Arial" w:hAnsi="Arial"/>
                <w:sz w:val="17"/>
                <w:szCs w:val="17"/>
                <w:color w:val="auto"/>
              </w:rPr>
              <w:t>OTHER INCOME (EXPENSE)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33,401</w:t>
            </w:r>
          </w:p>
        </w:tc>
        <w:tc>
          <w:tcPr>
            <w:tcW w:w="120" w:type="dxa"/>
            <w:vAlign w:val="bottom"/>
          </w:tcPr>
          <w:p>
            <w:pPr>
              <w:spacing w:after="0"/>
              <w:rPr>
                <w:sz w:val="18"/>
                <w:szCs w:val="18"/>
                <w:color w:val="auto"/>
              </w:rPr>
            </w:pPr>
          </w:p>
        </w:tc>
      </w:tr>
      <w:tr>
        <w:trPr>
          <w:trHeight w:val="208"/>
        </w:trPr>
        <w:tc>
          <w:tcPr>
            <w:tcW w:w="4640" w:type="dxa"/>
            <w:vAlign w:val="bottom"/>
          </w:tcPr>
          <w:p>
            <w:pPr>
              <w:ind w:left="320"/>
              <w:spacing w:after="0"/>
              <w:rPr>
                <w:sz w:val="20"/>
                <w:szCs w:val="20"/>
                <w:color w:val="auto"/>
              </w:rPr>
            </w:pPr>
            <w:r>
              <w:rPr>
                <w:rFonts w:ascii="Arial" w:cs="Arial" w:eastAsia="Arial" w:hAnsi="Arial"/>
                <w:sz w:val="17"/>
                <w:szCs w:val="17"/>
                <w:color w:val="auto"/>
              </w:rPr>
              <w:t>Other income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1,783</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(7,102)</w:t>
            </w:r>
          </w:p>
        </w:tc>
        <w:tc>
          <w:tcPr>
            <w:tcW w:w="120" w:type="dxa"/>
            <w:vAlign w:val="bottom"/>
          </w:tcPr>
          <w:p>
            <w:pPr>
              <w:spacing w:after="0"/>
              <w:rPr>
                <w:sz w:val="18"/>
                <w:szCs w:val="18"/>
                <w:color w:val="auto"/>
              </w:rPr>
            </w:pPr>
          </w:p>
        </w:tc>
      </w:tr>
      <w:tr>
        <w:trPr>
          <w:trHeight w:val="214"/>
        </w:trPr>
        <w:tc>
          <w:tcPr>
            <w:tcW w:w="4640" w:type="dxa"/>
            <w:vAlign w:val="bottom"/>
          </w:tcPr>
          <w:p>
            <w:pPr>
              <w:ind w:left="320"/>
              <w:spacing w:after="0"/>
              <w:rPr>
                <w:sz w:val="20"/>
                <w:szCs w:val="20"/>
                <w:color w:val="auto"/>
              </w:rPr>
            </w:pPr>
            <w:r>
              <w:rPr>
                <w:rFonts w:ascii="Arial" w:cs="Arial" w:eastAsia="Arial" w:hAnsi="Arial"/>
                <w:sz w:val="17"/>
                <w:szCs w:val="17"/>
                <w:color w:val="auto"/>
              </w:rPr>
              <w:t>Stock warrant expense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(333,004)</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(2,745,280)</w:t>
            </w:r>
          </w:p>
        </w:tc>
        <w:tc>
          <w:tcPr>
            <w:tcW w:w="120" w:type="dxa"/>
            <w:vAlign w:val="bottom"/>
          </w:tcPr>
          <w:p>
            <w:pPr>
              <w:spacing w:after="0"/>
              <w:rPr>
                <w:sz w:val="18"/>
                <w:szCs w:val="18"/>
                <w:color w:val="auto"/>
              </w:rPr>
            </w:pPr>
          </w:p>
        </w:tc>
      </w:tr>
      <w:tr>
        <w:trPr>
          <w:trHeight w:val="208"/>
        </w:trPr>
        <w:tc>
          <w:tcPr>
            <w:tcW w:w="4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4640" w:type="dxa"/>
            <w:vAlign w:val="bottom"/>
          </w:tcPr>
          <w:p>
            <w:pPr>
              <w:ind w:left="1260"/>
              <w:spacing w:after="0"/>
              <w:rPr>
                <w:sz w:val="20"/>
                <w:szCs w:val="20"/>
                <w:color w:val="auto"/>
              </w:rPr>
            </w:pPr>
            <w:r>
              <w:rPr>
                <w:rFonts w:ascii="Arial" w:cs="Arial" w:eastAsia="Arial" w:hAnsi="Arial"/>
                <w:sz w:val="17"/>
                <w:szCs w:val="17"/>
                <w:color w:val="auto"/>
              </w:rPr>
              <w:t>TOTAL OTHER INCOME (EXPENSE)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29,128</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(332,990)</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(2,717,198)</w:t>
            </w:r>
          </w:p>
        </w:tc>
        <w:tc>
          <w:tcPr>
            <w:tcW w:w="120" w:type="dxa"/>
            <w:vAlign w:val="bottom"/>
          </w:tcPr>
          <w:p>
            <w:pPr>
              <w:spacing w:after="0"/>
              <w:rPr>
                <w:sz w:val="18"/>
                <w:szCs w:val="18"/>
                <w:color w:val="auto"/>
              </w:rPr>
            </w:pPr>
          </w:p>
        </w:tc>
      </w:tr>
      <w:tr>
        <w:trPr>
          <w:trHeight w:val="208"/>
        </w:trPr>
        <w:tc>
          <w:tcPr>
            <w:tcW w:w="4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8"/>
        </w:trPr>
        <w:tc>
          <w:tcPr>
            <w:tcW w:w="464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NET LOSS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(2,225,075) $</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xml:space="preserve">(902,958) </w:t>
            </w:r>
            <w:r>
              <w:rPr>
                <w:rFonts w:ascii="Arial" w:cs="Arial" w:eastAsia="Arial" w:hAnsi="Arial"/>
                <w:sz w:val="17"/>
                <w:szCs w:val="17"/>
                <w:u w:val="single" w:color="auto"/>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(7,019,705)</w:t>
            </w:r>
          </w:p>
        </w:tc>
        <w:tc>
          <w:tcPr>
            <w:tcW w:w="120" w:type="dxa"/>
            <w:vAlign w:val="bottom"/>
          </w:tcPr>
          <w:p>
            <w:pPr>
              <w:spacing w:after="0"/>
              <w:rPr>
                <w:sz w:val="21"/>
                <w:szCs w:val="21"/>
                <w:color w:val="auto"/>
              </w:rPr>
            </w:pPr>
          </w:p>
        </w:tc>
      </w:tr>
      <w:tr>
        <w:trPr>
          <w:trHeight w:val="200"/>
        </w:trPr>
        <w:tc>
          <w:tcPr>
            <w:tcW w:w="46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Pr>
          <w:p>
            <w:pPr>
              <w:spacing w:after="0"/>
              <w:rPr>
                <w:sz w:val="17"/>
                <w:szCs w:val="17"/>
                <w:color w:val="auto"/>
              </w:rPr>
            </w:pPr>
          </w:p>
        </w:tc>
      </w:tr>
      <w:tr>
        <w:trPr>
          <w:trHeight w:val="208"/>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640" w:type="dxa"/>
            <w:vAlign w:val="bottom"/>
          </w:tcPr>
          <w:p>
            <w:pPr>
              <w:ind w:left="320"/>
              <w:spacing w:after="0"/>
              <w:rPr>
                <w:sz w:val="20"/>
                <w:szCs w:val="20"/>
                <w:color w:val="auto"/>
              </w:rPr>
            </w:pPr>
            <w:r>
              <w:rPr>
                <w:rFonts w:ascii="Arial" w:cs="Arial" w:eastAsia="Arial" w:hAnsi="Arial"/>
                <w:sz w:val="17"/>
                <w:szCs w:val="17"/>
                <w:color w:val="auto"/>
              </w:rPr>
              <w:t>SHARES OUTSTANDING</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12,503,083</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13,475,000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4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208"/>
        </w:trPr>
        <w:tc>
          <w:tcPr>
            <w:tcW w:w="4640" w:type="dxa"/>
            <w:vAlign w:val="bottom"/>
          </w:tcPr>
          <w:p>
            <w:pPr>
              <w:spacing w:after="0"/>
              <w:rPr>
                <w:sz w:val="20"/>
                <w:szCs w:val="20"/>
                <w:color w:val="auto"/>
              </w:rPr>
            </w:pPr>
            <w:r>
              <w:rPr>
                <w:rFonts w:ascii="Arial" w:cs="Arial" w:eastAsia="Arial" w:hAnsi="Arial"/>
                <w:sz w:val="17"/>
                <w:szCs w:val="17"/>
                <w:color w:val="auto"/>
              </w:rPr>
              <w:t>NET LOSS PER SHARE</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(0.07)</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6" w:name="page7"/>
    <w:bookmarkEnd w:id="6"/>
    <w:p>
      <w:pPr>
        <w:spacing w:after="0" w:line="62"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OPTIMIZERx CORPORATION</w:t>
      </w:r>
    </w:p>
    <w:p>
      <w:pPr>
        <w:spacing w:after="0" w:line="31" w:lineRule="exact"/>
        <w:rPr>
          <w:sz w:val="20"/>
          <w:szCs w:val="20"/>
          <w:color w:val="auto"/>
        </w:rPr>
      </w:pPr>
    </w:p>
    <w:p>
      <w:pPr>
        <w:jc w:val="center"/>
        <w:ind w:right="-1240"/>
        <w:spacing w:after="0"/>
        <w:rPr>
          <w:sz w:val="20"/>
          <w:szCs w:val="20"/>
          <w:color w:val="auto"/>
        </w:rPr>
      </w:pPr>
      <w:r>
        <w:rPr>
          <w:rFonts w:ascii="Arial" w:cs="Arial" w:eastAsia="Arial" w:hAnsi="Arial"/>
          <w:sz w:val="17"/>
          <w:szCs w:val="17"/>
          <w:b w:val="1"/>
          <w:bCs w:val="1"/>
          <w:color w:val="auto"/>
        </w:rPr>
        <w:t>(A DEVELOPMENT STAGE COMPANY)</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Consolidated Statement of Stockholders' Equity</w:t>
      </w:r>
    </w:p>
    <w:p>
      <w:pPr>
        <w:jc w:val="center"/>
        <w:ind w:right="-1200"/>
        <w:spacing w:after="0" w:line="232" w:lineRule="auto"/>
        <w:rPr>
          <w:sz w:val="20"/>
          <w:szCs w:val="20"/>
          <w:color w:val="auto"/>
        </w:rPr>
      </w:pPr>
      <w:r>
        <w:rPr>
          <w:rFonts w:ascii="Arial" w:cs="Arial" w:eastAsia="Arial" w:hAnsi="Arial"/>
          <w:sz w:val="21"/>
          <w:szCs w:val="21"/>
          <w:color w:val="auto"/>
        </w:rPr>
        <w:t>as of September 30, 2009</w:t>
      </w:r>
    </w:p>
    <w:p>
      <w:pPr>
        <w:jc w:val="center"/>
        <w:ind w:right="-1200"/>
        <w:spacing w:after="0"/>
        <w:rPr>
          <w:sz w:val="20"/>
          <w:szCs w:val="20"/>
          <w:color w:val="auto"/>
        </w:rPr>
      </w:pPr>
      <w:r>
        <w:rPr>
          <w:rFonts w:ascii="Arial" w:cs="Arial" w:eastAsia="Arial" w:hAnsi="Arial"/>
          <w:sz w:val="21"/>
          <w:szCs w:val="21"/>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7"/>
                <w:szCs w:val="17"/>
                <w:color w:val="auto"/>
              </w:rPr>
              <w:t>Deficit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7"/>
                <w:szCs w:val="17"/>
                <w:color w:val="auto"/>
                <w:w w:val="95"/>
              </w:rPr>
              <w:t>Accumulated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rPr>
              <w:t>Additional</w:t>
            </w:r>
          </w:p>
        </w:tc>
        <w:tc>
          <w:tcPr>
            <w:tcW w:w="10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7"/>
                <w:szCs w:val="17"/>
                <w:color w:val="auto"/>
                <w:w w:val="99"/>
              </w:rPr>
              <w:t>During</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gridSpan w:val="5"/>
          </w:tcPr>
          <w:p>
            <w:pPr>
              <w:ind w:left="260"/>
              <w:spacing w:after="0"/>
              <w:rPr>
                <w:sz w:val="20"/>
                <w:szCs w:val="20"/>
                <w:color w:val="auto"/>
              </w:rPr>
            </w:pPr>
            <w:r>
              <w:rPr>
                <w:rFonts w:ascii="Arial" w:cs="Arial" w:eastAsia="Arial" w:hAnsi="Arial"/>
                <w:sz w:val="17"/>
                <w:szCs w:val="17"/>
                <w:color w:val="auto"/>
              </w:rPr>
              <w:t>Common Stock</w:t>
            </w:r>
          </w:p>
        </w:tc>
        <w:tc>
          <w:tcPr>
            <w:tcW w:w="1560" w:type="dxa"/>
            <w:vAlign w:val="bottom"/>
            <w:gridSpan w:val="7"/>
          </w:tcPr>
          <w:p>
            <w:pPr>
              <w:ind w:left="120"/>
              <w:spacing w:after="0"/>
              <w:rPr>
                <w:sz w:val="20"/>
                <w:szCs w:val="20"/>
                <w:color w:val="auto"/>
              </w:rPr>
            </w:pPr>
            <w:r>
              <w:rPr>
                <w:rFonts w:ascii="Arial" w:cs="Arial" w:eastAsia="Arial" w:hAnsi="Arial"/>
                <w:sz w:val="17"/>
                <w:szCs w:val="17"/>
                <w:color w:val="auto"/>
              </w:rPr>
              <w:t>Preferred Stock</w:t>
            </w:r>
          </w:p>
        </w:tc>
        <w:tc>
          <w:tcPr>
            <w:tcW w:w="92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Stock</w:t>
            </w: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Paid-in</w:t>
            </w:r>
          </w:p>
        </w:tc>
        <w:tc>
          <w:tcPr>
            <w:tcW w:w="1080" w:type="dxa"/>
            <w:vAlign w:val="bottom"/>
            <w:gridSpan w:val="3"/>
          </w:tcPr>
          <w:p>
            <w:pPr>
              <w:jc w:val="center"/>
              <w:ind w:right="140"/>
              <w:spacing w:after="0"/>
              <w:rPr>
                <w:sz w:val="20"/>
                <w:szCs w:val="20"/>
                <w:color w:val="auto"/>
              </w:rPr>
            </w:pPr>
            <w:r>
              <w:rPr>
                <w:rFonts w:ascii="Arial" w:cs="Arial" w:eastAsia="Arial" w:hAnsi="Arial"/>
                <w:sz w:val="17"/>
                <w:szCs w:val="17"/>
                <w:color w:val="auto"/>
                <w:w w:val="93"/>
              </w:rPr>
              <w:t>Development</w:t>
            </w:r>
          </w:p>
        </w:tc>
        <w:tc>
          <w:tcPr>
            <w:tcW w:w="1020" w:type="dxa"/>
            <w:vAlign w:val="bottom"/>
            <w:gridSpan w:val="3"/>
          </w:tcPr>
          <w:p>
            <w:pPr>
              <w:spacing w:after="0"/>
              <w:rPr>
                <w:sz w:val="20"/>
                <w:szCs w:val="20"/>
                <w:color w:val="auto"/>
              </w:rPr>
            </w:pPr>
            <w:r>
              <w:rPr>
                <w:rFonts w:ascii="Arial" w:cs="Arial" w:eastAsia="Arial" w:hAnsi="Arial"/>
                <w:sz w:val="17"/>
                <w:szCs w:val="17"/>
                <w:color w:val="auto"/>
                <w:w w:val="98"/>
              </w:rPr>
              <w:t>Stockholders'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5"/>
              </w:rPr>
              <w:t>Amount</w:t>
            </w:r>
          </w:p>
        </w:tc>
        <w:tc>
          <w:tcPr>
            <w:tcW w:w="120" w:type="dxa"/>
            <w:vAlign w:val="bottom"/>
          </w:tcPr>
          <w:p>
            <w:pPr>
              <w:spacing w:after="0"/>
              <w:rPr>
                <w:sz w:val="18"/>
                <w:szCs w:val="18"/>
                <w:color w:val="auto"/>
              </w:rPr>
            </w:pPr>
          </w:p>
        </w:tc>
        <w:tc>
          <w:tcPr>
            <w:tcW w:w="6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7"/>
                <w:szCs w:val="17"/>
                <w:color w:val="auto"/>
                <w:w w:val="92"/>
              </w:rPr>
              <w:t>Shares</w:t>
            </w: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color w:val="auto"/>
                <w:w w:val="98"/>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Warrants</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Capital</w:t>
            </w:r>
          </w:p>
        </w:tc>
        <w:tc>
          <w:tcPr>
            <w:tcW w:w="10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7"/>
                <w:szCs w:val="17"/>
                <w:color w:val="auto"/>
                <w:w w:val="85"/>
              </w:rPr>
              <w:t>Stage</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Equity</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w w:val="94"/>
              </w:rPr>
              <w:t>Balance, January</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1, 2007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32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-0-  $</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40,289</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40,289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Member</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contributions</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180,000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Member</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distributions</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(253,750)</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(253,750)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Issuance of</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common stock</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ind w:left="280"/>
              <w:spacing w:after="0"/>
              <w:rPr>
                <w:sz w:val="20"/>
                <w:szCs w:val="20"/>
                <w:color w:val="auto"/>
              </w:rPr>
            </w:pPr>
            <w:r>
              <w:rPr>
                <w:rFonts w:ascii="Arial" w:cs="Arial" w:eastAsia="Arial" w:hAnsi="Arial"/>
                <w:sz w:val="17"/>
                <w:szCs w:val="17"/>
                <w:color w:val="auto"/>
              </w:rPr>
              <w:t>to former</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80" w:type="dxa"/>
            <w:vAlign w:val="bottom"/>
            <w:gridSpan w:val="2"/>
          </w:tcPr>
          <w:p>
            <w:pPr>
              <w:spacing w:after="0"/>
              <w:rPr>
                <w:sz w:val="20"/>
                <w:szCs w:val="20"/>
                <w:color w:val="auto"/>
              </w:rPr>
            </w:pPr>
            <w:r>
              <w:rPr>
                <w:rFonts w:ascii="Arial" w:cs="Arial" w:eastAsia="Arial" w:hAnsi="Arial"/>
                <w:sz w:val="17"/>
                <w:szCs w:val="17"/>
                <w:color w:val="auto"/>
              </w:rPr>
              <w:t>LLC members</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10,000,000</w:t>
            </w: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92"/>
              </w:rPr>
              <w:t>10,000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Issuance of</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80" w:type="dxa"/>
            <w:vAlign w:val="bottom"/>
            <w:gridSpan w:val="2"/>
          </w:tcPr>
          <w:p>
            <w:pPr>
              <w:spacing w:after="0"/>
              <w:rPr>
                <w:sz w:val="20"/>
                <w:szCs w:val="20"/>
                <w:color w:val="auto"/>
              </w:rPr>
            </w:pPr>
            <w:r>
              <w:rPr>
                <w:rFonts w:ascii="Arial" w:cs="Arial" w:eastAsia="Arial" w:hAnsi="Arial"/>
                <w:sz w:val="17"/>
                <w:szCs w:val="17"/>
                <w:color w:val="auto"/>
              </w:rPr>
              <w:t>common stock,</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private</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offering</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300,000</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300</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299,700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(361,466)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(361,466)</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Balance,</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December 31,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10,300,000</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2"/>
              </w:rPr>
              <w:t>10,300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289,700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(394,927)</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(94,927)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Issuance of</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common stock</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7"/>
                <w:szCs w:val="17"/>
                <w:color w:val="auto"/>
              </w:rPr>
              <w:t>for cash</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636,000</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636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635,364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636,000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Outstanding</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80" w:type="dxa"/>
            <w:vAlign w:val="bottom"/>
            <w:gridSpan w:val="2"/>
          </w:tcPr>
          <w:p>
            <w:pPr>
              <w:spacing w:after="0"/>
              <w:rPr>
                <w:sz w:val="20"/>
                <w:szCs w:val="20"/>
                <w:color w:val="auto"/>
              </w:rPr>
            </w:pPr>
            <w:r>
              <w:rPr>
                <w:rFonts w:ascii="Arial" w:cs="Arial" w:eastAsia="Arial" w:hAnsi="Arial"/>
                <w:sz w:val="17"/>
                <w:szCs w:val="17"/>
                <w:color w:val="auto"/>
              </w:rPr>
              <w:t>common stock</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prior to</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reverse merger</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1,256,958</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1,257</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(1,257)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Common stock</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issued</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7"/>
                <w:szCs w:val="17"/>
                <w:color w:val="auto"/>
              </w:rPr>
              <w:t>for services</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70,000</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70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69,930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70,000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7"/>
                <w:szCs w:val="17"/>
                <w:color w:val="auto"/>
                <w:w w:val="94"/>
              </w:rPr>
              <w:t>Issuance of stock</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80" w:type="dxa"/>
            <w:vAlign w:val="bottom"/>
            <w:gridSpan w:val="2"/>
          </w:tcPr>
          <w:p>
            <w:pPr>
              <w:spacing w:after="0"/>
              <w:rPr>
                <w:sz w:val="20"/>
                <w:szCs w:val="20"/>
                <w:color w:val="auto"/>
              </w:rPr>
            </w:pPr>
            <w:r>
              <w:rPr>
                <w:rFonts w:ascii="Arial" w:cs="Arial" w:eastAsia="Arial" w:hAnsi="Arial"/>
                <w:sz w:val="17"/>
                <w:szCs w:val="17"/>
                <w:color w:val="auto"/>
              </w:rPr>
              <w:t>options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333,004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333,004</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Issuance of</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80" w:type="dxa"/>
            <w:vAlign w:val="bottom"/>
            <w:gridSpan w:val="2"/>
          </w:tcPr>
          <w:p>
            <w:pPr>
              <w:spacing w:after="0"/>
              <w:rPr>
                <w:sz w:val="20"/>
                <w:szCs w:val="20"/>
                <w:color w:val="auto"/>
              </w:rPr>
            </w:pPr>
            <w:r>
              <w:rPr>
                <w:rFonts w:ascii="Arial" w:cs="Arial" w:eastAsia="Arial" w:hAnsi="Arial"/>
                <w:sz w:val="17"/>
                <w:szCs w:val="17"/>
                <w:color w:val="auto"/>
              </w:rPr>
              <w:t>preferred stock</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4"/>
              </w:rPr>
              <w:t>less issuance</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costs</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2,985,000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2,985,000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Stock warrants</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issued</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14,160,000</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(4,311,741)</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(9,848,259)</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Stock warrants</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issued</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7"/>
                <w:szCs w:val="17"/>
                <w:color w:val="auto"/>
              </w:rPr>
              <w:t>for services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2,745,280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2,745,280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Net loss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(4,248,853)</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(4,248,853)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Balance,</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80" w:type="dxa"/>
            <w:vAlign w:val="bottom"/>
            <w:gridSpan w:val="2"/>
          </w:tcPr>
          <w:p>
            <w:pPr>
              <w:spacing w:after="0"/>
              <w:rPr>
                <w:sz w:val="20"/>
                <w:szCs w:val="20"/>
                <w:color w:val="auto"/>
              </w:rPr>
            </w:pPr>
            <w:r>
              <w:rPr>
                <w:rFonts w:ascii="Arial" w:cs="Arial" w:eastAsia="Arial" w:hAnsi="Arial"/>
                <w:sz w:val="17"/>
                <w:szCs w:val="17"/>
                <w:color w:val="auto"/>
              </w:rPr>
              <w:t>December 31,</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gridSpan w:val="2"/>
          </w:tcPr>
          <w:p>
            <w:pPr>
              <w:spacing w:after="0"/>
              <w:rPr>
                <w:sz w:val="20"/>
                <w:szCs w:val="20"/>
                <w:color w:val="auto"/>
              </w:rPr>
            </w:pPr>
            <w:r>
              <w:rPr>
                <w:rFonts w:ascii="Arial" w:cs="Arial" w:eastAsia="Arial" w:hAnsi="Arial"/>
                <w:sz w:val="17"/>
                <w:szCs w:val="17"/>
                <w:color w:val="auto"/>
              </w:rPr>
              <w:t>2008</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12,262,958</w:t>
            </w: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92"/>
              </w:rPr>
              <w:t>12,263</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35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w w:val="89"/>
              </w:rPr>
              <w:t>16,905,280</w:t>
            </w: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(14,492,039)</w:t>
            </w: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2,425,504</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Issuance of</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80" w:type="dxa"/>
            <w:vAlign w:val="bottom"/>
            <w:gridSpan w:val="2"/>
          </w:tcPr>
          <w:p>
            <w:pPr>
              <w:spacing w:after="0"/>
              <w:rPr>
                <w:sz w:val="20"/>
                <w:szCs w:val="20"/>
                <w:color w:val="auto"/>
              </w:rPr>
            </w:pPr>
            <w:r>
              <w:rPr>
                <w:rFonts w:ascii="Arial" w:cs="Arial" w:eastAsia="Arial" w:hAnsi="Arial"/>
                <w:sz w:val="17"/>
                <w:szCs w:val="17"/>
                <w:color w:val="auto"/>
              </w:rPr>
              <w:t>common stock</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for services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197,251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921,294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921,491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0219"/>
          </w:cols>
          <w:pgMar w:left="240" w:top="121" w:right="1440" w:bottom="0" w:gutter="0" w:footer="0" w:header="0"/>
        </w:sectPr>
      </w:pPr>
    </w:p>
    <w:bookmarkStart w:id="7" w:name="page8"/>
    <w:bookmarkEnd w:id="7"/>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Conversion of</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stock warrants</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Borders>
              <w:right w:val="single" w:sz="8" w:color="CCEEFF"/>
            </w:tcBorders>
          </w:tcPr>
          <w:p>
            <w:pPr>
              <w:ind w:left="280"/>
              <w:spacing w:after="0" w:line="136" w:lineRule="exact"/>
              <w:rPr>
                <w:sz w:val="20"/>
                <w:szCs w:val="20"/>
                <w:color w:val="auto"/>
              </w:rPr>
            </w:pPr>
            <w:r>
              <w:rPr>
                <w:rFonts w:ascii="Arial" w:cs="Arial" w:eastAsia="Arial" w:hAnsi="Arial"/>
                <w:sz w:val="15"/>
                <w:szCs w:val="15"/>
                <w:color w:val="auto"/>
              </w:rPr>
              <w:t>to common</w:t>
            </w: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280" w:type="dxa"/>
            <w:vAlign w:val="bottom"/>
            <w:gridSpan w:val="2"/>
          </w:tcPr>
          <w:p>
            <w:pPr>
              <w:spacing w:after="0"/>
              <w:rPr>
                <w:sz w:val="20"/>
                <w:szCs w:val="20"/>
                <w:color w:val="auto"/>
              </w:rPr>
            </w:pPr>
            <w:r>
              <w:rPr>
                <w:rFonts w:ascii="Arial" w:cs="Arial" w:eastAsia="Arial" w:hAnsi="Arial"/>
                <w:sz w:val="17"/>
                <w:szCs w:val="17"/>
                <w:color w:val="auto"/>
              </w:rPr>
              <w:t>stock</w:t>
            </w:r>
          </w:p>
        </w:tc>
        <w:tc>
          <w:tcPr>
            <w:tcW w:w="840" w:type="dxa"/>
            <w:vAlign w:val="bottom"/>
          </w:tcPr>
          <w:p>
            <w:pPr>
              <w:jc w:val="right"/>
              <w:spacing w:after="0"/>
              <w:rPr>
                <w:sz w:val="20"/>
                <w:szCs w:val="20"/>
                <w:color w:val="auto"/>
              </w:rPr>
            </w:pPr>
            <w:r>
              <w:rPr>
                <w:rFonts w:ascii="Arial" w:cs="Arial" w:eastAsia="Arial" w:hAnsi="Arial"/>
                <w:sz w:val="17"/>
                <w:szCs w:val="17"/>
                <w:color w:val="auto"/>
              </w:rPr>
              <w:t>265,908</w:t>
            </w:r>
          </w:p>
        </w:tc>
        <w:tc>
          <w:tcPr>
            <w:tcW w:w="880" w:type="dxa"/>
            <w:vAlign w:val="bottom"/>
            <w:gridSpan w:val="4"/>
          </w:tcPr>
          <w:p>
            <w:pPr>
              <w:jc w:val="right"/>
              <w:ind w:right="120"/>
              <w:spacing w:after="0"/>
              <w:rPr>
                <w:sz w:val="20"/>
                <w:szCs w:val="20"/>
                <w:color w:val="auto"/>
              </w:rPr>
            </w:pPr>
            <w:r>
              <w:rPr>
                <w:rFonts w:ascii="Arial" w:cs="Arial" w:eastAsia="Arial" w:hAnsi="Arial"/>
                <w:sz w:val="17"/>
                <w:szCs w:val="17"/>
                <w:color w:val="auto"/>
              </w:rPr>
              <w:t>266</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gridSpan w:val="4"/>
          </w:tcPr>
          <w:p>
            <w:pPr>
              <w:jc w:val="right"/>
              <w:ind w:right="80"/>
              <w:spacing w:after="0"/>
              <w:rPr>
                <w:sz w:val="20"/>
                <w:szCs w:val="20"/>
                <w:color w:val="auto"/>
              </w:rPr>
            </w:pPr>
            <w:r>
              <w:rPr>
                <w:rFonts w:ascii="Arial" w:cs="Arial" w:eastAsia="Arial" w:hAnsi="Arial"/>
                <w:sz w:val="17"/>
                <w:szCs w:val="17"/>
                <w:color w:val="auto"/>
              </w:rPr>
              <w:t>(705,285)</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705,019</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Net loss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(2,225,075)</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(2,225,075)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Balance,</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80" w:type="dxa"/>
            <w:vAlign w:val="bottom"/>
            <w:gridSpan w:val="2"/>
          </w:tcPr>
          <w:p>
            <w:pPr>
              <w:spacing w:after="0"/>
              <w:rPr>
                <w:sz w:val="20"/>
                <w:szCs w:val="20"/>
                <w:color w:val="auto"/>
              </w:rPr>
            </w:pPr>
            <w:r>
              <w:rPr>
                <w:rFonts w:ascii="Arial" w:cs="Arial" w:eastAsia="Arial" w:hAnsi="Arial"/>
                <w:sz w:val="17"/>
                <w:szCs w:val="17"/>
                <w:color w:val="auto"/>
              </w:rPr>
              <w:t>September 30,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gridSpan w:val="2"/>
          </w:tcPr>
          <w:p>
            <w:pPr>
              <w:spacing w:after="0"/>
              <w:rPr>
                <w:sz w:val="20"/>
                <w:szCs w:val="20"/>
                <w:color w:val="auto"/>
              </w:rPr>
            </w:pPr>
            <w:r>
              <w:rPr>
                <w:rFonts w:ascii="Arial" w:cs="Arial" w:eastAsia="Arial" w:hAnsi="Arial"/>
                <w:sz w:val="17"/>
                <w:szCs w:val="17"/>
                <w:color w:val="auto"/>
              </w:rPr>
              <w:t>2009</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12,726,117</w:t>
            </w:r>
          </w:p>
        </w:tc>
        <w:tc>
          <w:tcPr>
            <w:tcW w:w="880" w:type="dxa"/>
            <w:vAlign w:val="bottom"/>
            <w:gridSpan w:val="4"/>
          </w:tcPr>
          <w:p>
            <w:pPr>
              <w:jc w:val="right"/>
              <w:ind w:right="120"/>
              <w:spacing w:after="0"/>
              <w:rPr>
                <w:sz w:val="20"/>
                <w:szCs w:val="20"/>
                <w:color w:val="auto"/>
              </w:rPr>
            </w:pPr>
            <w:r>
              <w:rPr>
                <w:rFonts w:ascii="Arial" w:cs="Arial" w:eastAsia="Arial" w:hAnsi="Arial"/>
                <w:sz w:val="17"/>
                <w:szCs w:val="17"/>
                <w:color w:val="auto"/>
              </w:rPr>
              <w:t>$ 12,726</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35</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4"/>
          </w:tcPr>
          <w:p>
            <w:pPr>
              <w:jc w:val="right"/>
              <w:ind w:right="140"/>
              <w:spacing w:after="0"/>
              <w:rPr>
                <w:sz w:val="20"/>
                <w:szCs w:val="20"/>
                <w:color w:val="auto"/>
              </w:rPr>
            </w:pPr>
            <w:r>
              <w:rPr>
                <w:rFonts w:ascii="Arial" w:cs="Arial" w:eastAsia="Arial" w:hAnsi="Arial"/>
                <w:sz w:val="17"/>
                <w:szCs w:val="17"/>
                <w:color w:val="auto"/>
              </w:rPr>
              <w:t xml:space="preserve">-0-  </w:t>
            </w:r>
            <w:r>
              <w:rPr>
                <w:rFonts w:ascii="Arial" w:cs="Arial" w:eastAsia="Arial" w:hAnsi="Arial"/>
                <w:sz w:val="17"/>
                <w:szCs w:val="17"/>
                <w:u w:val="single" w:color="auto"/>
                <w:color w:val="auto"/>
              </w:rPr>
              <w:t>$</w:t>
            </w:r>
            <w:r>
              <w:rPr>
                <w:rFonts w:ascii="Arial" w:cs="Arial" w:eastAsia="Arial" w:hAnsi="Arial"/>
                <w:sz w:val="17"/>
                <w:szCs w:val="17"/>
                <w:color w:val="auto"/>
              </w:rPr>
              <w:t>16,199,995</w:t>
            </w:r>
          </w:p>
        </w:tc>
        <w:tc>
          <w:tcPr>
            <w:tcW w:w="840" w:type="dxa"/>
            <w:vAlign w:val="bottom"/>
          </w:tcPr>
          <w:p>
            <w:pPr>
              <w:jc w:val="right"/>
              <w:spacing w:after="0"/>
              <w:rPr>
                <w:sz w:val="20"/>
                <w:szCs w:val="20"/>
                <w:color w:val="auto"/>
              </w:rPr>
            </w:pPr>
            <w:r>
              <w:rPr>
                <w:rFonts w:ascii="Arial" w:cs="Arial" w:eastAsia="Arial" w:hAnsi="Arial"/>
                <w:sz w:val="17"/>
                <w:szCs w:val="17"/>
                <w:color w:val="auto"/>
                <w:w w:val="91"/>
              </w:rPr>
              <w:t>$ 1,626,313</w:t>
            </w:r>
          </w:p>
        </w:tc>
        <w:tc>
          <w:tcPr>
            <w:tcW w:w="14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 xml:space="preserve"> (16,717,114) $</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1,121,920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-1104900</wp:posOffset>
            </wp:positionV>
            <wp:extent cx="5436870" cy="264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36870" cy="264160"/>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accompanying notes are an integral part of these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79375</wp:posOffset>
            </wp:positionV>
            <wp:extent cx="725614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OPTIMIZERx CORPORATION</w:t>
      </w:r>
    </w:p>
    <w:p>
      <w:pPr>
        <w:spacing w:after="0" w:line="31" w:lineRule="exact"/>
        <w:rPr>
          <w:sz w:val="20"/>
          <w:szCs w:val="20"/>
          <w:color w:val="auto"/>
        </w:rPr>
      </w:pPr>
    </w:p>
    <w:p>
      <w:pPr>
        <w:jc w:val="center"/>
        <w:ind w:right="-1240"/>
        <w:spacing w:after="0"/>
        <w:rPr>
          <w:sz w:val="20"/>
          <w:szCs w:val="20"/>
          <w:color w:val="auto"/>
        </w:rPr>
      </w:pPr>
      <w:r>
        <w:rPr>
          <w:rFonts w:ascii="Arial" w:cs="Arial" w:eastAsia="Arial" w:hAnsi="Arial"/>
          <w:sz w:val="17"/>
          <w:szCs w:val="17"/>
          <w:b w:val="1"/>
          <w:bCs w:val="1"/>
          <w:color w:val="auto"/>
        </w:rPr>
        <w:t>(A DEVELOPMENT STAGE COMPANY)</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21"/>
          <w:szCs w:val="21"/>
          <w:color w:val="auto"/>
        </w:rPr>
        <w:t>Consolidated Statements of Cash Flows for the</w:t>
      </w:r>
    </w:p>
    <w:p>
      <w:pPr>
        <w:ind w:left="3460"/>
        <w:spacing w:after="0" w:line="232" w:lineRule="auto"/>
        <w:rPr>
          <w:sz w:val="20"/>
          <w:szCs w:val="20"/>
          <w:color w:val="auto"/>
        </w:rPr>
      </w:pPr>
      <w:r>
        <w:rPr>
          <w:rFonts w:ascii="Arial" w:cs="Arial" w:eastAsia="Arial" w:hAnsi="Arial"/>
          <w:sz w:val="21"/>
          <w:szCs w:val="21"/>
          <w:color w:val="auto"/>
        </w:rPr>
        <w:t>Nine Months Ended September 30, 2009 and 2008 and</w:t>
      </w:r>
    </w:p>
    <w:p>
      <w:pPr>
        <w:ind w:left="2240"/>
        <w:spacing w:after="0"/>
        <w:rPr>
          <w:sz w:val="20"/>
          <w:szCs w:val="20"/>
          <w:color w:val="auto"/>
        </w:rPr>
      </w:pPr>
      <w:r>
        <w:rPr>
          <w:rFonts w:ascii="Arial" w:cs="Arial" w:eastAsia="Arial" w:hAnsi="Arial"/>
          <w:sz w:val="21"/>
          <w:szCs w:val="21"/>
          <w:color w:val="auto"/>
        </w:rPr>
        <w:t>for the Period from January 31, 2006(Inception) to September 30, 2009(Unaudited)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4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7"/>
                <w:szCs w:val="17"/>
                <w:color w:val="auto"/>
              </w:rPr>
              <w:t>Period from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7"/>
                <w:szCs w:val="17"/>
                <w:color w:val="auto"/>
              </w:rPr>
              <w:t>inception to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7"/>
                <w:szCs w:val="17"/>
                <w:color w:val="auto"/>
                <w:w w:val="89"/>
              </w:rPr>
              <w:t>9/30/2009</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9/30/2008</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9/30/2009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w w:val="95"/>
              </w:rPr>
              <w:t>(unaudited)</w:t>
            </w:r>
          </w:p>
        </w:tc>
        <w:tc>
          <w:tcPr>
            <w:tcW w:w="1020" w:type="dxa"/>
            <w:vAlign w:val="bottom"/>
            <w:gridSpan w:val="3"/>
          </w:tcPr>
          <w:p>
            <w:pPr>
              <w:jc w:val="center"/>
              <w:ind w:right="140"/>
              <w:spacing w:after="0"/>
              <w:rPr>
                <w:sz w:val="20"/>
                <w:szCs w:val="20"/>
                <w:color w:val="auto"/>
              </w:rPr>
            </w:pPr>
            <w:r>
              <w:rPr>
                <w:rFonts w:ascii="Arial" w:cs="Arial" w:eastAsia="Arial" w:hAnsi="Arial"/>
                <w:sz w:val="17"/>
                <w:szCs w:val="17"/>
                <w:color w:val="auto"/>
                <w:w w:val="92"/>
              </w:rPr>
              <w:t>(unaudited)</w:t>
            </w:r>
          </w:p>
        </w:tc>
        <w:tc>
          <w:tcPr>
            <w:tcW w:w="940" w:type="dxa"/>
            <w:vAlign w:val="bottom"/>
            <w:gridSpan w:val="3"/>
          </w:tcPr>
          <w:p>
            <w:pPr>
              <w:ind w:left="20"/>
              <w:spacing w:after="0"/>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8"/>
        </w:trPr>
        <w:tc>
          <w:tcPr>
            <w:tcW w:w="5560" w:type="dxa"/>
            <w:vAlign w:val="bottom"/>
            <w:gridSpan w:val="2"/>
          </w:tcPr>
          <w:p>
            <w:pPr>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(2,225,075)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(902,958)</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(7,019,705)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Borders>
              <w:top w:val="single" w:sz="8" w:color="CCEEFF"/>
            </w:tcBorders>
          </w:tcPr>
          <w:p>
            <w:pPr>
              <w:ind w:left="440"/>
              <w:spacing w:after="0"/>
              <w:rPr>
                <w:sz w:val="20"/>
                <w:szCs w:val="20"/>
                <w:color w:val="auto"/>
              </w:rPr>
            </w:pPr>
            <w:r>
              <w:rPr>
                <w:rFonts w:ascii="Arial" w:cs="Arial" w:eastAsia="Arial" w:hAnsi="Arial"/>
                <w:sz w:val="17"/>
                <w:szCs w:val="17"/>
                <w:color w:val="auto"/>
              </w:rPr>
              <w:t>Adjustments to reconcile net income to net cash</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provided by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76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24,386</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27,799</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59,400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Stock issued for services</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921,491</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991,491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760"/>
              <w:spacing w:after="0"/>
              <w:rPr>
                <w:sz w:val="20"/>
                <w:szCs w:val="20"/>
                <w:color w:val="auto"/>
              </w:rPr>
            </w:pPr>
            <w:r>
              <w:rPr>
                <w:rFonts w:ascii="Arial" w:cs="Arial" w:eastAsia="Arial" w:hAnsi="Arial"/>
                <w:sz w:val="17"/>
                <w:szCs w:val="17"/>
                <w:color w:val="auto"/>
              </w:rPr>
              <w:t>Compensation expense for stock options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333,004</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333,004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Stock warrants issued for services</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2,745,280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440"/>
              <w:spacing w:after="0"/>
              <w:rPr>
                <w:sz w:val="20"/>
                <w:szCs w:val="20"/>
                <w:color w:val="auto"/>
              </w:rPr>
            </w:pPr>
            <w:r>
              <w:rPr>
                <w:rFonts w:ascii="Arial" w:cs="Arial" w:eastAsia="Arial" w:hAnsi="Arial"/>
                <w:sz w:val="17"/>
                <w:szCs w:val="17"/>
                <w:color w:val="auto"/>
              </w:rPr>
              <w:t>Changes in: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Accounts receivable</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(4,892)</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600"/>
              <w:spacing w:after="0"/>
              <w:rPr>
                <w:sz w:val="20"/>
                <w:szCs w:val="20"/>
                <w:color w:val="auto"/>
              </w:rPr>
            </w:pPr>
            <w:r>
              <w:rPr>
                <w:rFonts w:ascii="Arial" w:cs="Arial" w:eastAsia="Arial" w:hAnsi="Arial"/>
                <w:sz w:val="17"/>
                <w:szCs w:val="17"/>
                <w:color w:val="auto"/>
              </w:rPr>
              <w:t>Prepaid expenses</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(7,514)</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(10,806)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Loan receivable</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1,346</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600"/>
              <w:spacing w:after="0"/>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(160,083)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(55,908)</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11,781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Accrued expenses</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(41,933)</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TOTAL ADJUSTMENTS</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732,801</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308,314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4,125,258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NET CASH (USED BY)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tcPr>
          <w:p>
            <w:pPr>
              <w:ind w:left="1380"/>
              <w:spacing w:after="0"/>
              <w:rPr>
                <w:sz w:val="20"/>
                <w:szCs w:val="20"/>
                <w:color w:val="auto"/>
              </w:rPr>
            </w:pPr>
            <w:r>
              <w:rPr>
                <w:rFonts w:ascii="Arial" w:cs="Arial" w:eastAsia="Arial" w:hAnsi="Arial"/>
                <w:sz w:val="17"/>
                <w:szCs w:val="17"/>
                <w:color w:val="auto"/>
              </w:rPr>
              <w:t>OPERATING ACTIVITIES</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(1,492,274)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(594,644)</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(2,894,447)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Purchases of property and equipment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(16,888)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tcPr>
          <w:p>
            <w:pPr>
              <w:ind w:left="440"/>
              <w:spacing w:after="0"/>
              <w:rPr>
                <w:sz w:val="20"/>
                <w:szCs w:val="20"/>
                <w:color w:val="auto"/>
              </w:rPr>
            </w:pPr>
            <w:r>
              <w:rPr>
                <w:rFonts w:ascii="Arial" w:cs="Arial" w:eastAsia="Arial" w:hAnsi="Arial"/>
                <w:sz w:val="17"/>
                <w:szCs w:val="17"/>
                <w:color w:val="auto"/>
              </w:rPr>
              <w:t>Website site development costs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(26,875)</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(154,133)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1220"/>
              <w:spacing w:after="0"/>
              <w:rPr>
                <w:sz w:val="20"/>
                <w:szCs w:val="20"/>
                <w:color w:val="auto"/>
              </w:rPr>
            </w:pPr>
            <w:r>
              <w:rPr>
                <w:rFonts w:ascii="Arial" w:cs="Arial" w:eastAsia="Arial" w:hAnsi="Arial"/>
                <w:sz w:val="17"/>
                <w:szCs w:val="17"/>
                <w:color w:val="auto"/>
              </w:rPr>
              <w:t>NET CASH (USED BY)</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shd w:val="clear" w:color="auto" w:fill="CCEEFF"/>
          </w:tcPr>
          <w:p>
            <w:pPr>
              <w:ind w:left="1380"/>
              <w:spacing w:after="0"/>
              <w:rPr>
                <w:sz w:val="20"/>
                <w:szCs w:val="20"/>
                <w:color w:val="auto"/>
              </w:rPr>
            </w:pPr>
            <w:r>
              <w:rPr>
                <w:rFonts w:ascii="Arial" w:cs="Arial" w:eastAsia="Arial" w:hAnsi="Arial"/>
                <w:sz w:val="17"/>
                <w:szCs w:val="17"/>
                <w:color w:val="auto"/>
              </w:rPr>
              <w:t>INVESTING ACTIVITIES</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(29,168)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(171,021)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440"/>
              <w:spacing w:after="0"/>
              <w:rPr>
                <w:sz w:val="20"/>
                <w:szCs w:val="20"/>
                <w:color w:val="auto"/>
              </w:rPr>
            </w:pPr>
            <w:r>
              <w:rPr>
                <w:rFonts w:ascii="Arial" w:cs="Arial" w:eastAsia="Arial" w:hAnsi="Arial"/>
                <w:sz w:val="17"/>
                <w:szCs w:val="17"/>
                <w:color w:val="auto"/>
              </w:rPr>
              <w:t>Members capital contributions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404,600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Issuance of common stock</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635,000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936,000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440"/>
              <w:spacing w:after="0"/>
              <w:rPr>
                <w:sz w:val="20"/>
                <w:szCs w:val="20"/>
                <w:color w:val="auto"/>
              </w:rPr>
            </w:pPr>
            <w:r>
              <w:rPr>
                <w:rFonts w:ascii="Arial" w:cs="Arial" w:eastAsia="Arial" w:hAnsi="Arial"/>
                <w:sz w:val="17"/>
                <w:szCs w:val="17"/>
                <w:color w:val="auto"/>
              </w:rPr>
              <w:t>Issuance of preferred stock</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2,985,000</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2,985,000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Payments on loan payable</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(4,000)</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(324,094)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(647,750)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tcPr>
          <w:p>
            <w:pPr>
              <w:ind w:left="440"/>
              <w:spacing w:after="0"/>
              <w:rPr>
                <w:sz w:val="20"/>
                <w:szCs w:val="20"/>
                <w:color w:val="auto"/>
              </w:rPr>
            </w:pPr>
            <w:r>
              <w:rPr>
                <w:rFonts w:ascii="Arial" w:cs="Arial" w:eastAsia="Arial" w:hAnsi="Arial"/>
                <w:sz w:val="17"/>
                <w:szCs w:val="17"/>
                <w:color w:val="auto"/>
              </w:rPr>
              <w:t>Proceeds from issuance of notes payable</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394,000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1220"/>
              <w:spacing w:after="0"/>
              <w:rPr>
                <w:sz w:val="20"/>
                <w:szCs w:val="20"/>
                <w:color w:val="auto"/>
              </w:rPr>
            </w:pPr>
            <w:r>
              <w:rPr>
                <w:rFonts w:ascii="Arial" w:cs="Arial" w:eastAsia="Arial" w:hAnsi="Arial"/>
                <w:sz w:val="17"/>
                <w:szCs w:val="17"/>
                <w:color w:val="auto"/>
              </w:rPr>
              <w:t>NET CASH PROVIDED BY (USED BY)</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40" w:type="dxa"/>
            <w:vAlign w:val="bottom"/>
            <w:shd w:val="clear" w:color="auto" w:fill="CCEEFF"/>
          </w:tcPr>
          <w:p>
            <w:pPr>
              <w:ind w:left="1380"/>
              <w:spacing w:after="0"/>
              <w:rPr>
                <w:sz w:val="20"/>
                <w:szCs w:val="20"/>
                <w:color w:val="auto"/>
              </w:rPr>
            </w:pPr>
            <w:r>
              <w:rPr>
                <w:rFonts w:ascii="Arial" w:cs="Arial" w:eastAsia="Arial" w:hAnsi="Arial"/>
                <w:sz w:val="17"/>
                <w:szCs w:val="17"/>
                <w:color w:val="auto"/>
              </w:rPr>
              <w:t>FINANCING ACTIVITIES</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(4,000)</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3,295,906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4,071,850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440"/>
              <w:spacing w:after="0"/>
              <w:rPr>
                <w:sz w:val="20"/>
                <w:szCs w:val="20"/>
                <w:color w:val="auto"/>
              </w:rPr>
            </w:pPr>
            <w:r>
              <w:rPr>
                <w:rFonts w:ascii="Arial" w:cs="Arial" w:eastAsia="Arial" w:hAnsi="Arial"/>
                <w:sz w:val="17"/>
                <w:szCs w:val="17"/>
                <w:color w:val="auto"/>
              </w:rPr>
              <w:t>AND CASH EQUIVALENTS</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(1,496,274)</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2,672,094</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1,006,382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CASH AND CASH EQUIVALENTS - BEGIN OF PERIOD</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2,502,656</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135,429</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CASH AND CASH EQUIVALENTS - END OF PERIOD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1,006,382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2,807,523</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1,006,382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gridSpan w:val="2"/>
          </w:tcPr>
          <w:p>
            <w:pPr>
              <w:spacing w:after="0"/>
              <w:rPr>
                <w:sz w:val="20"/>
                <w:szCs w:val="20"/>
                <w:color w:val="auto"/>
              </w:rPr>
            </w:pPr>
            <w:r>
              <w:rPr>
                <w:rFonts w:ascii="Arial" w:cs="Arial" w:eastAsia="Arial" w:hAnsi="Arial"/>
                <w:sz w:val="17"/>
                <w:szCs w:val="17"/>
                <w:color w:val="auto"/>
              </w:rPr>
              <w:t>SUPPLEMENTAL CASH FLOW INFORMATION:</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560" w:type="dxa"/>
            <w:vAlign w:val="bottom"/>
            <w:gridSpan w:val="2"/>
          </w:tcPr>
          <w:p>
            <w:pPr>
              <w:spacing w:after="0"/>
              <w:rPr>
                <w:sz w:val="20"/>
                <w:szCs w:val="20"/>
                <w:color w:val="auto"/>
              </w:rPr>
            </w:pPr>
            <w:r>
              <w:rPr>
                <w:rFonts w:ascii="Arial" w:cs="Arial" w:eastAsia="Arial" w:hAnsi="Arial"/>
                <w:sz w:val="17"/>
                <w:szCs w:val="17"/>
                <w:color w:val="auto"/>
              </w:rPr>
              <w:t>SUPPLEMENTAL DISCLOSURE OF NONCASH</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INVESTING AND FINANCING ACTIVITIES:</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440"/>
              <w:spacing w:after="0"/>
              <w:rPr>
                <w:sz w:val="20"/>
                <w:szCs w:val="20"/>
                <w:color w:val="auto"/>
              </w:rPr>
            </w:pPr>
            <w:r>
              <w:rPr>
                <w:rFonts w:ascii="Arial" w:cs="Arial" w:eastAsia="Arial" w:hAnsi="Arial"/>
                <w:sz w:val="17"/>
                <w:szCs w:val="17"/>
                <w:color w:val="auto"/>
              </w:rPr>
              <w:t>Distributions paid through issuance of notes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payable-related party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253,750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Conversion of warrants to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705,285</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705,285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The accompanying notes are an integral part of these financial statements.</w:t>
      </w:r>
    </w:p>
    <w:p>
      <w:pPr>
        <w:sectPr>
          <w:pgSz w:w="11900" w:h="16838" w:orient="portrait"/>
          <w:cols w:equalWidth="0" w:num="1">
            <w:col w:w="10219"/>
          </w:cols>
          <w:pgMar w:left="240" w:top="121" w:right="1440" w:bottom="422" w:gutter="0" w:footer="0" w:header="0"/>
        </w:sectPr>
      </w:pP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25614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21" w:right="1440" w:bottom="422"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 DEVELOPMENT STAGE COMPANY)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2009</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1. NATURE OF BUSINESS</w:t>
      </w:r>
    </w:p>
    <w:p>
      <w:pPr>
        <w:spacing w:after="0" w:line="246" w:lineRule="exact"/>
        <w:rPr>
          <w:sz w:val="20"/>
          <w:szCs w:val="20"/>
          <w:color w:val="auto"/>
        </w:rPr>
      </w:pPr>
    </w:p>
    <w:p>
      <w:pPr>
        <w:jc w:val="both"/>
        <w:ind w:left="320"/>
        <w:spacing w:after="0" w:line="259"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206" w:lineRule="exact"/>
        <w:rPr>
          <w:sz w:val="20"/>
          <w:szCs w:val="20"/>
          <w:color w:val="auto"/>
        </w:rPr>
      </w:pPr>
    </w:p>
    <w:p>
      <w:pPr>
        <w:jc w:val="both"/>
        <w:ind w:left="320"/>
        <w:spacing w:after="0" w:line="280" w:lineRule="auto"/>
        <w:rPr>
          <w:sz w:val="20"/>
          <w:szCs w:val="20"/>
          <w:color w:val="auto"/>
        </w:rPr>
      </w:pPr>
      <w:r>
        <w:rPr>
          <w:rFonts w:ascii="Arial" w:cs="Arial" w:eastAsia="Arial" w:hAnsi="Arial"/>
          <w:sz w:val="16"/>
          <w:szCs w:val="16"/>
          <w:color w:val="auto"/>
        </w:rPr>
        <w:t>The wholly-owned subsidiary, OptimizeRx Corporation, is a development stage website publisher and marketing company that creates, promotes and fulfills custom marketing and advertising programs. The Company helps patients better afford and manage their rising healthcare costs. In addition, the Company also provides unique advertising programs to the pharmaceutical and healthcare industries. The Company's websites provide the following services: (i) OptimizeRx provides patients an opportunity to centrally review and participate in prescription and healthcare savings/support programs; (ii) OFFERx provides a platform to allow manufacturers to create, promote and fulfill new patient offer programs in over 64,000 pharmacies; and (iii) ADHERxE provides a platform that allows manufacturers to engage and monitor patients each month in exchange for activation of their monthly co-pay coupons.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2. SUMMARY OF SIGNIFICANT ACCOUNTING POLICIES</w:t>
      </w:r>
    </w:p>
    <w:p>
      <w:pPr>
        <w:spacing w:after="0" w:line="246" w:lineRule="exact"/>
        <w:rPr>
          <w:sz w:val="20"/>
          <w:szCs w:val="20"/>
          <w:color w:val="auto"/>
        </w:rPr>
      </w:pPr>
    </w:p>
    <w:p>
      <w:pPr>
        <w:jc w:val="both"/>
        <w:ind w:left="320"/>
        <w:spacing w:after="0" w:line="294" w:lineRule="auto"/>
        <w:rPr>
          <w:sz w:val="20"/>
          <w:szCs w:val="20"/>
          <w:color w:val="auto"/>
        </w:rPr>
      </w:pPr>
      <w:r>
        <w:rPr>
          <w:rFonts w:ascii="Arial" w:cs="Arial" w:eastAsia="Arial" w:hAnsi="Arial"/>
          <w:sz w:val="16"/>
          <w:szCs w:val="16"/>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Basis of Accounting</w:t>
      </w:r>
    </w:p>
    <w:p>
      <w:pPr>
        <w:spacing w:after="0" w:line="246" w:lineRule="exact"/>
        <w:rPr>
          <w:sz w:val="20"/>
          <w:szCs w:val="20"/>
          <w:color w:val="auto"/>
        </w:rPr>
      </w:pPr>
    </w:p>
    <w:p>
      <w:pPr>
        <w:jc w:val="both"/>
        <w:ind w:left="320"/>
        <w:spacing w:after="0" w:line="259" w:lineRule="auto"/>
        <w:rPr>
          <w:sz w:val="20"/>
          <w:szCs w:val="20"/>
          <w:color w:val="auto"/>
        </w:rPr>
      </w:pPr>
      <w:r>
        <w:rPr>
          <w:rFonts w:ascii="Arial" w:cs="Arial" w:eastAsia="Arial" w:hAnsi="Arial"/>
          <w:sz w:val="17"/>
          <w:szCs w:val="17"/>
          <w:color w:val="auto"/>
        </w:rPr>
        <w:t>The accompanying financial statements have been prepared using the accrual basis of accounting in accordance with accounting principles generally accepted in the United States of America. The Company is currently a development stage enterprise. All losses accumulated since the inception of the business have been considered as part of its development stage activities. Revenues are recognized as income when earned and expenses are recognized when they are incurred.</w:t>
      </w:r>
    </w:p>
    <w:p>
      <w:pPr>
        <w:ind w:left="10260"/>
        <w:spacing w:after="0"/>
        <w:rPr>
          <w:sz w:val="20"/>
          <w:szCs w:val="20"/>
          <w:color w:val="auto"/>
        </w:rPr>
      </w:pPr>
      <w:r>
        <w:rPr>
          <w:rFonts w:ascii="Arial" w:cs="Arial" w:eastAsia="Arial" w:hAnsi="Arial"/>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 DEVELOPMENT STAGE COMPANY)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2009</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2. SUMMARY OF SIGNIFICANT ACCOUNTING POLICIES (CONTINUED)</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Principles of Consolidation</w:t>
      </w:r>
    </w:p>
    <w:p>
      <w:pPr>
        <w:spacing w:after="0" w:line="246" w:lineRule="exact"/>
        <w:rPr>
          <w:sz w:val="20"/>
          <w:szCs w:val="20"/>
          <w:color w:val="auto"/>
        </w:rPr>
      </w:pPr>
    </w:p>
    <w:p>
      <w:pPr>
        <w:jc w:val="both"/>
        <w:ind w:left="320"/>
        <w:spacing w:after="0" w:line="285" w:lineRule="auto"/>
        <w:rPr>
          <w:sz w:val="20"/>
          <w:szCs w:val="20"/>
          <w:color w:val="auto"/>
        </w:rPr>
      </w:pPr>
      <w:r>
        <w:rPr>
          <w:rFonts w:ascii="Arial" w:cs="Arial" w:eastAsia="Arial" w:hAnsi="Arial"/>
          <w:sz w:val="17"/>
          <w:szCs w:val="17"/>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Cash and Cash Equivalents</w:t>
      </w:r>
    </w:p>
    <w:p>
      <w:pPr>
        <w:spacing w:after="0" w:line="246" w:lineRule="exact"/>
        <w:rPr>
          <w:sz w:val="20"/>
          <w:szCs w:val="20"/>
          <w:color w:val="auto"/>
        </w:rPr>
      </w:pPr>
    </w:p>
    <w:p>
      <w:pPr>
        <w:jc w:val="both"/>
        <w:ind w:left="320"/>
        <w:spacing w:after="0" w:line="285" w:lineRule="auto"/>
        <w:rPr>
          <w:sz w:val="20"/>
          <w:szCs w:val="20"/>
          <w:color w:val="auto"/>
        </w:rPr>
      </w:pPr>
      <w:r>
        <w:rPr>
          <w:rFonts w:ascii="Arial" w:cs="Arial" w:eastAsia="Arial" w:hAnsi="Arial"/>
          <w:sz w:val="17"/>
          <w:szCs w:val="17"/>
          <w:color w:val="auto"/>
        </w:rPr>
        <w:t>For purposes of the accompanying financial statements, the Company considers all highly liquid instruments with an initial maturity of three months or less to be cash equivalents.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246" w:lineRule="exact"/>
        <w:rPr>
          <w:sz w:val="20"/>
          <w:szCs w:val="20"/>
          <w:color w:val="auto"/>
        </w:rPr>
      </w:pPr>
    </w:p>
    <w:p>
      <w:pPr>
        <w:jc w:val="both"/>
        <w:ind w:left="320"/>
        <w:spacing w:after="0" w:line="270" w:lineRule="auto"/>
        <w:rPr>
          <w:sz w:val="20"/>
          <w:szCs w:val="20"/>
          <w:color w:val="auto"/>
        </w:rPr>
      </w:pPr>
      <w:r>
        <w:rPr>
          <w:rFonts w:ascii="Arial" w:cs="Arial" w:eastAsia="Arial" w:hAnsi="Arial"/>
          <w:sz w:val="17"/>
          <w:szCs w:val="17"/>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Property and Equipment</w:t>
      </w:r>
    </w:p>
    <w:p>
      <w:pPr>
        <w:spacing w:after="0" w:line="246" w:lineRule="exact"/>
        <w:rPr>
          <w:sz w:val="20"/>
          <w:szCs w:val="20"/>
          <w:color w:val="auto"/>
        </w:rPr>
      </w:pPr>
    </w:p>
    <w:p>
      <w:pPr>
        <w:jc w:val="both"/>
        <w:ind w:left="320"/>
        <w:spacing w:after="0" w:line="285" w:lineRule="auto"/>
        <w:rPr>
          <w:sz w:val="20"/>
          <w:szCs w:val="20"/>
          <w:color w:val="auto"/>
        </w:rPr>
      </w:pPr>
      <w:r>
        <w:rPr>
          <w:rFonts w:ascii="Arial" w:cs="Arial" w:eastAsia="Arial" w:hAnsi="Arial"/>
          <w:sz w:val="17"/>
          <w:szCs w:val="17"/>
          <w:color w:val="auto"/>
        </w:rPr>
        <w:t>The capital assets are being depreciated over their estimated useful lives using the straight-line method of depreciation for book purposes. As of October 18, 2007, the Company acquired the majority of its capital assets at the lower market cost from the Optimizer Systems, LLC.</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Research and Development</w:t>
      </w:r>
    </w:p>
    <w:p>
      <w:pPr>
        <w:spacing w:after="0" w:line="246" w:lineRule="exact"/>
        <w:rPr>
          <w:sz w:val="20"/>
          <w:szCs w:val="20"/>
          <w:color w:val="auto"/>
        </w:rPr>
      </w:pPr>
    </w:p>
    <w:p>
      <w:pPr>
        <w:jc w:val="both"/>
        <w:ind w:left="320"/>
        <w:spacing w:after="0" w:line="285"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85" w:lineRule="exact"/>
        <w:rPr>
          <w:sz w:val="20"/>
          <w:szCs w:val="20"/>
          <w:color w:val="auto"/>
        </w:rPr>
      </w:pPr>
    </w:p>
    <w:p>
      <w:pPr>
        <w:jc w:val="both"/>
        <w:ind w:left="320"/>
        <w:spacing w:after="0" w:line="285" w:lineRule="auto"/>
        <w:rPr>
          <w:sz w:val="20"/>
          <w:szCs w:val="20"/>
          <w:color w:val="auto"/>
        </w:rPr>
      </w:pPr>
      <w:r>
        <w:rPr>
          <w:rFonts w:ascii="Arial" w:cs="Arial" w:eastAsia="Arial" w:hAnsi="Arial"/>
          <w:sz w:val="17"/>
          <w:szCs w:val="17"/>
          <w:color w:val="auto"/>
        </w:rPr>
        <w:t>The Company is currently in launch phase with ADHERxE to allow pharmaceutical and healthcare manufacturers a unique way to engage and monitor patients each month in exchange for activation of their next savings offer.</w:t>
      </w:r>
    </w:p>
    <w:p>
      <w:pPr>
        <w:spacing w:after="0" w:line="185" w:lineRule="exact"/>
        <w:rPr>
          <w:sz w:val="20"/>
          <w:szCs w:val="20"/>
          <w:color w:val="auto"/>
        </w:rPr>
      </w:pPr>
    </w:p>
    <w:p>
      <w:pPr>
        <w:ind w:left="10220"/>
        <w:spacing w:after="0"/>
        <w:rPr>
          <w:sz w:val="20"/>
          <w:szCs w:val="20"/>
          <w:color w:val="auto"/>
        </w:rPr>
      </w:pPr>
      <w:r>
        <w:rPr>
          <w:rFonts w:ascii="Arial" w:cs="Arial" w:eastAsia="Arial" w:hAnsi="Arial"/>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 DEVELOPMENT STAGE COMPANY)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2009</w:t>
      </w:r>
    </w:p>
    <w:p>
      <w:pPr>
        <w:spacing w:after="0" w:line="200" w:lineRule="exact"/>
        <w:rPr>
          <w:sz w:val="20"/>
          <w:szCs w:val="20"/>
          <w:color w:val="auto"/>
        </w:rPr>
      </w:pPr>
    </w:p>
    <w:p>
      <w:pPr>
        <w:spacing w:after="0" w:line="268" w:lineRule="exact"/>
        <w:rPr>
          <w:sz w:val="20"/>
          <w:szCs w:val="20"/>
          <w:color w:val="auto"/>
        </w:rPr>
      </w:pPr>
    </w:p>
    <w:p>
      <w:pPr>
        <w:ind w:left="320" w:right="5760" w:hanging="312"/>
        <w:spacing w:after="0" w:line="542" w:lineRule="auto"/>
        <w:tabs>
          <w:tab w:leader="none" w:pos="229"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SUMMARY OF SIGNIFICANT ACCOUNTING POLICIES (CONTINUED) </w:t>
      </w:r>
      <w:r>
        <w:rPr>
          <w:rFonts w:ascii="Arial" w:cs="Arial" w:eastAsia="Arial" w:hAnsi="Arial"/>
          <w:sz w:val="17"/>
          <w:szCs w:val="17"/>
          <w:u w:val="single" w:color="auto"/>
          <w:color w:val="auto"/>
        </w:rPr>
        <w:t>Research and Development (Continued</w:t>
      </w:r>
      <w:r>
        <w:rPr>
          <w:rFonts w:ascii="Arial" w:cs="Arial" w:eastAsia="Arial" w:hAnsi="Arial"/>
          <w:sz w:val="17"/>
          <w:szCs w:val="17"/>
          <w:color w:val="auto"/>
        </w:rPr>
        <w:t>)</w:t>
      </w:r>
    </w:p>
    <w:p>
      <w:pPr>
        <w:spacing w:after="0" w:line="1" w:lineRule="exact"/>
        <w:rPr>
          <w:sz w:val="20"/>
          <w:szCs w:val="20"/>
          <w:color w:val="auto"/>
        </w:rPr>
      </w:pPr>
    </w:p>
    <w:p>
      <w:pPr>
        <w:jc w:val="both"/>
        <w:ind w:left="320"/>
        <w:spacing w:after="0" w:line="283" w:lineRule="auto"/>
        <w:rPr>
          <w:sz w:val="20"/>
          <w:szCs w:val="20"/>
          <w:color w:val="auto"/>
        </w:rPr>
      </w:pPr>
      <w:r>
        <w:rPr>
          <w:rFonts w:ascii="Arial" w:cs="Arial" w:eastAsia="Arial" w:hAnsi="Arial"/>
          <w:sz w:val="16"/>
          <w:szCs w:val="16"/>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Revenue Recognition</w:t>
      </w:r>
    </w:p>
    <w:p>
      <w:pPr>
        <w:spacing w:after="0" w:line="246" w:lineRule="exact"/>
        <w:rPr>
          <w:sz w:val="20"/>
          <w:szCs w:val="20"/>
          <w:color w:val="auto"/>
        </w:rPr>
      </w:pPr>
    </w:p>
    <w:p>
      <w:pPr>
        <w:jc w:val="both"/>
        <w:ind w:left="320"/>
        <w:spacing w:after="0" w:line="318" w:lineRule="auto"/>
        <w:rPr>
          <w:sz w:val="20"/>
          <w:szCs w:val="20"/>
          <w:color w:val="auto"/>
        </w:rPr>
      </w:pPr>
      <w:r>
        <w:rPr>
          <w:rFonts w:ascii="Arial" w:cs="Arial" w:eastAsia="Arial" w:hAnsi="Arial"/>
          <w:sz w:val="16"/>
          <w:szCs w:val="16"/>
          <w:color w:val="auto"/>
        </w:rPr>
        <w:t>Substantially all revenue is recognized when it is earned. All revenues are generated through the Company's website activities. The Company's processes are monitored by third parties who collect revenues from clients on a per activity basis and report and forward the revenue to the Company's account.</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Management Estimates</w:t>
      </w:r>
    </w:p>
    <w:p>
      <w:pPr>
        <w:spacing w:after="0" w:line="246"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Recently Issued Accounting Guidance</w:t>
      </w:r>
    </w:p>
    <w:p>
      <w:pPr>
        <w:spacing w:after="0" w:line="246" w:lineRule="exact"/>
        <w:rPr>
          <w:sz w:val="20"/>
          <w:szCs w:val="20"/>
          <w:color w:val="auto"/>
        </w:rPr>
      </w:pPr>
    </w:p>
    <w:p>
      <w:pPr>
        <w:jc w:val="both"/>
        <w:ind w:left="320"/>
        <w:spacing w:after="0" w:line="285" w:lineRule="auto"/>
        <w:rPr>
          <w:sz w:val="20"/>
          <w:szCs w:val="20"/>
          <w:color w:val="auto"/>
        </w:rPr>
      </w:pPr>
      <w:r>
        <w:rPr>
          <w:rFonts w:ascii="Arial" w:cs="Arial" w:eastAsia="Arial" w:hAnsi="Arial"/>
          <w:sz w:val="17"/>
          <w:szCs w:val="17"/>
          <w:color w:val="auto"/>
        </w:rPr>
        <w:t>The Company does not expect the adoption of recently issued accounting pronouncements to have a significant impact on the Company’s results of operations, financial position or cash flow.</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Concentration of Credit Risks</w:t>
      </w:r>
    </w:p>
    <w:p>
      <w:pPr>
        <w:spacing w:after="0" w:line="246" w:lineRule="exact"/>
        <w:rPr>
          <w:sz w:val="20"/>
          <w:szCs w:val="20"/>
          <w:color w:val="auto"/>
        </w:rPr>
      </w:pPr>
    </w:p>
    <w:p>
      <w:pPr>
        <w:jc w:val="both"/>
        <w:ind w:left="320"/>
        <w:spacing w:after="0" w:line="355" w:lineRule="auto"/>
        <w:rPr>
          <w:sz w:val="20"/>
          <w:szCs w:val="20"/>
          <w:color w:val="auto"/>
        </w:rPr>
      </w:pPr>
      <w:r>
        <w:rPr>
          <w:rFonts w:ascii="Arial" w:cs="Arial" w:eastAsia="Arial" w:hAnsi="Arial"/>
          <w:sz w:val="15"/>
          <w:szCs w:val="15"/>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39" w:lineRule="exact"/>
        <w:rPr>
          <w:sz w:val="20"/>
          <w:szCs w:val="20"/>
          <w:color w:val="auto"/>
        </w:rPr>
      </w:pPr>
    </w:p>
    <w:p>
      <w:pPr>
        <w:ind w:left="10220"/>
        <w:spacing w:after="0"/>
        <w:rPr>
          <w:sz w:val="20"/>
          <w:szCs w:val="20"/>
          <w:color w:val="auto"/>
        </w:rPr>
      </w:pPr>
      <w:r>
        <w:rPr>
          <w:rFonts w:ascii="Arial" w:cs="Arial" w:eastAsia="Arial" w:hAnsi="Arial"/>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 DEVELOPMENT STAGE COMPANY)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2009</w:t>
      </w:r>
    </w:p>
    <w:p>
      <w:pPr>
        <w:spacing w:after="0" w:line="200" w:lineRule="exact"/>
        <w:rPr>
          <w:sz w:val="20"/>
          <w:szCs w:val="20"/>
          <w:color w:val="auto"/>
        </w:rPr>
      </w:pPr>
    </w:p>
    <w:p>
      <w:pPr>
        <w:spacing w:after="0" w:line="268" w:lineRule="exact"/>
        <w:rPr>
          <w:sz w:val="20"/>
          <w:szCs w:val="20"/>
          <w:color w:val="auto"/>
        </w:rPr>
      </w:pPr>
    </w:p>
    <w:p>
      <w:pPr>
        <w:ind w:left="320" w:right="5760" w:hanging="312"/>
        <w:spacing w:after="0" w:line="542" w:lineRule="auto"/>
        <w:tabs>
          <w:tab w:leader="none" w:pos="229"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SUMMARY OF SIGNIFICANT ACCOUNTING POLICIES (CONTINUED) </w:t>
      </w:r>
      <w:r>
        <w:rPr>
          <w:rFonts w:ascii="Arial" w:cs="Arial" w:eastAsia="Arial" w:hAnsi="Arial"/>
          <w:sz w:val="17"/>
          <w:szCs w:val="17"/>
          <w:u w:val="single" w:color="auto"/>
          <w:color w:val="auto"/>
        </w:rPr>
        <w:t>Earnings Per Common and Common Equivalent Share</w:t>
      </w:r>
    </w:p>
    <w:p>
      <w:pPr>
        <w:spacing w:after="0" w:line="1" w:lineRule="exact"/>
        <w:rPr>
          <w:sz w:val="20"/>
          <w:szCs w:val="20"/>
          <w:color w:val="auto"/>
        </w:rPr>
      </w:pPr>
    </w:p>
    <w:p>
      <w:pPr>
        <w:jc w:val="both"/>
        <w:ind w:left="320"/>
        <w:spacing w:after="0" w:line="262" w:lineRule="auto"/>
        <w:rPr>
          <w:sz w:val="20"/>
          <w:szCs w:val="20"/>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September 30, 2009 and September 30, 2008, respectively, since their effect is anti-dilutive.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Basis of Presentation</w:t>
      </w:r>
    </w:p>
    <w:p>
      <w:pPr>
        <w:spacing w:after="0" w:line="246" w:lineRule="exact"/>
        <w:rPr>
          <w:sz w:val="20"/>
          <w:szCs w:val="20"/>
          <w:color w:val="auto"/>
        </w:rPr>
      </w:pPr>
    </w:p>
    <w:p>
      <w:pPr>
        <w:jc w:val="both"/>
        <w:ind w:left="320"/>
        <w:spacing w:after="0" w:line="262" w:lineRule="auto"/>
        <w:rPr>
          <w:sz w:val="20"/>
          <w:szCs w:val="20"/>
          <w:color w:val="auto"/>
        </w:rPr>
      </w:pPr>
      <w:r>
        <w:rPr>
          <w:rFonts w:ascii="Arial" w:cs="Arial" w:eastAsia="Arial" w:hAnsi="Arial"/>
          <w:sz w:val="17"/>
          <w:szCs w:val="17"/>
          <w:color w:val="auto"/>
        </w:rPr>
        <w:t>The accompanying unaudited interim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period ended December 31, 2008.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3. PROPERTY AND EQUIPMENT</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and the LLC owned equipment recorded at cost which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9/30/09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90"/>
              </w:rPr>
              <w:t>12/31/08</w:t>
            </w:r>
          </w:p>
        </w:tc>
        <w:tc>
          <w:tcPr>
            <w:tcW w:w="60" w:type="dxa"/>
            <w:vAlign w:val="bottom"/>
          </w:tcPr>
          <w:p>
            <w:pPr>
              <w:spacing w:after="0"/>
              <w:rPr>
                <w:sz w:val="19"/>
                <w:szCs w:val="19"/>
                <w:color w:val="auto"/>
              </w:rPr>
            </w:pPr>
          </w:p>
        </w:tc>
      </w:tr>
      <w:tr>
        <w:trPr>
          <w:trHeight w:val="403"/>
        </w:trPr>
        <w:tc>
          <w:tcPr>
            <w:tcW w:w="4280" w:type="dxa"/>
            <w:vAlign w:val="bottom"/>
          </w:tcPr>
          <w:p>
            <w:pPr>
              <w:spacing w:after="0"/>
              <w:rPr>
                <w:sz w:val="20"/>
                <w:szCs w:val="20"/>
                <w:color w:val="auto"/>
              </w:rPr>
            </w:pPr>
            <w:r>
              <w:rPr>
                <w:rFonts w:ascii="Arial" w:cs="Arial" w:eastAsia="Arial" w:hAnsi="Arial"/>
                <w:sz w:val="17"/>
                <w:szCs w:val="17"/>
                <w:color w:val="auto"/>
              </w:rPr>
              <w:t>Computer equipment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w w:val="87"/>
              </w:rPr>
              <w:t>$ 12,594</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12,594</w:t>
            </w:r>
          </w:p>
        </w:tc>
      </w:tr>
      <w:tr>
        <w:trPr>
          <w:trHeight w:val="208"/>
        </w:trPr>
        <w:tc>
          <w:tcPr>
            <w:tcW w:w="4280" w:type="dxa"/>
            <w:vAlign w:val="bottom"/>
          </w:tcPr>
          <w:p>
            <w:pPr>
              <w:spacing w:after="0"/>
              <w:rPr>
                <w:sz w:val="20"/>
                <w:szCs w:val="20"/>
                <w:color w:val="auto"/>
              </w:rPr>
            </w:pPr>
            <w:r>
              <w:rPr>
                <w:rFonts w:ascii="Arial" w:cs="Arial" w:eastAsia="Arial" w:hAnsi="Arial"/>
                <w:sz w:val="17"/>
                <w:szCs w:val="17"/>
                <w:color w:val="auto"/>
              </w:rPr>
              <w:t>Furniture and fixtures</w:t>
            </w:r>
          </w:p>
        </w:tc>
        <w:tc>
          <w:tcPr>
            <w:tcW w:w="600" w:type="dxa"/>
            <w:vAlign w:val="bottom"/>
          </w:tcPr>
          <w:p>
            <w:pPr>
              <w:jc w:val="right"/>
              <w:spacing w:after="0"/>
              <w:rPr>
                <w:sz w:val="20"/>
                <w:szCs w:val="20"/>
                <w:color w:val="auto"/>
              </w:rPr>
            </w:pPr>
            <w:r>
              <w:rPr>
                <w:rFonts w:ascii="Arial" w:cs="Arial" w:eastAsia="Arial" w:hAnsi="Arial"/>
                <w:sz w:val="17"/>
                <w:szCs w:val="17"/>
                <w:color w:val="auto"/>
              </w:rPr>
              <w:t>4,294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4,294</w:t>
            </w:r>
          </w:p>
        </w:tc>
      </w:tr>
      <w:tr>
        <w:trPr>
          <w:trHeight w:val="208"/>
        </w:trPr>
        <w:tc>
          <w:tcPr>
            <w:tcW w:w="4280" w:type="dxa"/>
            <w:vAlign w:val="bottom"/>
          </w:tcPr>
          <w:p>
            <w:pPr>
              <w:ind w:left="220"/>
              <w:spacing w:after="0"/>
              <w:rPr>
                <w:sz w:val="20"/>
                <w:szCs w:val="20"/>
                <w:color w:val="auto"/>
              </w:rPr>
            </w:pPr>
            <w:r>
              <w:rPr>
                <w:rFonts w:ascii="Arial" w:cs="Arial" w:eastAsia="Arial" w:hAnsi="Arial"/>
                <w:sz w:val="17"/>
                <w:szCs w:val="17"/>
                <w:color w:val="auto"/>
              </w:rPr>
              <w:t>Subtotal</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16,888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16,888</w:t>
            </w:r>
          </w:p>
        </w:tc>
      </w:tr>
      <w:tr>
        <w:trPr>
          <w:trHeight w:val="226"/>
        </w:trPr>
        <w:tc>
          <w:tcPr>
            <w:tcW w:w="428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720" w:type="dxa"/>
            <w:vAlign w:val="bottom"/>
            <w:gridSpan w:val="3"/>
          </w:tcPr>
          <w:p>
            <w:pPr>
              <w:jc w:val="right"/>
              <w:ind w:right="60"/>
              <w:spacing w:after="0"/>
              <w:rPr>
                <w:sz w:val="20"/>
                <w:szCs w:val="20"/>
                <w:color w:val="auto"/>
              </w:rPr>
            </w:pPr>
            <w:r>
              <w:rPr>
                <w:rFonts w:ascii="Arial" w:cs="Arial" w:eastAsia="Arial" w:hAnsi="Arial"/>
                <w:sz w:val="17"/>
                <w:szCs w:val="17"/>
                <w:color w:val="auto"/>
              </w:rPr>
              <w:t>(2,884)</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(1,618)</w:t>
            </w:r>
          </w:p>
        </w:tc>
      </w:tr>
      <w:tr>
        <w:trPr>
          <w:trHeight w:val="208"/>
        </w:trPr>
        <w:tc>
          <w:tcPr>
            <w:tcW w:w="428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$ 14,004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15,270</w:t>
            </w:r>
          </w:p>
        </w:tc>
        <w:tc>
          <w:tcPr>
            <w:tcW w:w="6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Depreciation expense was $1,266 and $1,323 for the nine months ended September 30, 2009 and the year ended December 31, 2008, respectively.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 DEVELOPMENT STAGE COMPANY)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2009</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4. WEBSITE DEVELOPMENT COSTS</w:t>
      </w:r>
    </w:p>
    <w:p>
      <w:pPr>
        <w:spacing w:after="0" w:line="2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Company has capitalized costs in developing their website, which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0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9/30/09</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12/31/08</w:t>
            </w:r>
          </w:p>
        </w:tc>
        <w:tc>
          <w:tcPr>
            <w:tcW w:w="60" w:type="dxa"/>
            <w:vAlign w:val="bottom"/>
          </w:tcPr>
          <w:p>
            <w:pPr>
              <w:spacing w:after="0"/>
              <w:rPr>
                <w:sz w:val="19"/>
                <w:szCs w:val="19"/>
                <w:color w:val="auto"/>
              </w:rPr>
            </w:pPr>
          </w:p>
        </w:tc>
      </w:tr>
      <w:tr>
        <w:trPr>
          <w:trHeight w:val="422"/>
        </w:trPr>
        <w:tc>
          <w:tcPr>
            <w:tcW w:w="4200" w:type="dxa"/>
            <w:vAlign w:val="bottom"/>
          </w:tcPr>
          <w:p>
            <w:pPr>
              <w:spacing w:after="0"/>
              <w:rPr>
                <w:sz w:val="20"/>
                <w:szCs w:val="20"/>
                <w:color w:val="auto"/>
              </w:rPr>
            </w:pPr>
            <w:r>
              <w:rPr>
                <w:rFonts w:ascii="Arial" w:cs="Arial" w:eastAsia="Arial" w:hAnsi="Arial"/>
                <w:sz w:val="17"/>
                <w:szCs w:val="17"/>
                <w:color w:val="auto"/>
              </w:rPr>
              <w:t>Website costs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7"/>
              </w:rPr>
              <w:t>154,133</w:t>
            </w: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154,133</w:t>
            </w:r>
          </w:p>
        </w:tc>
      </w:tr>
      <w:tr>
        <w:trPr>
          <w:trHeight w:val="208"/>
        </w:trPr>
        <w:tc>
          <w:tcPr>
            <w:tcW w:w="4200" w:type="dxa"/>
            <w:vAlign w:val="bottom"/>
          </w:tcPr>
          <w:p>
            <w:pPr>
              <w:spacing w:after="0"/>
              <w:rPr>
                <w:sz w:val="20"/>
                <w:szCs w:val="20"/>
                <w:color w:val="auto"/>
              </w:rPr>
            </w:pPr>
            <w:r>
              <w:rPr>
                <w:rFonts w:ascii="Arial" w:cs="Arial" w:eastAsia="Arial" w:hAnsi="Arial"/>
                <w:sz w:val="17"/>
                <w:szCs w:val="17"/>
                <w:color w:val="auto"/>
              </w:rPr>
              <w:t>Accumulated amortization</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(56,516</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(33,396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6"/>
        </w:trPr>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16"/>
        </w:trPr>
        <w:tc>
          <w:tcPr>
            <w:tcW w:w="4200" w:type="dxa"/>
            <w:vAlign w:val="bottom"/>
          </w:tcPr>
          <w:p>
            <w:pPr>
              <w:ind w:left="180"/>
              <w:spacing w:after="0"/>
              <w:rPr>
                <w:sz w:val="20"/>
                <w:szCs w:val="20"/>
                <w:color w:val="auto"/>
              </w:rPr>
            </w:pPr>
            <w:r>
              <w:rPr>
                <w:rFonts w:ascii="Arial" w:cs="Arial" w:eastAsia="Arial" w:hAnsi="Arial"/>
                <w:sz w:val="17"/>
                <w:szCs w:val="17"/>
                <w:color w:val="auto"/>
              </w:rPr>
              <w:t>Website development costs,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97,617</w:t>
            </w: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120,737</w:t>
            </w:r>
          </w:p>
        </w:tc>
      </w:tr>
      <w:tr>
        <w:trPr>
          <w:trHeight w:val="20"/>
        </w:trPr>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left="620"/>
        <w:spacing w:after="0" w:line="285" w:lineRule="auto"/>
        <w:rPr>
          <w:sz w:val="20"/>
          <w:szCs w:val="20"/>
          <w:color w:val="auto"/>
        </w:rPr>
      </w:pPr>
      <w:r>
        <w:rPr>
          <w:rFonts w:ascii="Arial" w:cs="Arial" w:eastAsia="Arial" w:hAnsi="Arial"/>
          <w:sz w:val="17"/>
          <w:szCs w:val="17"/>
          <w:color w:val="auto"/>
        </w:rPr>
        <w:t>The Company began amortizing the website costs, using the straight-line method over the estimated useful life of five years, once it was put into service in December 2007.</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Amortization expense was $23,120 and $30,827 for the nine months ended September 30, 2009 and the year ended December 31, 2008, respectively.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00" w:type="dxa"/>
            <w:vAlign w:val="bottom"/>
          </w:tcPr>
          <w:p>
            <w:pPr>
              <w:spacing w:after="0"/>
              <w:rPr>
                <w:sz w:val="20"/>
                <w:szCs w:val="20"/>
                <w:color w:val="auto"/>
              </w:rPr>
            </w:pPr>
            <w:r>
              <w:rPr>
                <w:rFonts w:ascii="Arial" w:cs="Arial" w:eastAsia="Arial" w:hAnsi="Arial"/>
                <w:sz w:val="17"/>
                <w:szCs w:val="17"/>
                <w:color w:val="auto"/>
              </w:rPr>
              <w:t>5. ACCRUED EXPENSES</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4300" w:type="dxa"/>
            <w:vAlign w:val="bottom"/>
          </w:tcPr>
          <w:p>
            <w:pPr>
              <w:ind w:left="320"/>
              <w:spacing w:after="0"/>
              <w:rPr>
                <w:sz w:val="20"/>
                <w:szCs w:val="20"/>
                <w:color w:val="auto"/>
              </w:rPr>
            </w:pPr>
            <w:r>
              <w:rPr>
                <w:rFonts w:ascii="Arial" w:cs="Arial" w:eastAsia="Arial" w:hAnsi="Arial"/>
                <w:sz w:val="17"/>
                <w:szCs w:val="17"/>
                <w:color w:val="auto"/>
              </w:rPr>
              <w:t>Accrued expenses consisted of the following:</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4300" w:type="dxa"/>
            <w:vAlign w:val="bottom"/>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5"/>
              </w:rPr>
              <w:t>9/30/09</w:t>
            </w:r>
          </w:p>
        </w:tc>
        <w:tc>
          <w:tcPr>
            <w:tcW w:w="100" w:type="dxa"/>
            <w:vAlign w:val="bottom"/>
          </w:tcPr>
          <w:p>
            <w:pPr>
              <w:spacing w:after="0"/>
              <w:rPr>
                <w:sz w:val="24"/>
                <w:szCs w:val="2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93"/>
              </w:rPr>
              <w:t>12/31/08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300" w:type="dxa"/>
            <w:vAlign w:val="bottom"/>
          </w:tcPr>
          <w:p>
            <w:pPr>
              <w:spacing w:after="0"/>
              <w:rPr>
                <w:sz w:val="20"/>
                <w:szCs w:val="20"/>
                <w:color w:val="auto"/>
              </w:rPr>
            </w:pPr>
            <w:r>
              <w:rPr>
                <w:rFonts w:ascii="Arial" w:cs="Arial" w:eastAsia="Arial" w:hAnsi="Arial"/>
                <w:sz w:val="17"/>
                <w:szCs w:val="17"/>
                <w:color w:val="auto"/>
              </w:rPr>
              <w:t>Accrued interest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1,683</w:t>
            </w:r>
          </w:p>
        </w:tc>
        <w:tc>
          <w:tcPr>
            <w:tcW w:w="0" w:type="dxa"/>
            <w:vAlign w:val="bottom"/>
          </w:tcPr>
          <w:p>
            <w:pPr>
              <w:spacing w:after="0"/>
              <w:rPr>
                <w:sz w:val="1"/>
                <w:szCs w:val="1"/>
                <w:color w:val="auto"/>
              </w:rPr>
            </w:pPr>
          </w:p>
        </w:tc>
      </w:tr>
      <w:tr>
        <w:trPr>
          <w:trHeight w:val="214"/>
        </w:trPr>
        <w:tc>
          <w:tcPr>
            <w:tcW w:w="4300" w:type="dxa"/>
            <w:vAlign w:val="bottom"/>
          </w:tcPr>
          <w:p>
            <w:pPr>
              <w:spacing w:after="0"/>
              <w:rPr>
                <w:sz w:val="20"/>
                <w:szCs w:val="20"/>
                <w:color w:val="auto"/>
              </w:rPr>
            </w:pPr>
            <w:r>
              <w:rPr>
                <w:rFonts w:ascii="Arial" w:cs="Arial" w:eastAsia="Arial" w:hAnsi="Arial"/>
                <w:sz w:val="17"/>
                <w:szCs w:val="17"/>
                <w:color w:val="auto"/>
              </w:rPr>
              <w:t>Accrued expenses</w:t>
            </w:r>
          </w:p>
        </w:tc>
        <w:tc>
          <w:tcPr>
            <w:tcW w:w="2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tcPr>
          <w:p>
            <w:pPr>
              <w:spacing w:after="0"/>
              <w:rPr>
                <w:sz w:val="20"/>
                <w:szCs w:val="20"/>
                <w:color w:val="auto"/>
              </w:rPr>
            </w:pPr>
            <w:r>
              <w:rPr>
                <w:rFonts w:ascii="Arial" w:cs="Arial" w:eastAsia="Arial" w:hAnsi="Arial"/>
                <w:sz w:val="17"/>
                <w:szCs w:val="17"/>
                <w:color w:val="auto"/>
              </w:rPr>
              <w:t>Accrued payroll taxes</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24,091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tcPr>
          <w:p>
            <w:pPr>
              <w:spacing w:after="0"/>
              <w:rPr>
                <w:sz w:val="20"/>
                <w:szCs w:val="20"/>
                <w:color w:val="auto"/>
              </w:rPr>
            </w:pPr>
            <w:r>
              <w:rPr>
                <w:rFonts w:ascii="Arial" w:cs="Arial" w:eastAsia="Arial" w:hAnsi="Arial"/>
                <w:sz w:val="17"/>
                <w:szCs w:val="17"/>
                <w:color w:val="auto"/>
              </w:rPr>
              <w:t>Accrued audit fees</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4300" w:type="dxa"/>
            <w:vAlign w:val="bottom"/>
          </w:tcPr>
          <w:p>
            <w:pPr>
              <w:ind w:left="160"/>
              <w:spacing w:after="0"/>
              <w:rPr>
                <w:sz w:val="20"/>
                <w:szCs w:val="20"/>
                <w:color w:val="auto"/>
              </w:rPr>
            </w:pPr>
            <w:r>
              <w:rPr>
                <w:rFonts w:ascii="Arial" w:cs="Arial" w:eastAsia="Arial" w:hAnsi="Arial"/>
                <w:sz w:val="17"/>
                <w:szCs w:val="17"/>
                <w:color w:val="auto"/>
              </w:rPr>
              <w:t>Accrued expenses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41,933</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7"/>
                <w:szCs w:val="17"/>
                <w:color w:val="auto"/>
              </w:rPr>
              <w:t>6. NOTES PAYABLE - RELATED PARTY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Notes payable - related party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0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5"/>
              </w:rPr>
              <w:t>9/30/09</w:t>
            </w:r>
          </w:p>
        </w:tc>
        <w:tc>
          <w:tcPr>
            <w:tcW w:w="120" w:type="dxa"/>
            <w:vAlign w:val="bottom"/>
          </w:tcPr>
          <w:p>
            <w:pPr>
              <w:spacing w:after="0"/>
              <w:rPr>
                <w:sz w:val="19"/>
                <w:szCs w:val="19"/>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90"/>
              </w:rPr>
              <w:t>12/31/08</w:t>
            </w:r>
          </w:p>
        </w:tc>
        <w:tc>
          <w:tcPr>
            <w:tcW w:w="60" w:type="dxa"/>
            <w:vAlign w:val="bottom"/>
          </w:tcPr>
          <w:p>
            <w:pPr>
              <w:spacing w:after="0"/>
              <w:rPr>
                <w:sz w:val="19"/>
                <w:szCs w:val="19"/>
                <w:color w:val="auto"/>
              </w:rPr>
            </w:pPr>
          </w:p>
        </w:tc>
      </w:tr>
      <w:tr>
        <w:trPr>
          <w:trHeight w:val="422"/>
        </w:trPr>
        <w:tc>
          <w:tcPr>
            <w:tcW w:w="4300" w:type="dxa"/>
            <w:vAlign w:val="bottom"/>
          </w:tcPr>
          <w:p>
            <w:pPr>
              <w:spacing w:after="0"/>
              <w:rPr>
                <w:sz w:val="20"/>
                <w:szCs w:val="20"/>
                <w:color w:val="auto"/>
              </w:rPr>
            </w:pPr>
            <w:r>
              <w:rPr>
                <w:rFonts w:ascii="Arial" w:cs="Arial" w:eastAsia="Arial" w:hAnsi="Arial"/>
                <w:sz w:val="17"/>
                <w:szCs w:val="17"/>
                <w:color w:val="auto"/>
              </w:rPr>
              <w:t>Note payable - David Harrell</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4,000</w:t>
            </w:r>
          </w:p>
        </w:tc>
      </w:tr>
      <w:tr>
        <w:trPr>
          <w:trHeight w:val="214"/>
        </w:trPr>
        <w:tc>
          <w:tcPr>
            <w:tcW w:w="4300" w:type="dxa"/>
            <w:vAlign w:val="bottom"/>
          </w:tcPr>
          <w:p>
            <w:pPr>
              <w:ind w:left="180"/>
              <w:spacing w:after="0"/>
              <w:rPr>
                <w:sz w:val="20"/>
                <w:szCs w:val="20"/>
                <w:color w:val="auto"/>
              </w:rPr>
            </w:pPr>
            <w:r>
              <w:rPr>
                <w:rFonts w:ascii="Arial" w:cs="Arial" w:eastAsia="Arial" w:hAnsi="Arial"/>
                <w:sz w:val="17"/>
                <w:szCs w:val="17"/>
                <w:color w:val="auto"/>
              </w:rPr>
              <w:t>Less: current portion</w:t>
            </w: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(4,000)</w:t>
            </w:r>
          </w:p>
        </w:tc>
        <w:tc>
          <w:tcPr>
            <w:tcW w:w="60" w:type="dxa"/>
            <w:vAlign w:val="bottom"/>
          </w:tcPr>
          <w:p>
            <w:pPr>
              <w:spacing w:after="0"/>
              <w:rPr>
                <w:sz w:val="18"/>
                <w:szCs w:val="18"/>
                <w:color w:val="auto"/>
              </w:rPr>
            </w:pPr>
          </w:p>
        </w:tc>
      </w:tr>
      <w:tr>
        <w:trPr>
          <w:trHeight w:val="416"/>
        </w:trPr>
        <w:tc>
          <w:tcPr>
            <w:tcW w:w="4300" w:type="dxa"/>
            <w:vAlign w:val="bottom"/>
          </w:tcPr>
          <w:p>
            <w:pPr>
              <w:ind w:left="180"/>
              <w:spacing w:after="0"/>
              <w:rPr>
                <w:sz w:val="20"/>
                <w:szCs w:val="20"/>
                <w:color w:val="auto"/>
              </w:rPr>
            </w:pPr>
            <w:r>
              <w:rPr>
                <w:rFonts w:ascii="Arial" w:cs="Arial" w:eastAsia="Arial" w:hAnsi="Arial"/>
                <w:sz w:val="17"/>
                <w:szCs w:val="17"/>
                <w:color w:val="auto"/>
              </w:rPr>
              <w:t>Long-term debt</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r>
      <w:tr>
        <w:trPr>
          <w:trHeight w:val="20"/>
        </w:trPr>
        <w:tc>
          <w:tcPr>
            <w:tcW w:w="4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note payable to David Harrell is due on demand, bears 9% interest and was paid off in April 2009.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 DEVELOPMENT STAGE COMPANY)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2009</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7. COMMITMENTS AND CONTINGENCIES</w:t>
      </w:r>
    </w:p>
    <w:p>
      <w:pPr>
        <w:spacing w:after="0" w:line="246" w:lineRule="exact"/>
        <w:rPr>
          <w:sz w:val="20"/>
          <w:szCs w:val="20"/>
          <w:color w:val="auto"/>
        </w:rPr>
      </w:pPr>
    </w:p>
    <w:p>
      <w:pPr>
        <w:jc w:val="both"/>
        <w:ind w:left="320"/>
        <w:spacing w:after="0" w:line="285" w:lineRule="auto"/>
        <w:rPr>
          <w:sz w:val="20"/>
          <w:szCs w:val="20"/>
          <w:color w:val="auto"/>
        </w:rPr>
      </w:pPr>
      <w:r>
        <w:rPr>
          <w:rFonts w:ascii="Arial" w:cs="Arial" w:eastAsia="Arial" w:hAnsi="Arial"/>
          <w:sz w:val="17"/>
          <w:szCs w:val="17"/>
          <w:color w:val="auto"/>
        </w:rPr>
        <w:t>The Company leases their offices for $2,500 a month and has signed a lease through November 7, 2009 with an option for a six month renewal. The option has not been exercised and the company will be on a month-to-month rental.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60" w:type="dxa"/>
            <w:vAlign w:val="bottom"/>
          </w:tcPr>
          <w:p>
            <w:pPr>
              <w:spacing w:after="0"/>
              <w:rPr>
                <w:sz w:val="20"/>
                <w:szCs w:val="20"/>
                <w:color w:val="auto"/>
              </w:rPr>
            </w:pPr>
            <w:r>
              <w:rPr>
                <w:rFonts w:ascii="Arial" w:cs="Arial" w:eastAsia="Arial" w:hAnsi="Arial"/>
                <w:sz w:val="17"/>
                <w:szCs w:val="17"/>
                <w:color w:val="auto"/>
              </w:rPr>
              <w:t>September 30, 2010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416"/>
        </w:trPr>
        <w:tc>
          <w:tcPr>
            <w:tcW w:w="5060" w:type="dxa"/>
            <w:vAlign w:val="bottom"/>
          </w:tcPr>
          <w:p>
            <w:pPr>
              <w:ind w:left="180"/>
              <w:spacing w:after="0"/>
              <w:rPr>
                <w:sz w:val="20"/>
                <w:szCs w:val="20"/>
                <w:color w:val="auto"/>
              </w:rPr>
            </w:pPr>
            <w:r>
              <w:rPr>
                <w:rFonts w:ascii="Arial" w:cs="Arial" w:eastAsia="Arial" w:hAnsi="Arial"/>
                <w:sz w:val="17"/>
                <w:szCs w:val="17"/>
                <w:color w:val="auto"/>
              </w:rPr>
              <w:t>Total lease obligation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7"/>
                <w:szCs w:val="17"/>
                <w:color w:val="auto"/>
              </w:rPr>
              <w:t>8. DIVIDEND DISTRIBUTION</w:t>
            </w: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320"/>
        <w:spacing w:after="0" w:line="285" w:lineRule="auto"/>
        <w:rPr>
          <w:sz w:val="20"/>
          <w:szCs w:val="20"/>
          <w:color w:val="auto"/>
        </w:rPr>
      </w:pPr>
      <w:r>
        <w:rPr>
          <w:rFonts w:ascii="Arial" w:cs="Arial" w:eastAsia="Arial" w:hAnsi="Arial"/>
          <w:sz w:val="17"/>
          <w:szCs w:val="17"/>
          <w:color w:val="auto"/>
        </w:rPr>
        <w:t>The Company recorded a one-time, non-cash deemed dividend on October 18, 2007 of $33,461. This dividend resulted due to the continuous efforts of acquiring all the assets from Optimizer Systems, LLC. Through this dividend, the Company acquired all assets and liabilities of the LLC.</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9. COMMON STOCK</w:t>
      </w:r>
    </w:p>
    <w:p>
      <w:pPr>
        <w:spacing w:after="0" w:line="246" w:lineRule="exact"/>
        <w:rPr>
          <w:sz w:val="20"/>
          <w:szCs w:val="20"/>
          <w:color w:val="auto"/>
        </w:rPr>
      </w:pPr>
    </w:p>
    <w:p>
      <w:pPr>
        <w:jc w:val="both"/>
        <w:ind w:left="320"/>
        <w:spacing w:after="0" w:line="285" w:lineRule="auto"/>
        <w:rPr>
          <w:sz w:val="20"/>
          <w:szCs w:val="20"/>
          <w:color w:val="auto"/>
        </w:rPr>
      </w:pPr>
      <w:r>
        <w:rPr>
          <w:rFonts w:ascii="Arial" w:cs="Arial" w:eastAsia="Arial" w:hAnsi="Arial"/>
          <w:sz w:val="17"/>
          <w:szCs w:val="17"/>
          <w:color w:val="auto"/>
        </w:rPr>
        <w:t>OptimizeRx Corporation has 500,000,000 shares of $.001 par value common stock authorized as of September 30, 2009. There were 12,726,117 and 12,262,958 common shares issued and outstanding at September 30, 2009 and December 31, 2008, respectively.</w:t>
      </w:r>
    </w:p>
    <w:p>
      <w:pPr>
        <w:spacing w:after="0" w:line="185" w:lineRule="exact"/>
        <w:rPr>
          <w:sz w:val="20"/>
          <w:szCs w:val="20"/>
          <w:color w:val="auto"/>
        </w:rPr>
      </w:pPr>
    </w:p>
    <w:p>
      <w:pPr>
        <w:jc w:val="both"/>
        <w:ind w:left="320"/>
        <w:spacing w:after="0" w:line="285" w:lineRule="auto"/>
        <w:rPr>
          <w:sz w:val="20"/>
          <w:szCs w:val="20"/>
          <w:color w:val="auto"/>
        </w:rPr>
      </w:pPr>
      <w:r>
        <w:rPr>
          <w:rFonts w:ascii="Arial" w:cs="Arial" w:eastAsia="Arial" w:hAnsi="Arial"/>
          <w:sz w:val="17"/>
          <w:szCs w:val="17"/>
          <w:color w:val="auto"/>
        </w:rPr>
        <w:t>Pursuant to the share exchange agreement with RFID, Ltd., 100% of OptimizeRx’s stock was exchanged for 10,664,000 shares of RFID’s common stock. At the time of the share exchange, RFID had an additional 1,256,958 shares of common stock issued and outstanding.</w:t>
      </w:r>
    </w:p>
    <w:p>
      <w:pPr>
        <w:spacing w:after="0" w:line="185"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color w:val="auto"/>
        </w:rPr>
        <w:t>During 2008, 636,000 shares of common stock were sold for cash. Additionally, 197,251 and 70,000 shares were issued as compensation for services during the nine months ended September 30, 2009 and the year ended December 31, 2008, respectively. Included in operating expenses at September 30, 2009 is $921,491 for the issuance of these 197,251 shares. There were 265,908 shares issued as a cashless exchange of common stock warrants during the nine months ended September 30, 2009.</w:t>
      </w:r>
    </w:p>
    <w:p>
      <w:pPr>
        <w:spacing w:after="0" w:line="202" w:lineRule="exact"/>
        <w:rPr>
          <w:sz w:val="20"/>
          <w:szCs w:val="20"/>
          <w:color w:val="auto"/>
        </w:rPr>
      </w:pPr>
    </w:p>
    <w:p>
      <w:pPr>
        <w:ind w:left="320" w:hanging="307"/>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PREFERRED STOCK</w:t>
      </w:r>
    </w:p>
    <w:p>
      <w:pPr>
        <w:spacing w:after="0" w:line="246" w:lineRule="exact"/>
        <w:rPr>
          <w:rFonts w:ascii="Arial" w:cs="Arial" w:eastAsia="Arial" w:hAnsi="Arial"/>
          <w:sz w:val="17"/>
          <w:szCs w:val="17"/>
          <w:color w:val="auto"/>
        </w:rPr>
      </w:pPr>
    </w:p>
    <w:p>
      <w:pPr>
        <w:jc w:val="both"/>
        <w:ind w:left="320"/>
        <w:spacing w:after="0" w:line="270" w:lineRule="auto"/>
        <w:rPr>
          <w:rFonts w:ascii="Arial" w:cs="Arial" w:eastAsia="Arial" w:hAnsi="Arial"/>
          <w:sz w:val="17"/>
          <w:szCs w:val="17"/>
          <w:color w:val="auto"/>
        </w:rPr>
      </w:pPr>
      <w:r>
        <w:rPr>
          <w:rFonts w:ascii="Arial" w:cs="Arial" w:eastAsia="Arial" w:hAnsi="Arial"/>
          <w:sz w:val="17"/>
          <w:szCs w:val="17"/>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 DEVELOPMENT STAGE COMPANY)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2009</w:t>
      </w:r>
    </w:p>
    <w:p>
      <w:pPr>
        <w:spacing w:after="0" w:line="200" w:lineRule="exact"/>
        <w:rPr>
          <w:sz w:val="20"/>
          <w:szCs w:val="20"/>
          <w:color w:val="auto"/>
        </w:rPr>
      </w:pPr>
    </w:p>
    <w:p>
      <w:pPr>
        <w:spacing w:after="0" w:line="268" w:lineRule="exact"/>
        <w:rPr>
          <w:sz w:val="20"/>
          <w:szCs w:val="20"/>
          <w:color w:val="auto"/>
        </w:rPr>
      </w:pPr>
    </w:p>
    <w:p>
      <w:pPr>
        <w:ind w:left="320" w:hanging="30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PREFERRED STOCK (CONTINUED)</w:t>
      </w:r>
    </w:p>
    <w:p>
      <w:pPr>
        <w:spacing w:after="0" w:line="246" w:lineRule="exact"/>
        <w:rPr>
          <w:rFonts w:ascii="Arial" w:cs="Arial" w:eastAsia="Arial" w:hAnsi="Arial"/>
          <w:sz w:val="17"/>
          <w:szCs w:val="17"/>
          <w:color w:val="auto"/>
        </w:rPr>
      </w:pPr>
    </w:p>
    <w:p>
      <w:pPr>
        <w:jc w:val="both"/>
        <w:ind w:left="320"/>
        <w:spacing w:after="0" w:line="261" w:lineRule="auto"/>
        <w:rPr>
          <w:rFonts w:ascii="Arial" w:cs="Arial" w:eastAsia="Arial" w:hAnsi="Arial"/>
          <w:sz w:val="17"/>
          <w:szCs w:val="17"/>
          <w:color w:val="auto"/>
        </w:rPr>
      </w:pPr>
      <w:r>
        <w:rPr>
          <w:rFonts w:ascii="Arial" w:cs="Arial" w:eastAsia="Arial" w:hAnsi="Arial"/>
          <w:sz w:val="17"/>
          <w:szCs w:val="17"/>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205" w:lineRule="exact"/>
        <w:rPr>
          <w:rFonts w:ascii="Arial" w:cs="Arial" w:eastAsia="Arial" w:hAnsi="Arial"/>
          <w:sz w:val="17"/>
          <w:szCs w:val="17"/>
          <w:color w:val="auto"/>
        </w:rPr>
      </w:pPr>
    </w:p>
    <w:p>
      <w:pPr>
        <w:jc w:val="both"/>
        <w:ind w:left="320"/>
        <w:spacing w:after="0" w:line="294" w:lineRule="auto"/>
        <w:rPr>
          <w:rFonts w:ascii="Arial" w:cs="Arial" w:eastAsia="Arial" w:hAnsi="Arial"/>
          <w:sz w:val="17"/>
          <w:szCs w:val="17"/>
          <w:color w:val="auto"/>
        </w:rPr>
      </w:pPr>
      <w:r>
        <w:rPr>
          <w:rFonts w:ascii="Arial" w:cs="Arial" w:eastAsia="Arial" w:hAnsi="Arial"/>
          <w:sz w:val="16"/>
          <w:szCs w:val="16"/>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September 5, 2010. As of September 30, 2009, the cumulative dividend was $197,774; however, it has not yet been declared.</w:t>
      </w:r>
    </w:p>
    <w:p>
      <w:pPr>
        <w:spacing w:after="0" w:line="181" w:lineRule="exact"/>
        <w:rPr>
          <w:rFonts w:ascii="Arial" w:cs="Arial" w:eastAsia="Arial" w:hAnsi="Arial"/>
          <w:sz w:val="17"/>
          <w:szCs w:val="17"/>
          <w:color w:val="auto"/>
        </w:rPr>
      </w:pPr>
    </w:p>
    <w:p>
      <w:pPr>
        <w:ind w:left="300" w:hanging="294"/>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STOCK-BASED COMPENSATION</w:t>
      </w:r>
    </w:p>
    <w:p>
      <w:pPr>
        <w:spacing w:after="0" w:line="246" w:lineRule="exact"/>
        <w:rPr>
          <w:rFonts w:ascii="Arial" w:cs="Arial" w:eastAsia="Arial" w:hAnsi="Arial"/>
          <w:sz w:val="17"/>
          <w:szCs w:val="17"/>
          <w:color w:val="auto"/>
        </w:rPr>
      </w:pPr>
    </w:p>
    <w:p>
      <w:pPr>
        <w:jc w:val="both"/>
        <w:ind w:left="320"/>
        <w:spacing w:after="0" w:line="294" w:lineRule="auto"/>
        <w:rPr>
          <w:rFonts w:ascii="Arial" w:cs="Arial" w:eastAsia="Arial" w:hAnsi="Arial"/>
          <w:sz w:val="17"/>
          <w:szCs w:val="17"/>
          <w:color w:val="auto"/>
        </w:rPr>
      </w:pPr>
      <w:r>
        <w:rPr>
          <w:rFonts w:ascii="Arial" w:cs="Arial" w:eastAsia="Arial" w:hAnsi="Arial"/>
          <w:sz w:val="16"/>
          <w:szCs w:val="16"/>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181" w:lineRule="exact"/>
        <w:rPr>
          <w:rFonts w:ascii="Arial" w:cs="Arial" w:eastAsia="Arial" w:hAnsi="Arial"/>
          <w:sz w:val="17"/>
          <w:szCs w:val="17"/>
          <w:color w:val="auto"/>
        </w:rPr>
      </w:pPr>
    </w:p>
    <w:p>
      <w:pPr>
        <w:jc w:val="both"/>
        <w:ind w:left="320"/>
        <w:spacing w:after="0" w:line="260" w:lineRule="auto"/>
        <w:rPr>
          <w:rFonts w:ascii="Arial" w:cs="Arial" w:eastAsia="Arial" w:hAnsi="Arial"/>
          <w:sz w:val="17"/>
          <w:szCs w:val="17"/>
          <w:color w:val="auto"/>
        </w:rPr>
      </w:pPr>
      <w:r>
        <w:rPr>
          <w:rFonts w:ascii="Arial" w:cs="Arial" w:eastAsia="Arial" w:hAnsi="Arial"/>
          <w:sz w:val="17"/>
          <w:szCs w:val="17"/>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the compensation costs for all share-based payments granted based on the grant date fair value estimated in accordance with the provisions of SFAS 123(R).</w:t>
      </w:r>
    </w:p>
    <w:p>
      <w:pPr>
        <w:spacing w:after="0" w:line="206" w:lineRule="exact"/>
        <w:rPr>
          <w:rFonts w:ascii="Arial" w:cs="Arial" w:eastAsia="Arial" w:hAnsi="Arial"/>
          <w:sz w:val="17"/>
          <w:szCs w:val="17"/>
          <w:color w:val="auto"/>
        </w:rPr>
      </w:pPr>
    </w:p>
    <w:p>
      <w:pPr>
        <w:jc w:val="both"/>
        <w:ind w:left="320"/>
        <w:spacing w:after="0" w:line="270" w:lineRule="auto"/>
        <w:rPr>
          <w:rFonts w:ascii="Arial" w:cs="Arial" w:eastAsia="Arial" w:hAnsi="Arial"/>
          <w:sz w:val="17"/>
          <w:szCs w:val="17"/>
          <w:color w:val="auto"/>
        </w:rPr>
      </w:pPr>
      <w:r>
        <w:rPr>
          <w:rFonts w:ascii="Arial" w:cs="Arial" w:eastAsia="Arial" w:hAnsi="Arial"/>
          <w:sz w:val="17"/>
          <w:szCs w:val="17"/>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 The Company recognized expense of $333,004 on the 365,000 options issued on March 5, 2008.</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 DEVELOPMENT STAGE COMPANY)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2009</w:t>
      </w:r>
    </w:p>
    <w:p>
      <w:pPr>
        <w:spacing w:after="0" w:line="200" w:lineRule="exact"/>
        <w:rPr>
          <w:sz w:val="20"/>
          <w:szCs w:val="20"/>
          <w:color w:val="auto"/>
        </w:rPr>
      </w:pPr>
    </w:p>
    <w:p>
      <w:pPr>
        <w:spacing w:after="0" w:line="268" w:lineRule="exact"/>
        <w:rPr>
          <w:sz w:val="20"/>
          <w:szCs w:val="20"/>
          <w:color w:val="auto"/>
        </w:rPr>
      </w:pPr>
    </w:p>
    <w:p>
      <w:pPr>
        <w:ind w:left="320" w:hanging="307"/>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STOCK WARRANTS</w:t>
      </w:r>
    </w:p>
    <w:p>
      <w:pPr>
        <w:spacing w:after="0" w:line="246" w:lineRule="exact"/>
        <w:rPr>
          <w:rFonts w:ascii="Arial" w:cs="Arial" w:eastAsia="Arial" w:hAnsi="Arial"/>
          <w:sz w:val="17"/>
          <w:szCs w:val="17"/>
          <w:color w:val="auto"/>
        </w:rPr>
      </w:pPr>
    </w:p>
    <w:p>
      <w:pPr>
        <w:jc w:val="both"/>
        <w:ind w:left="320"/>
        <w:spacing w:after="0" w:line="270" w:lineRule="auto"/>
        <w:rPr>
          <w:rFonts w:ascii="Arial" w:cs="Arial" w:eastAsia="Arial" w:hAnsi="Arial"/>
          <w:sz w:val="17"/>
          <w:szCs w:val="17"/>
          <w:color w:val="auto"/>
        </w:rPr>
      </w:pPr>
      <w:r>
        <w:rPr>
          <w:rFonts w:ascii="Arial" w:cs="Arial" w:eastAsia="Arial" w:hAnsi="Arial"/>
          <w:sz w:val="17"/>
          <w:szCs w:val="17"/>
          <w:color w:val="auto"/>
        </w:rPr>
        <w:t>During the year ended December 31, 2008, OptimizeRx issued 6,000,000 common stock warrants with an exercise price of $2 and a term of seven years in connection with the preferred stock issuance. These warrants were valued using the Black-Scholes pricing model at $14,160,000. The warrants are treated as a re-distribution of equity and are shown as a component of equity.</w:t>
      </w:r>
    </w:p>
    <w:p>
      <w:pPr>
        <w:spacing w:after="0" w:line="197" w:lineRule="exact"/>
        <w:rPr>
          <w:rFonts w:ascii="Arial" w:cs="Arial" w:eastAsia="Arial" w:hAnsi="Arial"/>
          <w:sz w:val="17"/>
          <w:szCs w:val="17"/>
          <w:color w:val="auto"/>
        </w:rPr>
      </w:pPr>
    </w:p>
    <w:p>
      <w:pPr>
        <w:jc w:val="both"/>
        <w:ind w:left="320"/>
        <w:spacing w:after="0" w:line="270" w:lineRule="auto"/>
        <w:rPr>
          <w:rFonts w:ascii="Arial" w:cs="Arial" w:eastAsia="Arial" w:hAnsi="Arial"/>
          <w:sz w:val="17"/>
          <w:szCs w:val="17"/>
          <w:color w:val="auto"/>
        </w:rPr>
      </w:pPr>
      <w:r>
        <w:rPr>
          <w:rFonts w:ascii="Arial" w:cs="Arial" w:eastAsia="Arial" w:hAnsi="Arial"/>
          <w:sz w:val="17"/>
          <w:szCs w:val="17"/>
          <w:color w:val="auto"/>
        </w:rPr>
        <w:t>During the year ended December 31, 2008, OptimizeRx issued 1,059,500 common stock warrants were issued in exchange for services. These warrants were issued with exercise prices of either $1 or $2 and a term of five years. The Black-Scholes method was used to value these warrants at $2,745,280 and the warrants were expensed during 2008.</w:t>
      </w:r>
    </w:p>
    <w:p>
      <w:pPr>
        <w:spacing w:after="0" w:line="197" w:lineRule="exact"/>
        <w:rPr>
          <w:rFonts w:ascii="Arial" w:cs="Arial" w:eastAsia="Arial" w:hAnsi="Arial"/>
          <w:sz w:val="17"/>
          <w:szCs w:val="17"/>
          <w:color w:val="auto"/>
        </w:rPr>
      </w:pPr>
    </w:p>
    <w:p>
      <w:pPr>
        <w:ind w:left="320"/>
        <w:spacing w:after="0" w:line="285" w:lineRule="auto"/>
        <w:rPr>
          <w:rFonts w:ascii="Arial" w:cs="Arial" w:eastAsia="Arial" w:hAnsi="Arial"/>
          <w:sz w:val="17"/>
          <w:szCs w:val="17"/>
          <w:color w:val="auto"/>
        </w:rPr>
      </w:pPr>
      <w:r>
        <w:rPr>
          <w:rFonts w:ascii="Arial" w:cs="Arial" w:eastAsia="Arial" w:hAnsi="Arial"/>
          <w:sz w:val="17"/>
          <w:szCs w:val="17"/>
          <w:color w:val="auto"/>
        </w:rPr>
        <w:t>The fair value of each warrant issued in 2008 was calculated on the date of grant using the Black-Scholes option-pricing model with the following weighted average assumptions: dividend yield of 0%, expected volatility of 6%, risk-free interest rate of 1.85% and expected life of 60 - 84 months.</w:t>
      </w:r>
    </w:p>
    <w:p>
      <w:pPr>
        <w:spacing w:after="0" w:line="185" w:lineRule="exact"/>
        <w:rPr>
          <w:rFonts w:ascii="Arial" w:cs="Arial" w:eastAsia="Arial" w:hAnsi="Arial"/>
          <w:sz w:val="17"/>
          <w:szCs w:val="17"/>
          <w:color w:val="auto"/>
        </w:rPr>
      </w:pPr>
    </w:p>
    <w:p>
      <w:pPr>
        <w:jc w:val="both"/>
        <w:ind w:left="320"/>
        <w:spacing w:after="0" w:line="270" w:lineRule="auto"/>
        <w:rPr>
          <w:rFonts w:ascii="Arial" w:cs="Arial" w:eastAsia="Arial" w:hAnsi="Arial"/>
          <w:sz w:val="17"/>
          <w:szCs w:val="17"/>
          <w:color w:val="auto"/>
        </w:rPr>
      </w:pPr>
      <w:r>
        <w:rPr>
          <w:rFonts w:ascii="Arial" w:cs="Arial" w:eastAsia="Arial" w:hAnsi="Arial"/>
          <w:sz w:val="17"/>
          <w:szCs w:val="17"/>
          <w:color w:val="auto"/>
        </w:rPr>
        <w:t>During the nine months ended September 30, 2009, the Company exchanged 173,000 common stock warrants with an exercise price of $1 and 108,908 common stock warrants with an exercise price of $2, for 265,908 shares of common stock in a cashless exchange. This exchange has been reflected in the Stockholders' equity for 2009.</w:t>
      </w:r>
    </w:p>
    <w:p>
      <w:pPr>
        <w:spacing w:after="0" w:line="197" w:lineRule="exact"/>
        <w:rPr>
          <w:rFonts w:ascii="Arial" w:cs="Arial" w:eastAsia="Arial" w:hAnsi="Arial"/>
          <w:sz w:val="17"/>
          <w:szCs w:val="17"/>
          <w:color w:val="auto"/>
        </w:rPr>
      </w:pPr>
    </w:p>
    <w:p>
      <w:pPr>
        <w:ind w:left="320" w:hanging="307"/>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RELATED PARTY TRANSACTIONS</w:t>
      </w:r>
    </w:p>
    <w:p>
      <w:pPr>
        <w:spacing w:after="0" w:line="246" w:lineRule="exact"/>
        <w:rPr>
          <w:rFonts w:ascii="Arial" w:cs="Arial" w:eastAsia="Arial" w:hAnsi="Arial"/>
          <w:sz w:val="17"/>
          <w:szCs w:val="17"/>
          <w:color w:val="auto"/>
        </w:rPr>
      </w:pPr>
    </w:p>
    <w:p>
      <w:pPr>
        <w:jc w:val="both"/>
        <w:ind w:left="320"/>
        <w:spacing w:after="0" w:line="270" w:lineRule="auto"/>
        <w:rPr>
          <w:rFonts w:ascii="Arial" w:cs="Arial" w:eastAsia="Arial" w:hAnsi="Arial"/>
          <w:sz w:val="17"/>
          <w:szCs w:val="17"/>
          <w:color w:val="auto"/>
        </w:rPr>
      </w:pPr>
      <w:r>
        <w:rPr>
          <w:rFonts w:ascii="Arial" w:cs="Arial" w:eastAsia="Arial" w:hAnsi="Arial"/>
          <w:sz w:val="17"/>
          <w:szCs w:val="17"/>
          <w:color w:val="auto"/>
        </w:rPr>
        <w:t>The Company had engaged an officer of the Company for management services under a contract that paid him $48,000 for the period ended April 30, 2008 and $114,500 for the year ended December 31, 2008. The Company paid $36,000 through September 30, 2008 and the expense is included in operating expenses. The officer became an employee of the Company beginning on May 1, 2008.</w:t>
      </w:r>
    </w:p>
    <w:p>
      <w:pPr>
        <w:spacing w:after="0" w:line="197" w:lineRule="exact"/>
        <w:rPr>
          <w:rFonts w:ascii="Arial" w:cs="Arial" w:eastAsia="Arial" w:hAnsi="Arial"/>
          <w:sz w:val="17"/>
          <w:szCs w:val="17"/>
          <w:color w:val="auto"/>
        </w:rPr>
      </w:pPr>
    </w:p>
    <w:p>
      <w:pPr>
        <w:ind w:left="320"/>
        <w:spacing w:after="0" w:line="285" w:lineRule="auto"/>
        <w:rPr>
          <w:rFonts w:ascii="Arial" w:cs="Arial" w:eastAsia="Arial" w:hAnsi="Arial"/>
          <w:sz w:val="17"/>
          <w:szCs w:val="17"/>
          <w:color w:val="auto"/>
        </w:rPr>
      </w:pPr>
      <w:r>
        <w:rPr>
          <w:rFonts w:ascii="Arial" w:cs="Arial" w:eastAsia="Arial" w:hAnsi="Arial"/>
          <w:sz w:val="17"/>
          <w:szCs w:val="17"/>
          <w:color w:val="auto"/>
        </w:rPr>
        <w:t>Upon the transfer of the assets and liabilities from the LLC to the Company, the LLC members were issued promissory notes totaling $253,750 under a dilution agreement for a portion of their interests in Optimizer Systems, LLC.</w:t>
      </w:r>
    </w:p>
    <w:p>
      <w:pPr>
        <w:spacing w:after="0" w:line="185" w:lineRule="exact"/>
        <w:rPr>
          <w:rFonts w:ascii="Arial" w:cs="Arial" w:eastAsia="Arial" w:hAnsi="Arial"/>
          <w:sz w:val="17"/>
          <w:szCs w:val="17"/>
          <w:color w:val="auto"/>
        </w:rPr>
      </w:pPr>
    </w:p>
    <w:p>
      <w:pPr>
        <w:ind w:left="320"/>
        <w:spacing w:after="0" w:line="318" w:lineRule="auto"/>
        <w:rPr>
          <w:rFonts w:ascii="Arial" w:cs="Arial" w:eastAsia="Arial" w:hAnsi="Arial"/>
          <w:sz w:val="17"/>
          <w:szCs w:val="17"/>
          <w:color w:val="auto"/>
        </w:rPr>
      </w:pPr>
      <w:r>
        <w:rPr>
          <w:rFonts w:ascii="Arial" w:cs="Arial" w:eastAsia="Arial" w:hAnsi="Arial"/>
          <w:sz w:val="16"/>
          <w:szCs w:val="16"/>
          <w:color w:val="auto"/>
        </w:rPr>
        <w:t>The Company had a $50,000 note payable to a shareholder (see Note 6) that was repaid during the year ended December 31, 2008. In addition there was a note to an officer of the Company (see Note 6) for $4,000 at December 31, 2008 that was repaid during the nine months ended September 30,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 DEVELOPMENT STAGE COMPANY)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2009</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14. INCOME TAXES</w:t>
      </w:r>
    </w:p>
    <w:p>
      <w:pPr>
        <w:spacing w:after="0" w:line="246" w:lineRule="exact"/>
        <w:rPr>
          <w:sz w:val="20"/>
          <w:szCs w:val="20"/>
          <w:color w:val="auto"/>
        </w:rPr>
      </w:pPr>
    </w:p>
    <w:p>
      <w:pPr>
        <w:jc w:val="both"/>
        <w:ind w:left="620"/>
        <w:spacing w:after="0" w:line="286" w:lineRule="auto"/>
        <w:rPr>
          <w:sz w:val="20"/>
          <w:szCs w:val="20"/>
          <w:color w:val="auto"/>
        </w:rPr>
      </w:pPr>
      <w:r>
        <w:rPr>
          <w:rFonts w:ascii="Arial" w:cs="Arial" w:eastAsia="Arial" w:hAnsi="Arial"/>
          <w:sz w:val="16"/>
          <w:szCs w:val="16"/>
          <w:color w:val="auto"/>
        </w:rPr>
        <w:t>For the nine months ended September 30, 2009, the Company incurred a net loss of approximately $2,225,000 and therefore has no tax liability. The Company began operations in 2007 and has previous net operating loss carry-forwards of $1,513,000 through December 31, 2008. The cumulative loss will be carried forward and can be used through the year 2028 to offset future taxable income. In the future, the cumulative net operating loss carry-forward for income tax purposes may differ from the cumulative financial statement loss due to timing differences between book and tax reporting.</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cumulative tax effect at the expected rate of 34% of significant items comprising our net deferred tax amount is as follows:</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226"/>
        </w:trPr>
        <w:tc>
          <w:tcPr>
            <w:tcW w:w="3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9/30/09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93"/>
              </w:rPr>
              <w:t>12/31/08</w:t>
            </w:r>
          </w:p>
        </w:tc>
        <w:tc>
          <w:tcPr>
            <w:tcW w:w="60" w:type="dxa"/>
            <w:vAlign w:val="bottom"/>
          </w:tcPr>
          <w:p>
            <w:pPr>
              <w:spacing w:after="0"/>
              <w:rPr>
                <w:sz w:val="19"/>
                <w:szCs w:val="19"/>
                <w:color w:val="auto"/>
              </w:rPr>
            </w:pPr>
          </w:p>
        </w:tc>
      </w:tr>
      <w:tr>
        <w:trPr>
          <w:trHeight w:val="195"/>
        </w:trPr>
        <w:tc>
          <w:tcPr>
            <w:tcW w:w="3520" w:type="dxa"/>
            <w:vAlign w:val="bottom"/>
          </w:tcPr>
          <w:p>
            <w:pPr>
              <w:spacing w:after="0"/>
              <w:rPr>
                <w:sz w:val="20"/>
                <w:szCs w:val="20"/>
                <w:color w:val="auto"/>
              </w:rPr>
            </w:pPr>
            <w:r>
              <w:rPr>
                <w:rFonts w:ascii="Arial" w:cs="Arial" w:eastAsia="Arial" w:hAnsi="Arial"/>
                <w:sz w:val="17"/>
                <w:szCs w:val="17"/>
                <w:color w:val="auto"/>
              </w:rPr>
              <w:t>Deferred tax asset attributable to:</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8"/>
        </w:trPr>
        <w:tc>
          <w:tcPr>
            <w:tcW w:w="3520" w:type="dxa"/>
            <w:vAlign w:val="bottom"/>
          </w:tcPr>
          <w:p>
            <w:pPr>
              <w:ind w:left="80"/>
              <w:spacing w:after="0"/>
              <w:rPr>
                <w:sz w:val="20"/>
                <w:szCs w:val="20"/>
                <w:color w:val="auto"/>
              </w:rPr>
            </w:pPr>
            <w:r>
              <w:rPr>
                <w:rFonts w:ascii="Arial" w:cs="Arial" w:eastAsia="Arial" w:hAnsi="Arial"/>
                <w:sz w:val="17"/>
                <w:szCs w:val="17"/>
                <w:color w:val="auto"/>
              </w:rPr>
              <w:t>Net operating loss carryover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2,269,000</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1,513,000</w:t>
            </w:r>
          </w:p>
        </w:tc>
      </w:tr>
      <w:tr>
        <w:trPr>
          <w:trHeight w:val="220"/>
        </w:trPr>
        <w:tc>
          <w:tcPr>
            <w:tcW w:w="3520" w:type="dxa"/>
            <w:vAlign w:val="bottom"/>
          </w:tcPr>
          <w:p>
            <w:pPr>
              <w:ind w:left="80"/>
              <w:spacing w:after="0"/>
              <w:rPr>
                <w:sz w:val="20"/>
                <w:szCs w:val="20"/>
                <w:color w:val="auto"/>
              </w:rPr>
            </w:pPr>
            <w:r>
              <w:rPr>
                <w:rFonts w:ascii="Arial" w:cs="Arial" w:eastAsia="Arial" w:hAnsi="Arial"/>
                <w:sz w:val="17"/>
                <w:szCs w:val="17"/>
                <w:color w:val="auto"/>
              </w:rPr>
              <w:t>Valuation allowance</w:t>
            </w: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(2,269,000)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91"/>
              </w:rPr>
              <w:t>(1,513,000)</w:t>
            </w:r>
          </w:p>
        </w:tc>
      </w:tr>
      <w:tr>
        <w:trPr>
          <w:trHeight w:val="26"/>
        </w:trPr>
        <w:tc>
          <w:tcPr>
            <w:tcW w:w="3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16"/>
        </w:trPr>
        <w:tc>
          <w:tcPr>
            <w:tcW w:w="3520" w:type="dxa"/>
            <w:vAlign w:val="bottom"/>
          </w:tcPr>
          <w:p>
            <w:pPr>
              <w:ind w:left="260"/>
              <w:spacing w:after="0"/>
              <w:rPr>
                <w:sz w:val="20"/>
                <w:szCs w:val="20"/>
                <w:color w:val="auto"/>
              </w:rPr>
            </w:pPr>
            <w:r>
              <w:rPr>
                <w:rFonts w:ascii="Arial" w:cs="Arial" w:eastAsia="Arial" w:hAnsi="Arial"/>
                <w:sz w:val="17"/>
                <w:szCs w:val="17"/>
                <w:color w:val="auto"/>
              </w:rPr>
              <w:t>Net deferred tax asset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r>
      <w:tr>
        <w:trPr>
          <w:trHeight w:val="20"/>
        </w:trPr>
        <w:tc>
          <w:tcPr>
            <w:tcW w:w="3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left="320" w:hanging="30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GOING CONCERN</w:t>
      </w:r>
    </w:p>
    <w:p>
      <w:pPr>
        <w:spacing w:after="0" w:line="246" w:lineRule="exact"/>
        <w:rPr>
          <w:rFonts w:ascii="Arial" w:cs="Arial" w:eastAsia="Arial" w:hAnsi="Arial"/>
          <w:sz w:val="17"/>
          <w:szCs w:val="17"/>
          <w:color w:val="auto"/>
        </w:rPr>
      </w:pPr>
    </w:p>
    <w:p>
      <w:pPr>
        <w:ind w:left="320"/>
        <w:spacing w:after="0" w:line="285" w:lineRule="auto"/>
        <w:rPr>
          <w:rFonts w:ascii="Arial" w:cs="Arial" w:eastAsia="Arial" w:hAnsi="Arial"/>
          <w:sz w:val="17"/>
          <w:szCs w:val="17"/>
          <w:color w:val="auto"/>
        </w:rPr>
      </w:pPr>
      <w:r>
        <w:rPr>
          <w:rFonts w:ascii="Arial" w:cs="Arial" w:eastAsia="Arial" w:hAnsi="Arial"/>
          <w:sz w:val="17"/>
          <w:szCs w:val="17"/>
          <w:color w:val="auto"/>
        </w:rPr>
        <w:t>The accompanying financial statements have been prepared assuming that the Company will continue as a going concern. The Company has sustained substantial losses since inception.</w:t>
      </w:r>
    </w:p>
    <w:p>
      <w:pPr>
        <w:spacing w:after="0" w:line="185" w:lineRule="exact"/>
        <w:rPr>
          <w:rFonts w:ascii="Arial" w:cs="Arial" w:eastAsia="Arial" w:hAnsi="Arial"/>
          <w:sz w:val="17"/>
          <w:szCs w:val="17"/>
          <w:color w:val="auto"/>
        </w:rPr>
      </w:pPr>
    </w:p>
    <w:p>
      <w:pPr>
        <w:jc w:val="both"/>
        <w:ind w:left="320"/>
        <w:spacing w:after="0" w:line="270" w:lineRule="auto"/>
        <w:rPr>
          <w:rFonts w:ascii="Arial" w:cs="Arial" w:eastAsia="Arial" w:hAnsi="Arial"/>
          <w:sz w:val="17"/>
          <w:szCs w:val="17"/>
          <w:color w:val="auto"/>
        </w:rPr>
      </w:pPr>
      <w:r>
        <w:rPr>
          <w:rFonts w:ascii="Arial" w:cs="Arial" w:eastAsia="Arial" w:hAnsi="Arial"/>
          <w:sz w:val="17"/>
          <w:szCs w:val="17"/>
          <w:color w:val="auto"/>
        </w:rPr>
        <w:t>In view of this matter, the ability of the Company to continue as a going concern is dependent upon growth of revenues and the ability of the Company to raise additional capital. Management believes that its successful ability to raise capital and increases in revenues will provide the opportunity for the Company to continue as a going concern.</w:t>
      </w:r>
    </w:p>
    <w:p>
      <w:pPr>
        <w:spacing w:after="0" w:line="197" w:lineRule="exact"/>
        <w:rPr>
          <w:rFonts w:ascii="Arial" w:cs="Arial" w:eastAsia="Arial" w:hAnsi="Arial"/>
          <w:sz w:val="17"/>
          <w:szCs w:val="17"/>
          <w:color w:val="auto"/>
        </w:rPr>
      </w:pPr>
    </w:p>
    <w:p>
      <w:pPr>
        <w:ind w:left="320" w:hanging="30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SUBSEQUENT EVENTS</w:t>
      </w:r>
    </w:p>
    <w:p>
      <w:pPr>
        <w:spacing w:after="0" w:line="246" w:lineRule="exact"/>
        <w:rPr>
          <w:rFonts w:ascii="Arial" w:cs="Arial" w:eastAsia="Arial" w:hAnsi="Arial"/>
          <w:sz w:val="17"/>
          <w:szCs w:val="17"/>
          <w:color w:val="auto"/>
        </w:rPr>
      </w:pPr>
    </w:p>
    <w:p>
      <w:pPr>
        <w:ind w:left="320"/>
        <w:spacing w:after="0" w:line="285" w:lineRule="auto"/>
        <w:rPr>
          <w:rFonts w:ascii="Arial" w:cs="Arial" w:eastAsia="Arial" w:hAnsi="Arial"/>
          <w:sz w:val="17"/>
          <w:szCs w:val="17"/>
          <w:color w:val="auto"/>
        </w:rPr>
      </w:pPr>
      <w:r>
        <w:rPr>
          <w:rFonts w:ascii="Arial" w:cs="Arial" w:eastAsia="Arial" w:hAnsi="Arial"/>
          <w:sz w:val="17"/>
          <w:szCs w:val="17"/>
          <w:color w:val="auto"/>
        </w:rPr>
        <w:t>The Company has analyzed its operations subsequent to September 30, 2009 through November 23, 2009 and has determined that it does not have any material subsequent events to disclose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26"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25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conduct all of our operations through our wholly-owned subsidiary, OptimizeRx Michigan. We are a development-stage company that has developed a website, www.optimizerx.com (our “Site”), to help medical patients better afford and manage their rising healthcare costs. In addition, we provide unique advertising programs to the pharmaceutical and healthcare industries.</w:t>
      </w:r>
    </w:p>
    <w:p>
      <w:pPr>
        <w:spacing w:after="0" w:line="198"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We recognize that patients have increasing influence in their healthcare decisions, particularly in their medications: what to buy, where to buy, and how to buy. However, there is very little information available to consumers regarding how to access available savings and support programs. We developed our Site to enable consumers to meet their prescribed pharmacological therapies in the most cost-effective manner possible. Our Site is a portal that identifies programs and savings that are available to consumers, based upon their needs. By creating a portal by which consumers access savings on their pharmaceutical needs, we have also created a Site where pharmaceutical companies can reach consumers with their advertising and other programs.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Since our formation, we have concentrated on developing our business strategy and obtaining financing. We plan to expand awareness, traffic and database to our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Site, as well as the launch of our offer development systems OFFERx™ and ADHERxE. We expect that the primary components of our business will be: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620" w:hanging="166"/>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Site and our network affiliates</w:t>
      </w:r>
    </w:p>
    <w:p>
      <w:pPr>
        <w:spacing w:after="0" w:line="24" w:lineRule="exact"/>
        <w:rPr>
          <w:rFonts w:ascii="Arial" w:cs="Arial" w:eastAsia="Arial" w:hAnsi="Arial"/>
          <w:sz w:val="17"/>
          <w:szCs w:val="17"/>
          <w:color w:val="auto"/>
        </w:rPr>
      </w:pPr>
    </w:p>
    <w:p>
      <w:pPr>
        <w:ind w:left="620" w:hanging="166"/>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OFFERx to develop, promote and fulfill new offers from pharmaceutical and healthcare manufactures</w:t>
      </w:r>
    </w:p>
    <w:p>
      <w:pPr>
        <w:spacing w:after="0" w:line="233" w:lineRule="exact"/>
        <w:rPr>
          <w:rFonts w:ascii="Arial" w:cs="Arial" w:eastAsia="Arial" w:hAnsi="Arial"/>
          <w:sz w:val="17"/>
          <w:szCs w:val="17"/>
          <w:color w:val="auto"/>
        </w:rPr>
      </w:pPr>
    </w:p>
    <w:p>
      <w:pPr>
        <w:ind w:left="620" w:hanging="166"/>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ADHERxE to allow manufacturers to re-engage their customers through the activation of new savings each month</w:t>
      </w:r>
    </w:p>
    <w:p>
      <w:pPr>
        <w:spacing w:after="0" w:line="200" w:lineRule="exact"/>
        <w:rPr>
          <w:sz w:val="20"/>
          <w:szCs w:val="20"/>
          <w:color w:val="auto"/>
        </w:rPr>
      </w:pPr>
    </w:p>
    <w:p>
      <w:pPr>
        <w:spacing w:after="0" w:line="254"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We plan to generate revenues through: (i) advertising sales from our Site and affiliate network; (ii) its database; (iii) direct marketing and sponsorships and (iv) our platforms to create, promote and manage new savings offers for additional clients.</w:t>
      </w:r>
    </w:p>
    <w:p>
      <w:pPr>
        <w:spacing w:after="0" w:line="18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have acquired over a million members to date. Upon this, management has been preparing and addressing all key issues to successfully serve and monetize the membership database, including: content, procurement of advertising sponsorships, technology and distribution. We originally planned to extend our reach and visibility through increased online, print and broadcast marketing to increase traffic and our database of qualified health care consumers. However, with our current membership base, along with the short period of time since acquiring the majority of our members and the sales cycle of attaining sponsorship and industry advertising programs to this new asset, we have not engaged in marketing to our database.</w:t>
      </w:r>
    </w:p>
    <w:p>
      <w:pPr>
        <w:spacing w:after="0" w:line="206"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Management continues to believe the OPTIMIZERx database will be a very significant, on-going revenue stream over time. Currently we have over 10 advertising proposals pending to major pharmaceutical companies and agencies, including Lilly, AstraZeneca, Publicis and Novartis.</w:t>
      </w:r>
    </w:p>
    <w:p>
      <w:pPr>
        <w:spacing w:after="0" w:line="185" w:lineRule="exact"/>
        <w:rPr>
          <w:sz w:val="20"/>
          <w:szCs w:val="20"/>
          <w:color w:val="auto"/>
        </w:rPr>
      </w:pPr>
    </w:p>
    <w:p>
      <w:pPr>
        <w:spacing w:after="0" w:line="355" w:lineRule="auto"/>
        <w:rPr>
          <w:sz w:val="20"/>
          <w:szCs w:val="20"/>
          <w:color w:val="auto"/>
        </w:rPr>
      </w:pPr>
      <w:r>
        <w:rPr>
          <w:rFonts w:ascii="Arial" w:cs="Arial" w:eastAsia="Arial" w:hAnsi="Arial"/>
          <w:sz w:val="15"/>
          <w:szCs w:val="15"/>
          <w:color w:val="auto"/>
        </w:rPr>
        <w:t>The company has aggressive plans to initiate advertising programs to its members in the second half of the year. This includes leveraging our formalized partnership with Cegedim Dendrite (www.cegedimdendrite.com), ValueClick Media (www.valueclick.com) and Sudler &amp; Hennessey (http://sudler.com/), a division of WPP.</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Three and Nine Months Ended September 30,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46" w:lineRule="exact"/>
        <w:rPr>
          <w:sz w:val="20"/>
          <w:szCs w:val="20"/>
          <w:color w:val="auto"/>
        </w:rPr>
      </w:pPr>
    </w:p>
    <w:p>
      <w:pPr>
        <w:ind w:right="180"/>
        <w:spacing w:after="0" w:line="355" w:lineRule="auto"/>
        <w:rPr>
          <w:sz w:val="20"/>
          <w:szCs w:val="20"/>
          <w:color w:val="auto"/>
        </w:rPr>
      </w:pPr>
      <w:r>
        <w:rPr>
          <w:rFonts w:ascii="Arial" w:cs="Arial" w:eastAsia="Arial" w:hAnsi="Arial"/>
          <w:sz w:val="15"/>
          <w:szCs w:val="15"/>
          <w:color w:val="auto"/>
        </w:rPr>
        <w:t>Our total revenue reported for three months ended September 30, 2009 was $6,908, an increase from $1,111 for the three months ended September 30, 2008. Our total revenue reported for nine months ended September 30, 2009 was $11,628, a decrease from $68,317 for the nine months ended September 30, 2008.</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46" w:lineRule="exact"/>
        <w:rPr>
          <w:sz w:val="20"/>
          <w:szCs w:val="20"/>
          <w:color w:val="auto"/>
        </w:rPr>
      </w:pPr>
    </w:p>
    <w:p>
      <w:pPr>
        <w:ind w:right="100"/>
        <w:spacing w:after="0" w:line="322" w:lineRule="auto"/>
        <w:rPr>
          <w:sz w:val="20"/>
          <w:szCs w:val="20"/>
          <w:color w:val="auto"/>
        </w:rPr>
      </w:pPr>
      <w:r>
        <w:rPr>
          <w:rFonts w:ascii="Arial" w:cs="Arial" w:eastAsia="Arial" w:hAnsi="Arial"/>
          <w:sz w:val="15"/>
          <w:szCs w:val="15"/>
          <w:color w:val="auto"/>
        </w:rPr>
        <w:t>Operating expenses increased to $534,065 for the three months ended September 30, 2009 from $162,519 for the same period ended 2008. Our operating expenses for the three months ended September 30, 2009 consisted mainly of advertising expenses of $317,670, payroll of $122,889 and legal and accounting costs of $60,724. Our operating expenses for the three months ended September 30, 2008 consisted primarily of general and administrative expenses of $153,249.</w:t>
      </w:r>
    </w:p>
    <w:p>
      <w:pPr>
        <w:spacing w:after="0" w:line="16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Operating expenses increased to $2,265,831 for the nine months ended September 30, 2009 from $638,285 for the same period ended 2008. Our operating expenses for the nine months ended September 30, 2009 consisted mainly of consulting fees of $799,105, advertising expenses of $634,523, payroll of $352,966, development costs of $73,326 and legal and accounting costs of $86,350. Our operating expenses for the nine months ended September 30, 2008 consisted primarily of general and administrative expenses of $610,486.</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Other income was $4,950 for three months ended September 30, 2009 an increase from other income of $0 for same period ended 2008. Other income was $29,128 for nine months ended September 30, 2009 an increase from other expenses of $332,990 for same period ended 2008. The other income for the three and nine months ended September 30, 2009 is largely attributable to interest income. The other expenses for the three months ended September 30, 2008 is largely attributable to warrant based compensation.</w:t>
      </w:r>
    </w:p>
    <w:p>
      <w:pPr>
        <w:spacing w:after="0"/>
        <w:rPr>
          <w:sz w:val="20"/>
          <w:szCs w:val="20"/>
          <w:color w:val="auto"/>
        </w:rPr>
      </w:pPr>
      <w:r>
        <w:rPr>
          <w:rFonts w:ascii="Arial" w:cs="Arial" w:eastAsia="Arial" w:hAnsi="Arial"/>
          <w:sz w:val="17"/>
          <w:szCs w:val="17"/>
          <w:i w:val="1"/>
          <w:iCs w:val="1"/>
          <w:color w:val="auto"/>
        </w:rPr>
        <w:t>Net Loss</w:t>
      </w:r>
    </w:p>
    <w:p>
      <w:pPr>
        <w:spacing w:after="0" w:line="234" w:lineRule="exact"/>
        <w:rPr>
          <w:sz w:val="20"/>
          <w:szCs w:val="20"/>
          <w:color w:val="auto"/>
        </w:rPr>
      </w:pPr>
    </w:p>
    <w:p>
      <w:pPr>
        <w:ind w:right="260"/>
        <w:spacing w:after="0" w:line="285" w:lineRule="auto"/>
        <w:rPr>
          <w:sz w:val="20"/>
          <w:szCs w:val="20"/>
          <w:color w:val="auto"/>
        </w:rPr>
      </w:pPr>
      <w:r>
        <w:rPr>
          <w:rFonts w:ascii="Arial" w:cs="Arial" w:eastAsia="Arial" w:hAnsi="Arial"/>
          <w:sz w:val="17"/>
          <w:szCs w:val="17"/>
          <w:color w:val="auto"/>
        </w:rPr>
        <w:t>Net loss for the three months ended September 30, 2009 was $522,207, compared to net loss of $161,408 for the same period 2008. Net loss for the nine months ended September 30, 2009 was $2,225,075, compared to net loss of $902,958 for the same period 2008.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2"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color w:val="auto"/>
        </w:rPr>
        <w:t>As of September 30, 2009, we had total current assets of $1,022,080 and total assets in the amount of $1,133,701. Our total current liabilities as of September 30, 2009 were $11,781. We had working capital of $1,121,920 as of September 30, 2009.</w:t>
      </w:r>
    </w:p>
    <w:p>
      <w:pPr>
        <w:spacing w:after="0" w:line="185" w:lineRule="exact"/>
        <w:rPr>
          <w:sz w:val="20"/>
          <w:szCs w:val="20"/>
          <w:color w:val="auto"/>
        </w:rPr>
      </w:pPr>
    </w:p>
    <w:p>
      <w:pPr>
        <w:ind w:right="20"/>
        <w:spacing w:after="0" w:line="322" w:lineRule="auto"/>
        <w:rPr>
          <w:sz w:val="20"/>
          <w:szCs w:val="20"/>
          <w:color w:val="auto"/>
        </w:rPr>
      </w:pPr>
      <w:r>
        <w:rPr>
          <w:rFonts w:ascii="Arial" w:cs="Arial" w:eastAsia="Arial" w:hAnsi="Arial"/>
          <w:sz w:val="15"/>
          <w:szCs w:val="15"/>
          <w:color w:val="auto"/>
        </w:rPr>
        <w:t>Operating activities used $1,492,274 in cash for the nine months ended September 30, 2009. Our net loss of $2,225,075 was the primary component of our negative operating cash flow, offset mainly by $921,491 in stock issued for services. We had no cash flows used by investing activities during the nine months ended September 30, 2009. We used $4,000 in cash flows in financing activities during the nine months ended September 30, 2009, for payments on loans payable.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Management feels that our current cash balance will allow us to meet the expenses required to support our growth plans over the next twelve months.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2009, there were no off balance sheet arrangements.</w:t>
      </w:r>
    </w:p>
    <w:p>
      <w:pPr>
        <w:spacing w:after="0" w:line="240"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 smaller reporting company is not required to provide the information required by this Item.</w:t>
      </w:r>
    </w:p>
    <w:p>
      <w:pPr>
        <w:spacing w:after="0" w:line="240"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25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September 30, 2009. This evaluation was carried out under the supervision and with the participation of our Chief Executive Officer and Chief Financial Officer, Mr. David Lester. Based upon that evaluation, our Chief Executive Officer and Chief Financial Officer concluded that, as of September 30, 2009, our disclosure controls and procedures are effective. There have been no significant changes in our internal controls over financial reporting during the quarter ended September 30, 2009 that have materially affected or are reasonably likely to materially affect such controls.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Limitations on the Effectiveness of Internal Controls</w:t>
      </w:r>
    </w:p>
    <w:p>
      <w:pPr>
        <w:spacing w:after="0" w:line="246"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 – OTHER INFORMATION</w:t>
      </w:r>
    </w:p>
    <w:p>
      <w:pPr>
        <w:spacing w:after="0" w:line="246"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2" w:lineRule="exact"/>
        <w:rPr>
          <w:sz w:val="20"/>
          <w:szCs w:val="20"/>
          <w:color w:val="auto"/>
        </w:rPr>
      </w:pPr>
    </w:p>
    <w:p>
      <w:pPr>
        <w:ind w:right="360"/>
        <w:spacing w:after="0" w:line="285" w:lineRule="auto"/>
        <w:rPr>
          <w:sz w:val="20"/>
          <w:szCs w:val="20"/>
          <w:color w:val="auto"/>
        </w:rPr>
      </w:pPr>
      <w:r>
        <w:rPr>
          <w:rFonts w:ascii="Arial" w:cs="Arial" w:eastAsia="Arial" w:hAnsi="Arial"/>
          <w:sz w:val="17"/>
          <w:szCs w:val="17"/>
          <w:color w:val="auto"/>
        </w:rPr>
        <w:t>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 smaller reporting company is not required to provide the information required by this Item.</w:t>
      </w:r>
    </w:p>
    <w:p>
      <w:pPr>
        <w:spacing w:after="0" w:line="240"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the current quarter, we issued five-year warrants to purchase 450,000 shares of our common stock at a strike price of $2.00 per share.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We also issued 124,000 shares of our common stock for services rendered.</w:t>
      </w:r>
    </w:p>
    <w:p>
      <w:pPr>
        <w:spacing w:after="0" w:line="2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0"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52"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No matters have been submitted to our security holders for a vote, through the solicitation of proxies or otherwise, during the quarterly period ended September 30, 2009.</w:t>
      </w:r>
    </w:p>
    <w:p>
      <w:pPr>
        <w:spacing w:after="0" w:line="17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3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Number</w:t>
      </w:r>
      <w:r>
        <w:rPr>
          <w:sz w:val="20"/>
          <w:szCs w:val="20"/>
          <w:color w:val="auto"/>
        </w:rPr>
        <w:tab/>
      </w:r>
      <w:r>
        <w:rPr>
          <w:rFonts w:ascii="Arial" w:cs="Arial" w:eastAsia="Arial" w:hAnsi="Arial"/>
          <w:sz w:val="15"/>
          <w:szCs w:val="15"/>
          <w:b w:val="1"/>
          <w:bCs w:val="1"/>
          <w:color w:val="auto"/>
        </w:rPr>
        <w:t>Description of Exhibit</w:t>
      </w:r>
    </w:p>
    <w:p>
      <w:pPr>
        <w:spacing w:after="0" w:line="208" w:lineRule="exact"/>
        <w:rPr>
          <w:sz w:val="20"/>
          <w:szCs w:val="20"/>
          <w:color w:val="auto"/>
        </w:rPr>
      </w:pPr>
    </w:p>
    <w:p>
      <w:pPr>
        <w:ind w:left="780" w:right="2760" w:hanging="778"/>
        <w:spacing w:after="0" w:line="262" w:lineRule="auto"/>
        <w:tabs>
          <w:tab w:leader="none" w:pos="760" w:val="left"/>
        </w:tabs>
        <w:rPr>
          <w:sz w:val="20"/>
          <w:szCs w:val="20"/>
          <w:color w:val="auto"/>
        </w:rPr>
      </w:pPr>
      <w:r>
        <w:rPr>
          <w:rFonts w:ascii="Arial" w:cs="Arial" w:eastAsia="Arial" w:hAnsi="Arial"/>
          <w:sz w:val="17"/>
          <w:szCs w:val="17"/>
          <w:u w:val="single" w:color="auto"/>
          <w:color w:val="0000EE"/>
        </w:rPr>
        <w:t>31.1</w:t>
      </w:r>
      <w:r>
        <w:rPr>
          <w:sz w:val="20"/>
          <w:szCs w:val="20"/>
          <w:color w:val="auto"/>
        </w:rPr>
        <w:tab/>
      </w:r>
      <w:r>
        <w:rPr>
          <w:rFonts w:ascii="Arial" w:cs="Arial" w:eastAsia="Arial" w:hAnsi="Arial"/>
          <w:sz w:val="17"/>
          <w:szCs w:val="17"/>
          <w:u w:val="single" w:color="auto"/>
          <w:color w:val="0000EE"/>
        </w:rPr>
        <w:t>Certification of Chief Executive Officer pursuant to 18 U.S.C. Section 1350, as adopted pursuant to Section 302 of the Sarbanes-Oxley Act of 2002</w:t>
      </w:r>
    </w:p>
    <w:p>
      <w:pPr>
        <w:spacing w:after="0" w:line="1" w:lineRule="exact"/>
        <w:rPr>
          <w:sz w:val="20"/>
          <w:szCs w:val="20"/>
          <w:color w:val="auto"/>
        </w:rPr>
      </w:pPr>
    </w:p>
    <w:p>
      <w:pPr>
        <w:ind w:left="780" w:right="2760" w:hanging="778"/>
        <w:spacing w:after="0" w:line="255" w:lineRule="auto"/>
        <w:tabs>
          <w:tab w:leader="none" w:pos="760" w:val="left"/>
        </w:tabs>
        <w:rPr>
          <w:sz w:val="20"/>
          <w:szCs w:val="20"/>
          <w:color w:val="auto"/>
        </w:rPr>
      </w:pPr>
      <w:r>
        <w:rPr>
          <w:rFonts w:ascii="Arial" w:cs="Arial" w:eastAsia="Arial" w:hAnsi="Arial"/>
          <w:sz w:val="17"/>
          <w:szCs w:val="17"/>
          <w:u w:val="single" w:color="auto"/>
          <w:color w:val="0000EE"/>
        </w:rPr>
        <w:t>31.2</w:t>
      </w:r>
      <w:r>
        <w:rPr>
          <w:sz w:val="20"/>
          <w:szCs w:val="20"/>
          <w:color w:val="auto"/>
        </w:rPr>
        <w:tab/>
      </w:r>
      <w:r>
        <w:rPr>
          <w:rFonts w:ascii="Arial" w:cs="Arial" w:eastAsia="Arial" w:hAnsi="Arial"/>
          <w:sz w:val="17"/>
          <w:szCs w:val="17"/>
          <w:u w:val="single" w:color="auto"/>
          <w:color w:val="0000EE"/>
        </w:rPr>
        <w:t>Certification of Chief Financial Officer pursuant to 18 U.S.C. Section 1350, as adopted pursuant to Section 302 of the Sarbanes-Oxley Act of 2002</w:t>
      </w:r>
    </w:p>
    <w:p>
      <w:pPr>
        <w:ind w:left="780" w:right="2760" w:hanging="778"/>
        <w:spacing w:after="0" w:line="270" w:lineRule="auto"/>
        <w:tabs>
          <w:tab w:leader="none" w:pos="760" w:val="left"/>
        </w:tabs>
        <w:rPr>
          <w:sz w:val="20"/>
          <w:szCs w:val="20"/>
          <w:color w:val="auto"/>
        </w:rPr>
      </w:pPr>
      <w:r>
        <w:rPr>
          <w:rFonts w:ascii="Arial" w:cs="Arial" w:eastAsia="Arial" w:hAnsi="Arial"/>
          <w:sz w:val="17"/>
          <w:szCs w:val="17"/>
          <w:u w:val="single" w:color="auto"/>
          <w:color w:val="0000EE"/>
        </w:rPr>
        <w:t>32.1</w:t>
      </w:r>
      <w:r>
        <w:rPr>
          <w:sz w:val="20"/>
          <w:szCs w:val="20"/>
          <w:color w:val="auto"/>
        </w:rPr>
        <w:tab/>
      </w:r>
      <w:r>
        <w:rPr>
          <w:rFonts w:ascii="Arial" w:cs="Arial" w:eastAsia="Arial" w:hAnsi="Arial"/>
          <w:sz w:val="17"/>
          <w:szCs w:val="17"/>
          <w:u w:val="single" w:color="auto"/>
          <w:color w:val="0000EE"/>
        </w:rPr>
        <w:t>Certification of Chief Executive Officer and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252" w:lineRule="exact"/>
        <w:rPr>
          <w:sz w:val="20"/>
          <w:szCs w:val="20"/>
          <w:color w:val="auto"/>
        </w:rPr>
      </w:pPr>
    </w:p>
    <w:p>
      <w:pPr>
        <w:ind w:left="480"/>
        <w:spacing w:after="0" w:line="285" w:lineRule="auto"/>
        <w:rPr>
          <w:sz w:val="20"/>
          <w:szCs w:val="20"/>
          <w:color w:val="auto"/>
        </w:rPr>
      </w:pPr>
      <w:r>
        <w:rPr>
          <w:rFonts w:ascii="Arial" w:cs="Arial" w:eastAsia="Arial" w:hAnsi="Arial"/>
          <w:sz w:val="17"/>
          <w:szCs w:val="17"/>
          <w:color w:val="auto"/>
        </w:rPr>
        <w:t>In accordance with the requirements of the Securities and Exchange Act of 1934, the Registrant has duly caused this report to be signed on its behalf by the undersigned, thereunto duly authorized.</w:t>
      </w:r>
    </w:p>
    <w:p>
      <w:pPr>
        <w:spacing w:after="0" w:line="179"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auto"/>
        </w:rPr>
        <w:t>OptimizeRx Corporation</w:t>
      </w:r>
    </w:p>
    <w:p>
      <w:pPr>
        <w:spacing w:after="0" w:line="226" w:lineRule="exact"/>
        <w:rPr>
          <w:sz w:val="20"/>
          <w:szCs w:val="20"/>
          <w:color w:val="auto"/>
        </w:rPr>
      </w:pPr>
    </w:p>
    <w:p>
      <w:pPr>
        <w:spacing w:after="0"/>
        <w:tabs>
          <w:tab w:leader="none" w:pos="26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23, 2009</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/s/David Lester</w:t>
      </w:r>
    </w:p>
    <w:p>
      <w:pPr>
        <w:spacing w:after="0" w:line="25"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David Lester</w:t>
      </w:r>
    </w:p>
    <w:p>
      <w:pPr>
        <w:spacing w:after="0" w:line="12" w:lineRule="exact"/>
        <w:rPr>
          <w:sz w:val="20"/>
          <w:szCs w:val="20"/>
          <w:color w:val="auto"/>
        </w:rPr>
      </w:pPr>
    </w:p>
    <w:p>
      <w:pPr>
        <w:ind w:left="2680"/>
        <w:spacing w:after="0"/>
        <w:tabs>
          <w:tab w:leader="none" w:pos="32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b w:val="1"/>
          <w:bCs w:val="1"/>
          <w:color w:val="auto"/>
        </w:rPr>
        <w:t>Chief Executive Officer, Chief Financial Officer, and Director</w:t>
      </w:r>
    </w:p>
    <w:p>
      <w:pPr>
        <w:sectPr>
          <w:pgSz w:w="11900" w:h="16838" w:orient="portrait"/>
          <w:cols w:equalWidth="0" w:num="1">
            <w:col w:w="11240"/>
          </w:cols>
          <w:pgMar w:left="240" w:top="121" w:right="419" w:bottom="1440" w:gutter="0" w:footer="0" w:header="0"/>
        </w:sectPr>
      </w:pPr>
    </w:p>
    <w:bookmarkStart w:id="24" w:name="page25"/>
    <w:bookmarkEnd w:id="24"/>
    <w:p>
      <w:pPr>
        <w:spacing w:after="0"/>
        <w:tabs>
          <w:tab w:leader="none" w:pos="3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482600</wp:posOffset>
            </wp:positionV>
            <wp:extent cx="725614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ind w:left="5280"/>
        <w:spacing w:after="0"/>
        <w:rPr>
          <w:sz w:val="20"/>
          <w:szCs w:val="20"/>
          <w:color w:val="auto"/>
        </w:rPr>
      </w:pPr>
      <w:r>
        <w:rPr>
          <w:rFonts w:ascii="Arial" w:cs="Arial" w:eastAsia="Arial" w:hAnsi="Arial"/>
          <w:sz w:val="17"/>
          <w:szCs w:val="17"/>
          <w:b w:val="1"/>
          <w:bCs w:val="1"/>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 David Lester, certify that;</w:t>
      </w:r>
    </w:p>
    <w:p>
      <w:pPr>
        <w:spacing w:after="0" w:line="246" w:lineRule="exact"/>
        <w:rPr>
          <w:sz w:val="20"/>
          <w:szCs w:val="20"/>
          <w:color w:val="auto"/>
        </w:rPr>
      </w:pPr>
    </w:p>
    <w:p>
      <w:pPr>
        <w:ind w:left="480" w:hanging="225"/>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2009 of OPTIMIZERx Corp (the “registrant”);</w:t>
      </w:r>
    </w:p>
    <w:p>
      <w:pPr>
        <w:spacing w:after="0" w:line="246" w:lineRule="exact"/>
        <w:rPr>
          <w:rFonts w:ascii="Arial" w:cs="Arial" w:eastAsia="Arial" w:hAnsi="Arial"/>
          <w:sz w:val="17"/>
          <w:szCs w:val="17"/>
          <w:color w:val="auto"/>
        </w:rPr>
      </w:pPr>
    </w:p>
    <w:p>
      <w:pPr>
        <w:ind w:left="480" w:hanging="225"/>
        <w:spacing w:after="0" w:line="318"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480" w:hanging="225"/>
        <w:spacing w:after="0" w:line="285"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jc w:val="both"/>
        <w:ind w:left="480" w:hanging="225"/>
        <w:spacing w:after="0" w:line="270"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97" w:lineRule="exact"/>
        <w:rPr>
          <w:rFonts w:ascii="Arial" w:cs="Arial" w:eastAsia="Arial" w:hAnsi="Arial"/>
          <w:sz w:val="17"/>
          <w:szCs w:val="17"/>
          <w:color w:val="auto"/>
        </w:rPr>
      </w:pPr>
    </w:p>
    <w:p>
      <w:pPr>
        <w:jc w:val="both"/>
        <w:ind w:left="1260" w:hanging="215"/>
        <w:spacing w:after="0" w:line="270" w:lineRule="auto"/>
        <w:tabs>
          <w:tab w:leader="none" w:pos="12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jc w:val="both"/>
        <w:ind w:left="1260" w:hanging="225"/>
        <w:spacing w:after="0" w:line="270" w:lineRule="auto"/>
        <w:tabs>
          <w:tab w:leader="none" w:pos="12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ind w:left="1260" w:hanging="215"/>
        <w:spacing w:after="0" w:line="318" w:lineRule="auto"/>
        <w:tabs>
          <w:tab w:leader="none" w:pos="1260" w:val="left"/>
        </w:tabs>
        <w:numPr>
          <w:ilvl w:val="2"/>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1260" w:hanging="225"/>
        <w:spacing w:after="0" w:line="318" w:lineRule="auto"/>
        <w:tabs>
          <w:tab w:leader="none" w:pos="1260" w:val="left"/>
        </w:tabs>
        <w:numPr>
          <w:ilvl w:val="2"/>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2" w:lineRule="exact"/>
        <w:rPr>
          <w:rFonts w:ascii="Arial" w:cs="Arial" w:eastAsia="Arial" w:hAnsi="Arial"/>
          <w:sz w:val="16"/>
          <w:szCs w:val="16"/>
          <w:color w:val="auto"/>
        </w:rPr>
      </w:pPr>
    </w:p>
    <w:p>
      <w:pPr>
        <w:ind w:left="620" w:hanging="209"/>
        <w:spacing w:after="0" w:line="285" w:lineRule="auto"/>
        <w:tabs>
          <w:tab w:leader="none" w:pos="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7"/>
          <w:szCs w:val="17"/>
          <w:color w:val="auto"/>
        </w:rPr>
      </w:pPr>
    </w:p>
    <w:p>
      <w:pPr>
        <w:ind w:left="1260" w:hanging="215"/>
        <w:spacing w:after="0" w:line="262" w:lineRule="auto"/>
        <w:tabs>
          <w:tab w:leader="none" w:pos="1260" w:val="left"/>
        </w:tabs>
        <w:numPr>
          <w:ilvl w:val="2"/>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60" w:hanging="225"/>
        <w:spacing w:after="0" w:line="270" w:lineRule="auto"/>
        <w:tabs>
          <w:tab w:leader="none" w:pos="1260" w:val="left"/>
        </w:tabs>
        <w:numPr>
          <w:ilvl w:val="2"/>
          <w:numId w:val="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23, 2009</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/s/David Lester</w:t>
      </w:r>
    </w:p>
    <w:p>
      <w:pPr>
        <w:spacing w:after="0" w:line="2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By:</w:t>
        <w:tab/>
        <w:t>David Lester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549910</wp:posOffset>
            </wp:positionV>
            <wp:extent cx="725614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482600</wp:posOffset>
            </wp:positionV>
            <wp:extent cx="725614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ind w:left="5280"/>
        <w:spacing w:after="0"/>
        <w:rPr>
          <w:sz w:val="20"/>
          <w:szCs w:val="20"/>
          <w:color w:val="auto"/>
        </w:rPr>
      </w:pPr>
      <w:r>
        <w:rPr>
          <w:rFonts w:ascii="Arial" w:cs="Arial" w:eastAsia="Arial" w:hAnsi="Arial"/>
          <w:sz w:val="17"/>
          <w:szCs w:val="17"/>
          <w:b w:val="1"/>
          <w:bCs w:val="1"/>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 David Lester, certify that;</w:t>
      </w:r>
    </w:p>
    <w:p>
      <w:pPr>
        <w:spacing w:after="0" w:line="246" w:lineRule="exact"/>
        <w:rPr>
          <w:sz w:val="20"/>
          <w:szCs w:val="20"/>
          <w:color w:val="auto"/>
        </w:rPr>
      </w:pPr>
    </w:p>
    <w:p>
      <w:pPr>
        <w:ind w:left="480" w:hanging="225"/>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2009 of OPTIMIZERx Corp (the “registrant”);</w:t>
      </w:r>
    </w:p>
    <w:p>
      <w:pPr>
        <w:spacing w:after="0" w:line="246" w:lineRule="exact"/>
        <w:rPr>
          <w:rFonts w:ascii="Arial" w:cs="Arial" w:eastAsia="Arial" w:hAnsi="Arial"/>
          <w:sz w:val="17"/>
          <w:szCs w:val="17"/>
          <w:color w:val="auto"/>
        </w:rPr>
      </w:pPr>
    </w:p>
    <w:p>
      <w:pPr>
        <w:ind w:left="480" w:hanging="225"/>
        <w:spacing w:after="0" w:line="318"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480" w:hanging="225"/>
        <w:spacing w:after="0" w:line="285"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jc w:val="both"/>
        <w:ind w:left="480" w:hanging="225"/>
        <w:spacing w:after="0" w:line="270"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97" w:lineRule="exact"/>
        <w:rPr>
          <w:rFonts w:ascii="Arial" w:cs="Arial" w:eastAsia="Arial" w:hAnsi="Arial"/>
          <w:sz w:val="17"/>
          <w:szCs w:val="17"/>
          <w:color w:val="auto"/>
        </w:rPr>
      </w:pPr>
    </w:p>
    <w:p>
      <w:pPr>
        <w:jc w:val="both"/>
        <w:ind w:left="1260" w:hanging="215"/>
        <w:spacing w:after="0" w:line="270" w:lineRule="auto"/>
        <w:tabs>
          <w:tab w:leader="none" w:pos="12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jc w:val="both"/>
        <w:ind w:left="1260" w:hanging="225"/>
        <w:spacing w:after="0" w:line="270" w:lineRule="auto"/>
        <w:tabs>
          <w:tab w:leader="none" w:pos="12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ind w:left="1260" w:hanging="215"/>
        <w:spacing w:after="0" w:line="318" w:lineRule="auto"/>
        <w:tabs>
          <w:tab w:leader="none" w:pos="1260" w:val="left"/>
        </w:tabs>
        <w:numPr>
          <w:ilvl w:val="2"/>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1260" w:hanging="225"/>
        <w:spacing w:after="0" w:line="318" w:lineRule="auto"/>
        <w:tabs>
          <w:tab w:leader="none" w:pos="1260" w:val="left"/>
        </w:tabs>
        <w:numPr>
          <w:ilvl w:val="2"/>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2" w:lineRule="exact"/>
        <w:rPr>
          <w:rFonts w:ascii="Arial" w:cs="Arial" w:eastAsia="Arial" w:hAnsi="Arial"/>
          <w:sz w:val="16"/>
          <w:szCs w:val="16"/>
          <w:color w:val="auto"/>
        </w:rPr>
      </w:pPr>
    </w:p>
    <w:p>
      <w:pPr>
        <w:ind w:left="620" w:hanging="209"/>
        <w:spacing w:after="0" w:line="285" w:lineRule="auto"/>
        <w:tabs>
          <w:tab w:leader="none" w:pos="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7"/>
          <w:szCs w:val="17"/>
          <w:color w:val="auto"/>
        </w:rPr>
      </w:pPr>
    </w:p>
    <w:p>
      <w:pPr>
        <w:ind w:left="1260" w:hanging="215"/>
        <w:spacing w:after="0" w:line="262" w:lineRule="auto"/>
        <w:tabs>
          <w:tab w:leader="none" w:pos="12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60" w:hanging="225"/>
        <w:spacing w:after="0" w:line="270" w:lineRule="auto"/>
        <w:tabs>
          <w:tab w:leader="none" w:pos="12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23, 2009</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/s/David Lester</w:t>
      </w:r>
    </w:p>
    <w:p>
      <w:pPr>
        <w:spacing w:after="0" w:line="2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By:</w:t>
        <w:tab/>
        <w:t>David Lester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549910</wp:posOffset>
            </wp:positionV>
            <wp:extent cx="725614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482600</wp:posOffset>
            </wp:positionV>
            <wp:extent cx="725614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ind w:right="-19"/>
        <w:spacing w:after="0"/>
        <w:rPr>
          <w:sz w:val="20"/>
          <w:szCs w:val="20"/>
          <w:color w:val="auto"/>
        </w:rPr>
      </w:pPr>
      <w:r>
        <w:rPr>
          <w:rFonts w:ascii="Arial" w:cs="Arial" w:eastAsia="Arial" w:hAnsi="Arial"/>
          <w:sz w:val="17"/>
          <w:szCs w:val="17"/>
          <w:color w:val="auto"/>
        </w:rPr>
        <w:t>CERTIFICATION OF CHIEF EXECUTIVE OFFICER AND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CHIEF FINANCIAL OFFICER</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PURSUANT TO</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 U.S.C. SECTION 1350,</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ADOPTED PURSUANT TO</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SECTION 906 OF THE SARBANES-OXLEY ACT OF 2002</w:t>
      </w:r>
    </w:p>
    <w:p>
      <w:pPr>
        <w:spacing w:after="0" w:line="200" w:lineRule="exact"/>
        <w:rPr>
          <w:sz w:val="20"/>
          <w:szCs w:val="20"/>
          <w:color w:val="auto"/>
        </w:rPr>
      </w:pPr>
    </w:p>
    <w:p>
      <w:pPr>
        <w:spacing w:after="0" w:line="26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connection with the quarterly Report of OPTIMIZERx Corp (the “Company”) on Form 10-Q for the quarter ended September 30, 2009 filed with the Securities and Exchange Commission (the “Report”), I, David Lester, Chief Executive Officer of the Company, certify, pursuant to 18 U.S.C. Section 1350, as adopted pursuant to Section 906 of the Sarbanes-Oxley Act of 2002, that:</w:t>
      </w:r>
    </w:p>
    <w:p>
      <w:pPr>
        <w:spacing w:after="0" w:line="198" w:lineRule="exact"/>
        <w:rPr>
          <w:sz w:val="20"/>
          <w:szCs w:val="20"/>
          <w:color w:val="auto"/>
        </w:rPr>
      </w:pPr>
    </w:p>
    <w:p>
      <w:pPr>
        <w:ind w:left="480" w:hanging="225"/>
        <w:spacing w:after="0"/>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and</w:t>
      </w:r>
    </w:p>
    <w:p>
      <w:pPr>
        <w:spacing w:after="0" w:line="246" w:lineRule="exact"/>
        <w:rPr>
          <w:rFonts w:ascii="Arial" w:cs="Arial" w:eastAsia="Arial" w:hAnsi="Arial"/>
          <w:sz w:val="17"/>
          <w:szCs w:val="17"/>
          <w:color w:val="auto"/>
        </w:rPr>
      </w:pPr>
    </w:p>
    <w:p>
      <w:pPr>
        <w:ind w:left="480" w:hanging="225"/>
        <w:spacing w:after="0" w:line="285"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200" w:lineRule="exact"/>
        <w:rPr>
          <w:sz w:val="20"/>
          <w:szCs w:val="20"/>
          <w:color w:val="auto"/>
        </w:rPr>
      </w:pPr>
    </w:p>
    <w:p>
      <w:pPr>
        <w:spacing w:after="0" w:line="387" w:lineRule="exact"/>
        <w:rPr>
          <w:sz w:val="20"/>
          <w:szCs w:val="20"/>
          <w:color w:val="auto"/>
        </w:rPr>
      </w:pPr>
    </w:p>
    <w:tbl>
      <w:tblPr>
        <w:tblLayout w:type="fixed"/>
        <w:tblInd w:w="502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Arial" w:cs="Arial" w:eastAsia="Arial" w:hAnsi="Arial"/>
                <w:sz w:val="17"/>
                <w:szCs w:val="17"/>
                <w:color w:val="auto"/>
              </w:rPr>
              <w:t>By:</w:t>
            </w:r>
          </w:p>
        </w:tc>
        <w:tc>
          <w:tcPr>
            <w:tcW w:w="2760" w:type="dxa"/>
            <w:vAlign w:val="bottom"/>
            <w:gridSpan w:val="2"/>
          </w:tcPr>
          <w:p>
            <w:pPr>
              <w:spacing w:after="0"/>
              <w:rPr>
                <w:sz w:val="20"/>
                <w:szCs w:val="20"/>
                <w:color w:val="auto"/>
              </w:rPr>
            </w:pPr>
            <w:r>
              <w:rPr>
                <w:rFonts w:ascii="Arial" w:cs="Arial" w:eastAsia="Arial" w:hAnsi="Arial"/>
                <w:sz w:val="17"/>
                <w:szCs w:val="17"/>
                <w:color w:val="auto"/>
              </w:rPr>
              <w:t>/s/David Lester</w:t>
            </w:r>
          </w:p>
        </w:tc>
      </w:tr>
      <w:tr>
        <w:trPr>
          <w:trHeight w:val="435"/>
        </w:trPr>
        <w:tc>
          <w:tcPr>
            <w:tcW w:w="1140" w:type="dxa"/>
            <w:vAlign w:val="bottom"/>
          </w:tcPr>
          <w:p>
            <w:pPr>
              <w:spacing w:after="0"/>
              <w:rPr>
                <w:sz w:val="20"/>
                <w:szCs w:val="20"/>
                <w:color w:val="auto"/>
              </w:rPr>
            </w:pPr>
            <w:r>
              <w:rPr>
                <w:rFonts w:ascii="Arial" w:cs="Arial" w:eastAsia="Arial" w:hAnsi="Arial"/>
                <w:sz w:val="17"/>
                <w:szCs w:val="17"/>
                <w:color w:val="auto"/>
              </w:rPr>
              <w:t>Name:</w:t>
            </w:r>
          </w:p>
        </w:tc>
        <w:tc>
          <w:tcPr>
            <w:tcW w:w="10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David Lester</w:t>
            </w:r>
          </w:p>
        </w:tc>
        <w:tc>
          <w:tcPr>
            <w:tcW w:w="1700" w:type="dxa"/>
            <w:vAlign w:val="bottom"/>
          </w:tcPr>
          <w:p>
            <w:pPr>
              <w:spacing w:after="0"/>
              <w:rPr>
                <w:sz w:val="24"/>
                <w:szCs w:val="24"/>
                <w:color w:val="auto"/>
              </w:rPr>
            </w:pPr>
          </w:p>
        </w:tc>
      </w:tr>
      <w:tr>
        <w:trPr>
          <w:trHeight w:val="403"/>
        </w:trPr>
        <w:tc>
          <w:tcPr>
            <w:tcW w:w="1140" w:type="dxa"/>
            <w:vAlign w:val="bottom"/>
          </w:tcPr>
          <w:p>
            <w:pPr>
              <w:spacing w:after="0"/>
              <w:rPr>
                <w:sz w:val="20"/>
                <w:szCs w:val="20"/>
                <w:color w:val="auto"/>
              </w:rPr>
            </w:pPr>
            <w:r>
              <w:rPr>
                <w:rFonts w:ascii="Arial" w:cs="Arial" w:eastAsia="Arial" w:hAnsi="Arial"/>
                <w:sz w:val="17"/>
                <w:szCs w:val="17"/>
                <w:color w:val="auto"/>
              </w:rPr>
              <w:t>Title:</w:t>
            </w:r>
          </w:p>
        </w:tc>
        <w:tc>
          <w:tcPr>
            <w:tcW w:w="276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r>
        <w:trPr>
          <w:trHeight w:val="220"/>
        </w:trPr>
        <w:tc>
          <w:tcPr>
            <w:tcW w:w="114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7"/>
                <w:szCs w:val="17"/>
                <w:color w:val="auto"/>
                <w:w w:val="94"/>
              </w:rPr>
              <w:t>Principal Financial Officer and Director</w:t>
            </w:r>
          </w:p>
        </w:tc>
      </w:tr>
      <w:tr>
        <w:trPr>
          <w:trHeight w:val="416"/>
        </w:trPr>
        <w:tc>
          <w:tcPr>
            <w:tcW w:w="1140" w:type="dxa"/>
            <w:vAlign w:val="bottom"/>
          </w:tcPr>
          <w:p>
            <w:pPr>
              <w:spacing w:after="0"/>
              <w:rPr>
                <w:sz w:val="20"/>
                <w:szCs w:val="20"/>
                <w:color w:val="auto"/>
              </w:rPr>
            </w:pPr>
            <w:r>
              <w:rPr>
                <w:rFonts w:ascii="Arial" w:cs="Arial" w:eastAsia="Arial" w:hAnsi="Arial"/>
                <w:sz w:val="17"/>
                <w:szCs w:val="17"/>
                <w:color w:val="auto"/>
              </w:rPr>
              <w:t>Date:</w:t>
            </w:r>
          </w:p>
        </w:tc>
        <w:tc>
          <w:tcPr>
            <w:tcW w:w="2760" w:type="dxa"/>
            <w:vAlign w:val="bottom"/>
            <w:gridSpan w:val="2"/>
          </w:tcPr>
          <w:p>
            <w:pPr>
              <w:spacing w:after="0"/>
              <w:rPr>
                <w:sz w:val="20"/>
                <w:szCs w:val="20"/>
                <w:color w:val="auto"/>
              </w:rPr>
            </w:pPr>
            <w:r>
              <w:rPr>
                <w:rFonts w:ascii="Arial" w:cs="Arial" w:eastAsia="Arial" w:hAnsi="Arial"/>
                <w:sz w:val="17"/>
                <w:szCs w:val="17"/>
                <w:color w:val="auto"/>
              </w:rPr>
              <w:t>November 23, 2009</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558165</wp:posOffset>
            </wp:positionV>
            <wp:extent cx="725614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0"/>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decimal"/>
      <w:start w:val="15"/>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9">
    <w:nsid w:val="216231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2019-12-11T04:42:09Z</dcterms:created>
  <dcterms:modified xsi:type="dcterms:W3CDTF">2019-12-11T04:42:09Z</dcterms:modified>
</cp:coreProperties>
</file>