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840" w:right="2420" w:hanging="1419"/>
        <w:spacing w:after="0" w:line="482" w:lineRule="auto"/>
        <w:tabs>
          <w:tab w:leader="none" w:pos="26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2019</w:t>
      </w:r>
    </w:p>
    <w:p>
      <w:pPr>
        <w:spacing w:after="0" w:line="32" w:lineRule="exact"/>
        <w:rPr>
          <w:rFonts w:ascii="MS PGothic" w:cs="MS PGothic" w:eastAsia="MS PGothic" w:hAnsi="MS PGothic"/>
          <w:sz w:val="18"/>
          <w:szCs w:val="18"/>
          <w:color w:val="auto"/>
        </w:rPr>
      </w:pPr>
    </w:p>
    <w:p>
      <w:pPr>
        <w:ind w:left="2900" w:hanging="213"/>
        <w:spacing w:after="0"/>
        <w:tabs>
          <w:tab w:leader="none" w:pos="29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13 or 15(d) of the Securities Exchange Act of 1934</w:t>
      </w:r>
    </w:p>
    <w:p>
      <w:pPr>
        <w:spacing w:after="0" w:line="225"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For the transition period from ________ to __________</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001-38543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ind w:left="2520"/>
              <w:spacing w:after="0"/>
              <w:rPr>
                <w:sz w:val="20"/>
                <w:szCs w:val="20"/>
                <w:color w:val="auto"/>
              </w:rPr>
            </w:pPr>
            <w:r>
              <w:rPr>
                <w:rFonts w:ascii="Arial" w:cs="Arial" w:eastAsia="Arial" w:hAnsi="Arial"/>
                <w:sz w:val="18"/>
                <w:szCs w:val="18"/>
                <w:b w:val="1"/>
                <w:bCs w:val="1"/>
                <w:color w:val="auto"/>
              </w:rPr>
              <w:t>Nevada</w:t>
            </w:r>
          </w:p>
        </w:tc>
        <w:tc>
          <w:tcPr>
            <w:tcW w:w="7340" w:type="dxa"/>
            <w:vAlign w:val="bottom"/>
            <w:gridSpan w:val="7"/>
          </w:tcPr>
          <w:p>
            <w:pPr>
              <w:jc w:val="right"/>
              <w:ind w:right="227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4080" w:type="dxa"/>
            <w:vAlign w:val="bottom"/>
            <w:tcBorders>
              <w:top w:val="single" w:sz="8" w:color="auto"/>
            </w:tcBorders>
          </w:tcPr>
          <w:p>
            <w:pPr>
              <w:ind w:left="1740"/>
              <w:spacing w:after="0" w:line="201" w:lineRule="exact"/>
              <w:rPr>
                <w:sz w:val="20"/>
                <w:szCs w:val="20"/>
                <w:color w:val="auto"/>
              </w:rPr>
            </w:pPr>
            <w:r>
              <w:rPr>
                <w:rFonts w:ascii="Arial" w:cs="Arial" w:eastAsia="Arial" w:hAnsi="Arial"/>
                <w:sz w:val="18"/>
                <w:szCs w:val="18"/>
                <w:color w:val="auto"/>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ind w:left="154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080" w:type="dxa"/>
            <w:vAlign w:val="bottom"/>
          </w:tcPr>
          <w:p>
            <w:pPr>
              <w:ind w:left="1720"/>
              <w:spacing w:after="0"/>
              <w:rPr>
                <w:sz w:val="20"/>
                <w:szCs w:val="20"/>
                <w:color w:val="auto"/>
              </w:rPr>
            </w:pPr>
            <w:r>
              <w:rPr>
                <w:rFonts w:ascii="Arial" w:cs="Arial" w:eastAsia="Arial" w:hAnsi="Arial"/>
                <w:sz w:val="18"/>
                <w:szCs w:val="18"/>
                <w:color w:val="auto"/>
                <w:w w:val="99"/>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b w:val="1"/>
                <w:bCs w:val="1"/>
                <w:color w:val="auto"/>
                <w:w w:val="91"/>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70"/>
              <w:spacing w:after="0"/>
              <w:rPr>
                <w:sz w:val="20"/>
                <w:szCs w:val="20"/>
                <w:color w:val="auto"/>
              </w:rPr>
            </w:pPr>
            <w:r>
              <w:rPr>
                <w:rFonts w:ascii="Arial" w:cs="Arial" w:eastAsia="Arial" w:hAnsi="Arial"/>
                <w:sz w:val="18"/>
                <w:szCs w:val="18"/>
                <w:color w:val="auto"/>
                <w:w w:val="90"/>
              </w:rPr>
              <w:t>(Registrant’s telephone number)</w:t>
            </w: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5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8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 reporting company,” and “emerging growth company” in Rule 12b-2 of the Exchange Act.</w:t>
      </w:r>
    </w:p>
    <w:p>
      <w:pPr>
        <w:sectPr>
          <w:pgSz w:w="11900" w:h="16838" w:orient="portrait"/>
          <w:cols w:equalWidth="0" w:num="1">
            <w:col w:w="11420"/>
          </w:cols>
          <w:pgMar w:left="240" w:top="540" w:right="239" w:bottom="1440" w:gutter="0" w:footer="0" w:header="0"/>
        </w:sectPr>
      </w:pPr>
    </w:p>
    <w:p>
      <w:pPr>
        <w:spacing w:after="0" w:line="149" w:lineRule="exact"/>
        <w:rPr>
          <w:sz w:val="24"/>
          <w:szCs w:val="24"/>
          <w:color w:val="auto"/>
        </w:rPr>
      </w:pPr>
    </w:p>
    <w:p>
      <w:pPr>
        <w:ind w:left="6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6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x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x Smaller reporting company</w:t>
      </w:r>
    </w:p>
    <w:p>
      <w:pPr>
        <w:spacing w:after="0" w:line="2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6360" w:space="720"/>
            <w:col w:w="4340"/>
          </w:cols>
          <w:pgMar w:left="240" w:top="540" w:right="239" w:bottom="1440" w:gutter="0" w:footer="0" w:header="0"/>
          <w:type w:val="continuous"/>
        </w:sectPr>
      </w:pPr>
    </w:p>
    <w:p>
      <w:pPr>
        <w:spacing w:after="0" w:line="3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14,173,850 common shares as of November 1, 2019.</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4"/>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468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6"/>
              </w:rPr>
              <w:t>Title of each class</w:t>
            </w:r>
          </w:p>
        </w:tc>
        <w:tc>
          <w:tcPr>
            <w:tcW w:w="308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89"/>
              </w:rPr>
              <w:t>Trading symbol</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20" w:type="dxa"/>
            <w:vAlign w:val="bottom"/>
          </w:tcPr>
          <w:p>
            <w:pPr>
              <w:spacing w:after="0"/>
              <w:rPr>
                <w:sz w:val="20"/>
                <w:szCs w:val="20"/>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96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3"/>
              </w:rPr>
              <w:t>OPRX</w:t>
            </w:r>
          </w:p>
        </w:tc>
        <w:tc>
          <w:tcPr>
            <w:tcW w:w="1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r>
        <w:trPr>
          <w:trHeight w:val="202"/>
        </w:trPr>
        <w:tc>
          <w:tcPr>
            <w:tcW w:w="20" w:type="dxa"/>
            <w:vAlign w:val="bottom"/>
          </w:tcPr>
          <w:p>
            <w:pPr>
              <w:spacing w:after="0"/>
              <w:rPr>
                <w:sz w:val="17"/>
                <w:szCs w:val="17"/>
                <w:color w:val="auto"/>
              </w:rPr>
            </w:pPr>
          </w:p>
        </w:tc>
        <w:tc>
          <w:tcPr>
            <w:tcW w:w="3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r>
      <w:tr>
        <w:trPr>
          <w:trHeight w:val="28"/>
        </w:trPr>
        <w:tc>
          <w:tcPr>
            <w:tcW w:w="2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682"/>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40" w:right="2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60" w:type="dxa"/>
            <w:vAlign w:val="bottom"/>
            <w:gridSpan w:val="8"/>
          </w:tcPr>
          <w:p>
            <w:pPr>
              <w:ind w:left="70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17"/>
                <w:szCs w:val="17"/>
                <w:color w:val="auto"/>
              </w:rPr>
            </w:pPr>
          </w:p>
        </w:tc>
      </w:tr>
      <w:tr>
        <w:trPr>
          <w:trHeight w:val="460"/>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Page</w:t>
            </w:r>
          </w:p>
        </w:tc>
      </w:tr>
      <w:tr>
        <w:trPr>
          <w:trHeight w:val="392"/>
        </w:trPr>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342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720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12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9"/>
              </w:rPr>
              <w:t>13</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20">
              <w:r>
                <w:rPr>
                  <w:rFonts w:ascii="Arial" w:cs="Arial" w:eastAsia="Arial" w:hAnsi="Arial"/>
                  <w:sz w:val="18"/>
                  <w:szCs w:val="18"/>
                  <w:color w:val="0000EE"/>
                  <w:w w:val="92"/>
                </w:rPr>
                <w:t>Quantitative and Qualitative Disclosures About Market Risk</w:t>
              </w:r>
            </w:hyperlink>
          </w:p>
        </w:tc>
        <w:tc>
          <w:tcPr>
            <w:tcW w:w="5220" w:type="dxa"/>
            <w:vAlign w:val="bottom"/>
            <w:gridSpan w:val="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9"/>
              </w:rPr>
              <w:t>18</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r>
      <w:tr>
        <w:trPr>
          <w:trHeight w:val="412"/>
        </w:trPr>
        <w:tc>
          <w:tcPr>
            <w:tcW w:w="116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gridSpan w:val="8"/>
          </w:tcPr>
          <w:p>
            <w:pPr>
              <w:jc w:val="center"/>
              <w:ind w:right="3600"/>
              <w:spacing w:after="0"/>
              <w:rPr>
                <w:sz w:val="20"/>
                <w:szCs w:val="20"/>
                <w:color w:val="auto"/>
              </w:rPr>
            </w:pPr>
            <w:r>
              <w:rPr>
                <w:rFonts w:ascii="Arial" w:cs="Arial" w:eastAsia="Arial" w:hAnsi="Arial"/>
                <w:sz w:val="18"/>
                <w:szCs w:val="18"/>
                <w:b w:val="1"/>
                <w:bCs w:val="1"/>
                <w:color w:val="auto"/>
              </w:rPr>
              <w:t>PART II – OTHER INFORMATION</w:t>
            </w:r>
          </w:p>
        </w:tc>
        <w:tc>
          <w:tcPr>
            <w:tcW w:w="68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1780" w:type="dxa"/>
            <w:vAlign w:val="bottom"/>
            <w:gridSpan w:val="6"/>
          </w:tcPr>
          <w:p>
            <w:pPr>
              <w:spacing w:after="0"/>
              <w:rPr>
                <w:sz w:val="24"/>
                <w:szCs w:val="24"/>
                <w:color w:val="auto"/>
              </w:rPr>
            </w:pPr>
          </w:p>
        </w:tc>
        <w:tc>
          <w:tcPr>
            <w:tcW w:w="2860" w:type="dxa"/>
            <w:vAlign w:val="bottom"/>
            <w:tcBorders>
              <w:top w:val="single" w:sz="8" w:color="auto"/>
            </w:tcBorders>
            <w:gridSpan w:val="5"/>
          </w:tcPr>
          <w:p>
            <w:pPr>
              <w:spacing w:after="0"/>
              <w:rPr>
                <w:sz w:val="24"/>
                <w:szCs w:val="24"/>
                <w:color w:val="auto"/>
              </w:rPr>
            </w:pPr>
          </w:p>
        </w:tc>
        <w:tc>
          <w:tcPr>
            <w:tcW w:w="3600" w:type="dxa"/>
            <w:vAlign w:val="bottom"/>
            <w:gridSpan w:val="3"/>
          </w:tcPr>
          <w:p>
            <w:pPr>
              <w:spacing w:after="0"/>
              <w:rPr>
                <w:sz w:val="24"/>
                <w:szCs w:val="24"/>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58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40" w:type="dxa"/>
            <w:vAlign w:val="bottom"/>
            <w:gridSpan w:val="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580" w:type="dxa"/>
            <w:vAlign w:val="bottom"/>
            <w:gridSpan w:val="1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5240" w:type="dxa"/>
            <w:vAlign w:val="bottom"/>
            <w:gridSpan w:val="6"/>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Mine Safety Disclosure</w:t>
              </w:r>
            </w:hyperlink>
          </w:p>
        </w:tc>
        <w:tc>
          <w:tcPr>
            <w:tcW w:w="620" w:type="dxa"/>
            <w:vAlign w:val="bottom"/>
            <w:tcBorders>
              <w:top w:val="single" w:sz="8" w:color="0000EE"/>
            </w:tcBorders>
            <w:gridSpan w:val="2"/>
          </w:tcPr>
          <w:p>
            <w:pPr>
              <w:spacing w:after="0"/>
              <w:rPr>
                <w:sz w:val="17"/>
                <w:szCs w:val="17"/>
                <w:color w:val="auto"/>
              </w:rPr>
            </w:pPr>
          </w:p>
        </w:tc>
        <w:tc>
          <w:tcPr>
            <w:tcW w:w="7260" w:type="dxa"/>
            <w:vAlign w:val="bottom"/>
            <w:gridSpan w:val="11"/>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2">
              <w:r>
                <w:rPr>
                  <w:rFonts w:ascii="Arial" w:cs="Arial" w:eastAsia="Arial" w:hAnsi="Arial"/>
                  <w:sz w:val="18"/>
                  <w:szCs w:val="18"/>
                  <w:color w:val="0000EE"/>
                  <w:w w:val="92"/>
                </w:rPr>
                <w:t>Other Information</w:t>
              </w:r>
            </w:hyperlink>
          </w:p>
        </w:tc>
        <w:tc>
          <w:tcPr>
            <w:tcW w:w="8260" w:type="dxa"/>
            <w:vAlign w:val="bottom"/>
            <w:gridSpan w:val="1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8980" w:type="dxa"/>
            <w:vAlign w:val="bottom"/>
            <w:gridSpan w:val="17"/>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financial statements included in this Form 10-Q are as follows:</w:t>
      </w:r>
    </w:p>
    <w:p>
      <w:pPr>
        <w:spacing w:after="0" w:line="225" w:lineRule="exact"/>
        <w:rPr>
          <w:sz w:val="20"/>
          <w:szCs w:val="20"/>
          <w:color w:val="auto"/>
        </w:rPr>
      </w:pPr>
    </w:p>
    <w:p>
      <w:pPr>
        <w:jc w:val="center"/>
        <w:ind w:right="10380"/>
        <w:spacing w:after="0"/>
        <w:rPr>
          <w:sz w:val="20"/>
          <w:szCs w:val="20"/>
          <w:color w:val="auto"/>
        </w:rPr>
      </w:pPr>
      <w:r>
        <w:rPr>
          <w:rFonts w:ascii="Arial" w:cs="Arial" w:eastAsia="Arial" w:hAnsi="Arial"/>
          <w:sz w:val="18"/>
          <w:szCs w:val="18"/>
          <w:color w:val="auto"/>
        </w:rPr>
        <w:t>Page</w:t>
      </w:r>
    </w:p>
    <w:p>
      <w:pPr>
        <w:spacing w:after="0" w:line="23" w:lineRule="exact"/>
        <w:rPr>
          <w:sz w:val="20"/>
          <w:szCs w:val="20"/>
          <w:color w:val="auto"/>
        </w:rPr>
      </w:pPr>
    </w:p>
    <w:p>
      <w:pPr>
        <w:jc w:val="center"/>
        <w:ind w:right="10380"/>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829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2930" cy="17145"/>
                    </a:xfrm>
                    <a:prstGeom prst="rect">
                      <a:avLst/>
                    </a:prstGeom>
                    <a:noFill/>
                  </pic:spPr>
                </pic:pic>
              </a:graphicData>
            </a:graphic>
          </wp:anchor>
        </w:drawing>
      </w:r>
    </w:p>
    <w:p>
      <w:pPr>
        <w:spacing w:after="0" w:line="2" w:lineRule="exact"/>
        <w:rPr>
          <w:sz w:val="20"/>
          <w:szCs w:val="20"/>
          <w:color w:val="auto"/>
        </w:rPr>
      </w:pPr>
    </w:p>
    <w:p>
      <w:pPr>
        <w:ind w:left="1040" w:hanging="618"/>
        <w:spacing w:after="0"/>
        <w:tabs>
          <w:tab w:leader="none" w:pos="104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September 30, 2019 (unaudited) and December 31, 2018;</w:t>
        </w:r>
      </w:hyperlink>
    </w:p>
    <w:p>
      <w:pPr>
        <w:spacing w:after="0" w:line="23" w:lineRule="exact"/>
        <w:rPr>
          <w:sz w:val="20"/>
          <w:szCs w:val="20"/>
          <w:color w:val="auto"/>
        </w:rPr>
      </w:pPr>
    </w:p>
    <w:p>
      <w:pPr>
        <w:ind w:left="1040" w:hanging="618"/>
        <w:spacing w:after="0"/>
        <w:tabs>
          <w:tab w:leader="none" w:pos="1040" w:val="left"/>
        </w:tabs>
        <w:numPr>
          <w:ilvl w:val="0"/>
          <w:numId w:val="3"/>
        </w:numPr>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Condensed Consolidated Statements of Operations for the three and nine months ended September 30, 2019 and 2018 (unaudited);</w:t>
        </w:r>
      </w:hyperlink>
    </w:p>
    <w:p>
      <w:pPr>
        <w:spacing w:after="0" w:line="21" w:lineRule="exact"/>
        <w:rPr>
          <w:sz w:val="20"/>
          <w:szCs w:val="20"/>
          <w:color w:val="auto"/>
        </w:rPr>
      </w:pPr>
    </w:p>
    <w:p>
      <w:pPr>
        <w:ind w:left="1040" w:hanging="618"/>
        <w:spacing w:after="0"/>
        <w:tabs>
          <w:tab w:leader="none" w:pos="1040" w:val="left"/>
        </w:tabs>
        <w:numPr>
          <w:ilvl w:val="0"/>
          <w:numId w:val="4"/>
        </w:numPr>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Condensed Consolidated Statements of Changes in Stockholders’ Equity for the three and nine months ended September 30, 2019 (unaudited)</w:t>
        </w:r>
      </w:hyperlink>
    </w:p>
    <w:p>
      <w:pPr>
        <w:spacing w:after="0" w:line="32" w:lineRule="exact"/>
        <w:rPr>
          <w:rFonts w:ascii="Arial" w:cs="Arial" w:eastAsia="Arial" w:hAnsi="Arial"/>
          <w:sz w:val="16"/>
          <w:szCs w:val="16"/>
          <w:u w:val="single" w:color="auto"/>
          <w:color w:val="0000EE"/>
        </w:rPr>
      </w:pPr>
    </w:p>
    <w:p>
      <w:pPr>
        <w:ind w:left="420"/>
        <w:spacing w:after="0"/>
        <w:rPr>
          <w:rFonts w:ascii="Arial" w:cs="Arial" w:eastAsia="Arial" w:hAnsi="Arial"/>
          <w:sz w:val="16"/>
          <w:szCs w:val="16"/>
          <w:u w:val="single" w:color="auto"/>
          <w:color w:val="0000EE"/>
        </w:rPr>
      </w:pPr>
      <w:r>
        <w:rPr>
          <w:rFonts w:ascii="Arial" w:cs="Arial" w:eastAsia="Arial" w:hAnsi="Arial"/>
          <w:sz w:val="18"/>
          <w:szCs w:val="18"/>
          <w:color w:val="auto"/>
        </w:rPr>
        <w:t>5</w:t>
      </w:r>
      <w:hyperlink w:anchor="page7">
        <w:r>
          <w:rPr>
            <w:rFonts w:ascii="Arial" w:cs="Arial" w:eastAsia="Arial" w:hAnsi="Arial"/>
            <w:sz w:val="16"/>
            <w:szCs w:val="16"/>
            <w:u w:val="single" w:color="auto"/>
            <w:color w:val="0000EE"/>
          </w:rPr>
          <w:t>Condensed Consolidated Statements of Changes in Stockholders’ Equity for the three and nine months ended September 30, 2018 (unaudited)</w:t>
        </w:r>
      </w:hyperlink>
    </w:p>
    <w:p>
      <w:pPr>
        <w:spacing w:after="0" w:line="9" w:lineRule="exact"/>
        <w:rPr>
          <w:rFonts w:ascii="Arial" w:cs="Arial" w:eastAsia="Arial" w:hAnsi="Arial"/>
          <w:sz w:val="16"/>
          <w:szCs w:val="16"/>
          <w:u w:val="single" w:color="auto"/>
          <w:color w:val="0000EE"/>
        </w:rPr>
      </w:pPr>
    </w:p>
    <w:p>
      <w:pPr>
        <w:ind w:left="420"/>
        <w:spacing w:after="0"/>
        <w:rPr>
          <w:rFonts w:ascii="Arial" w:cs="Arial" w:eastAsia="Arial" w:hAnsi="Arial"/>
          <w:sz w:val="16"/>
          <w:szCs w:val="16"/>
          <w:u w:val="single" w:color="auto"/>
          <w:color w:val="0000EE"/>
        </w:rPr>
      </w:pPr>
      <w:r>
        <w:rPr>
          <w:rFonts w:ascii="Arial" w:cs="Arial" w:eastAsia="Arial" w:hAnsi="Arial"/>
          <w:sz w:val="18"/>
          <w:szCs w:val="18"/>
          <w:color w:val="auto"/>
        </w:rPr>
        <w:t>6</w:t>
      </w:r>
      <w:hyperlink w:anchor="page8">
        <w:r>
          <w:rPr>
            <w:rFonts w:ascii="Arial" w:cs="Arial" w:eastAsia="Arial" w:hAnsi="Arial"/>
            <w:sz w:val="16"/>
            <w:szCs w:val="16"/>
            <w:u w:val="single" w:color="auto"/>
            <w:color w:val="0000EE"/>
          </w:rPr>
          <w:t>Condensed Consolidated Statements of Cash Flows for the nine months ended September 30, 2019 and 2018 (unaudited);</w:t>
        </w:r>
      </w:hyperlink>
    </w:p>
    <w:p>
      <w:pPr>
        <w:spacing w:after="0" w:line="9" w:lineRule="exact"/>
        <w:rPr>
          <w:rFonts w:ascii="Arial" w:cs="Arial" w:eastAsia="Arial" w:hAnsi="Arial"/>
          <w:sz w:val="16"/>
          <w:szCs w:val="16"/>
          <w:u w:val="single" w:color="auto"/>
          <w:color w:val="0000EE"/>
        </w:rPr>
      </w:pPr>
    </w:p>
    <w:p>
      <w:pPr>
        <w:ind w:left="420"/>
        <w:spacing w:after="0"/>
        <w:rPr>
          <w:rFonts w:ascii="Arial" w:cs="Arial" w:eastAsia="Arial" w:hAnsi="Arial"/>
          <w:sz w:val="16"/>
          <w:szCs w:val="16"/>
          <w:u w:val="single" w:color="auto"/>
          <w:color w:val="0000EE"/>
        </w:rPr>
      </w:pPr>
      <w:r>
        <w:rPr>
          <w:rFonts w:ascii="Arial" w:cs="Arial" w:eastAsia="Arial" w:hAnsi="Arial"/>
          <w:sz w:val="18"/>
          <w:szCs w:val="18"/>
          <w:color w:val="auto"/>
        </w:rPr>
        <w:t>7</w:t>
      </w:r>
      <w:hyperlink w:anchor="page9">
        <w:r>
          <w:rPr>
            <w:rFonts w:ascii="Arial" w:cs="Arial" w:eastAsia="Arial" w:hAnsi="Arial"/>
            <w:sz w:val="16"/>
            <w:szCs w:val="16"/>
            <w:u w:val="single" w:color="auto"/>
            <w:color w:val="0000EE"/>
          </w:rPr>
          <w:t>Notes to Condensed Consolidated Financial Statements.</w:t>
        </w:r>
      </w:hyperlink>
    </w:p>
    <w:p>
      <w:pPr>
        <w:spacing w:after="0" w:line="200" w:lineRule="exact"/>
        <w:rPr>
          <w:rFonts w:ascii="Arial" w:cs="Arial" w:eastAsia="Arial" w:hAnsi="Arial"/>
          <w:sz w:val="16"/>
          <w:szCs w:val="16"/>
          <w:u w:val="single" w:color="auto"/>
          <w:color w:val="0000EE"/>
        </w:rPr>
      </w:pPr>
    </w:p>
    <w:p>
      <w:pPr>
        <w:spacing w:after="0" w:line="220" w:lineRule="exact"/>
        <w:rPr>
          <w:rFonts w:ascii="Arial" w:cs="Arial" w:eastAsia="Arial" w:hAnsi="Arial"/>
          <w:sz w:val="16"/>
          <w:szCs w:val="16"/>
          <w:u w:val="single" w:color="auto"/>
          <w:color w:val="0000EE"/>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904" w:right="35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jc w:val="both"/>
        <w:ind w:right="100" w:firstLine="180"/>
        <w:spacing w:after="0" w:line="298" w:lineRule="auto"/>
        <w:rPr>
          <w:sz w:val="20"/>
          <w:szCs w:val="20"/>
          <w:color w:val="auto"/>
        </w:rPr>
      </w:pPr>
      <w:r>
        <w:rPr>
          <w:rFonts w:ascii="Arial" w:cs="Arial" w:eastAsia="Arial" w:hAnsi="Arial"/>
          <w:sz w:val="17"/>
          <w:szCs w:val="17"/>
          <w:color w:val="auto"/>
        </w:rPr>
        <w:t>Prepaid expenses Total Current Assets Property and equipment, net</w:t>
      </w: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right="740"/>
        <w:spacing w:after="0" w:line="265" w:lineRule="auto"/>
        <w:rPr>
          <w:sz w:val="20"/>
          <w:szCs w:val="20"/>
          <w:color w:val="auto"/>
        </w:rPr>
      </w:pPr>
      <w:r>
        <w:rPr>
          <w:rFonts w:ascii="Arial" w:cs="Arial" w:eastAsia="Arial" w:hAnsi="Arial"/>
          <w:sz w:val="17"/>
          <w:szCs w:val="17"/>
          <w:color w:val="auto"/>
        </w:rPr>
        <w:t>Goodwill Patent rights, net</w:t>
      </w:r>
    </w:p>
    <w:p>
      <w:pPr>
        <w:ind w:left="180"/>
        <w:spacing w:after="0"/>
        <w:rPr>
          <w:sz w:val="20"/>
          <w:szCs w:val="20"/>
          <w:color w:val="auto"/>
        </w:rPr>
      </w:pPr>
      <w:r>
        <w:rPr>
          <w:rFonts w:ascii="Arial" w:cs="Arial" w:eastAsia="Arial" w:hAnsi="Arial"/>
          <w:sz w:val="16"/>
          <w:szCs w:val="16"/>
          <w:color w:val="auto"/>
        </w:rPr>
        <w:t>Other intangible assets, net</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 of use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assets and deposits</w:t>
      </w:r>
    </w:p>
    <w:p>
      <w:pPr>
        <w:spacing w:after="0" w:line="45" w:lineRule="exact"/>
        <w:rPr>
          <w:sz w:val="20"/>
          <w:szCs w:val="20"/>
          <w:color w:val="auto"/>
        </w:rPr>
      </w:pPr>
    </w:p>
    <w:p>
      <w:pPr>
        <w:ind w:right="800"/>
        <w:spacing w:after="0" w:line="377" w:lineRule="auto"/>
        <w:rPr>
          <w:sz w:val="20"/>
          <w:szCs w:val="20"/>
          <w:color w:val="auto"/>
        </w:rPr>
      </w:pPr>
      <w:r>
        <w:rPr>
          <w:rFonts w:ascii="Arial" w:cs="Arial" w:eastAsia="Arial" w:hAnsi="Arial"/>
          <w:sz w:val="16"/>
          <w:szCs w:val="16"/>
          <w:color w:val="auto"/>
        </w:rPr>
        <w:t>Total Other Assets TOTAL ASSETS</w:t>
      </w:r>
    </w:p>
    <w:p>
      <w:pPr>
        <w:spacing w:after="0" w:line="20" w:lineRule="exact"/>
        <w:rPr>
          <w:sz w:val="20"/>
          <w:szCs w:val="20"/>
          <w:color w:val="auto"/>
        </w:rPr>
      </w:pPr>
      <w:r>
        <w:rPr>
          <w:sz w:val="20"/>
          <w:szCs w:val="20"/>
          <w:color w:val="auto"/>
        </w:rPr>
        <w:br w:type="column"/>
      </w:r>
    </w:p>
    <w:p>
      <w:pPr>
        <w:jc w:val="center"/>
        <w:ind w:right="23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23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1"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0"/>
        </w:trPr>
        <w:tc>
          <w:tcPr>
            <w:tcW w:w="4900" w:type="dxa"/>
            <w:vAlign w:val="bottom"/>
            <w:gridSpan w:val="2"/>
            <w:vMerge w:val="restart"/>
          </w:tcPr>
          <w:p>
            <w:pPr>
              <w:jc w:val="right"/>
              <w:ind w:right="4150"/>
              <w:spacing w:after="0"/>
              <w:rPr>
                <w:sz w:val="20"/>
                <w:szCs w:val="20"/>
                <w:color w:val="auto"/>
              </w:rPr>
            </w:pPr>
            <w:r>
              <w:rPr>
                <w:rFonts w:ascii="Arial" w:cs="Arial" w:eastAsia="Arial" w:hAnsi="Arial"/>
                <w:sz w:val="18"/>
                <w:szCs w:val="18"/>
                <w:b w:val="1"/>
                <w:bCs w:val="1"/>
                <w:color w:val="auto"/>
                <w:w w:val="88"/>
              </w:rPr>
              <w:t>ASSETS</w:t>
            </w: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900" w:type="dxa"/>
            <w:vAlign w:val="bottom"/>
            <w:gridSpan w:val="2"/>
            <w:vMerge w:val="continue"/>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29,759,967</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8,914,034</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7,158,390</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6,457,841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973,177</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360,146</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37,891,534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15,732,021</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156,809</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149,330</w:t>
            </w:r>
          </w:p>
        </w:tc>
        <w:tc>
          <w:tcPr>
            <w:tcW w:w="0" w:type="dxa"/>
            <w:vAlign w:val="bottom"/>
          </w:tcPr>
          <w:p>
            <w:pPr>
              <w:spacing w:after="0"/>
              <w:rPr>
                <w:sz w:val="1"/>
                <w:szCs w:val="1"/>
                <w:color w:val="auto"/>
              </w:rPr>
            </w:pPr>
          </w:p>
        </w:tc>
      </w:tr>
      <w:tr>
        <w:trPr>
          <w:trHeight w:val="418"/>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3,678,513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3,678,513</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2,604,677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2,766,944</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3,542,462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2,492,123</w:t>
            </w:r>
          </w:p>
        </w:tc>
        <w:tc>
          <w:tcPr>
            <w:tcW w:w="0" w:type="dxa"/>
            <w:vAlign w:val="bottom"/>
          </w:tcPr>
          <w:p>
            <w:pPr>
              <w:spacing w:after="0"/>
              <w:rPr>
                <w:sz w:val="1"/>
                <w:szCs w:val="1"/>
                <w:color w:val="auto"/>
              </w:rPr>
            </w:pPr>
          </w:p>
        </w:tc>
      </w:tr>
      <w:tr>
        <w:trPr>
          <w:trHeight w:val="230"/>
        </w:trPr>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587,497</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92,239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235,647</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10,505,388</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9,173,227</w:t>
            </w:r>
          </w:p>
        </w:tc>
        <w:tc>
          <w:tcPr>
            <w:tcW w:w="0" w:type="dxa"/>
            <w:vAlign w:val="bottom"/>
          </w:tcPr>
          <w:p>
            <w:pPr>
              <w:spacing w:after="0"/>
              <w:rPr>
                <w:sz w:val="1"/>
                <w:szCs w:val="1"/>
                <w:color w:val="auto"/>
              </w:rPr>
            </w:pPr>
          </w:p>
        </w:tc>
      </w:tr>
      <w:tr>
        <w:trPr>
          <w:trHeight w:val="250"/>
        </w:trPr>
        <w:tc>
          <w:tcPr>
            <w:tcW w:w="4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48,553,731</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25,054,578</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2" w:lineRule="exact"/>
        <w:rPr>
          <w:sz w:val="20"/>
          <w:szCs w:val="20"/>
          <w:color w:val="auto"/>
        </w:rPr>
      </w:pPr>
    </w:p>
    <w:p>
      <w:pPr>
        <w:sectPr>
          <w:pgSz w:w="11900" w:h="16838" w:orient="portrait"/>
          <w:cols w:equalWidth="0" w:num="2">
            <w:col w:w="2140" w:space="260"/>
            <w:col w:w="8980"/>
          </w:cols>
          <w:pgMar w:left="240" w:top="904" w:right="279" w:bottom="1440" w:gutter="0" w:footer="0" w:header="0"/>
        </w:sect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1,095,474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411,010</w:t>
            </w:r>
          </w:p>
        </w:tc>
        <w:tc>
          <w:tcPr>
            <w:tcW w:w="6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607,000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1,300,882</w:t>
            </w:r>
          </w:p>
        </w:tc>
        <w:tc>
          <w:tcPr>
            <w:tcW w:w="6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1,668,287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1,908,616</w:t>
            </w:r>
          </w:p>
        </w:tc>
        <w:tc>
          <w:tcPr>
            <w:tcW w:w="6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113,476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810,000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1"/>
        </w:trPr>
        <w:tc>
          <w:tcPr>
            <w:tcW w:w="8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1,115,904</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610,625</w:t>
            </w:r>
          </w:p>
        </w:tc>
        <w:tc>
          <w:tcPr>
            <w:tcW w:w="60" w:type="dxa"/>
            <w:vAlign w:val="bottom"/>
          </w:tcPr>
          <w:p>
            <w:pPr>
              <w:spacing w:after="0"/>
              <w:rPr>
                <w:sz w:val="21"/>
                <w:szCs w:val="21"/>
                <w:color w:val="auto"/>
              </w:rPr>
            </w:pPr>
          </w:p>
        </w:tc>
      </w:tr>
      <w:tr>
        <w:trPr>
          <w:trHeight w:val="223"/>
        </w:trPr>
        <w:tc>
          <w:tcPr>
            <w:tcW w:w="8700" w:type="dxa"/>
            <w:vAlign w:val="bottom"/>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5,410,141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4,231,133</w:t>
            </w:r>
          </w:p>
        </w:tc>
        <w:tc>
          <w:tcPr>
            <w:tcW w:w="60" w:type="dxa"/>
            <w:vAlign w:val="bottom"/>
          </w:tcPr>
          <w:p>
            <w:pPr>
              <w:spacing w:after="0"/>
              <w:rPr>
                <w:sz w:val="19"/>
                <w:szCs w:val="19"/>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478,201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1"/>
        </w:trPr>
        <w:tc>
          <w:tcPr>
            <w:tcW w:w="8700" w:type="dxa"/>
            <w:vAlign w:val="bottom"/>
          </w:tcPr>
          <w:p>
            <w:pPr>
              <w:ind w:left="180"/>
              <w:spacing w:after="0"/>
              <w:rPr>
                <w:sz w:val="20"/>
                <w:szCs w:val="20"/>
                <w:color w:val="auto"/>
              </w:rPr>
            </w:pPr>
            <w:r>
              <w:rPr>
                <w:rFonts w:ascii="Arial" w:cs="Arial" w:eastAsia="Arial" w:hAnsi="Arial"/>
                <w:sz w:val="18"/>
                <w:szCs w:val="18"/>
                <w:color w:val="auto"/>
              </w:rPr>
              <w:t>Contingent purchase price payable, net of current portion</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1,530,000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2,365,000</w:t>
            </w:r>
          </w:p>
        </w:tc>
        <w:tc>
          <w:tcPr>
            <w:tcW w:w="60" w:type="dxa"/>
            <w:vAlign w:val="bottom"/>
          </w:tcPr>
          <w:p>
            <w:pPr>
              <w:spacing w:after="0"/>
              <w:rPr>
                <w:sz w:val="21"/>
                <w:szCs w:val="21"/>
                <w:color w:val="auto"/>
              </w:rPr>
            </w:pPr>
          </w:p>
        </w:tc>
      </w:tr>
      <w:tr>
        <w:trPr>
          <w:trHeight w:val="223"/>
        </w:trPr>
        <w:tc>
          <w:tcPr>
            <w:tcW w:w="8700" w:type="dxa"/>
            <w:vAlign w:val="bottom"/>
          </w:tcPr>
          <w:p>
            <w:pPr>
              <w:ind w:left="180"/>
              <w:spacing w:after="0" w:line="203" w:lineRule="exact"/>
              <w:rPr>
                <w:sz w:val="20"/>
                <w:szCs w:val="20"/>
                <w:color w:val="auto"/>
              </w:rPr>
            </w:pPr>
            <w:r>
              <w:rPr>
                <w:rFonts w:ascii="Arial" w:cs="Arial" w:eastAsia="Arial" w:hAnsi="Arial"/>
                <w:sz w:val="18"/>
                <w:szCs w:val="18"/>
                <w:color w:val="auto"/>
              </w:rPr>
              <w:t>Total Non-current liabilities</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2,008,201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2,365,000</w:t>
            </w:r>
          </w:p>
        </w:tc>
        <w:tc>
          <w:tcPr>
            <w:tcW w:w="60" w:type="dxa"/>
            <w:vAlign w:val="bottom"/>
          </w:tcPr>
          <w:p>
            <w:pPr>
              <w:spacing w:after="0"/>
              <w:rPr>
                <w:sz w:val="19"/>
                <w:szCs w:val="19"/>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7,418,342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6,596,133</w:t>
            </w:r>
          </w:p>
        </w:tc>
        <w:tc>
          <w:tcPr>
            <w:tcW w:w="60" w:type="dxa"/>
            <w:vAlign w:val="bottom"/>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Commitments and contingencies (See Note 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w w:val="90"/>
              </w:rPr>
              <w:t>Preferred stock, $0.001 par value, 10,000,000 shares authorized, no issued and outstanding at September 30, 2019 or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December 31, 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w w:val="94"/>
              </w:rPr>
              <w:t>Common stock, $0.001 par value, 500,000,000 shares authorized, 14,173,850 and 12,038,618 shares issued and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00" w:type="dxa"/>
            <w:vAlign w:val="bottom"/>
          </w:tcPr>
          <w:p>
            <w:pPr>
              <w:ind w:left="360"/>
              <w:spacing w:after="0"/>
              <w:rPr>
                <w:sz w:val="20"/>
                <w:szCs w:val="20"/>
                <w:color w:val="auto"/>
              </w:rPr>
            </w:pPr>
            <w:r>
              <w:rPr>
                <w:rFonts w:ascii="Arial" w:cs="Arial" w:eastAsia="Arial" w:hAnsi="Arial"/>
                <w:sz w:val="18"/>
                <w:szCs w:val="18"/>
                <w:color w:val="auto"/>
              </w:rPr>
              <w:t>outstanding at September 30, 2019 and December 31, 2018, respectively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14,174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12,039</w:t>
            </w:r>
          </w:p>
        </w:tc>
        <w:tc>
          <w:tcPr>
            <w:tcW w:w="6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72,561,045</w:t>
            </w:r>
          </w:p>
        </w:tc>
        <w:tc>
          <w:tcPr>
            <w:tcW w:w="1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48,725,211</w:t>
            </w:r>
          </w:p>
        </w:tc>
      </w:tr>
      <w:tr>
        <w:trPr>
          <w:trHeight w:val="251"/>
        </w:trPr>
        <w:tc>
          <w:tcPr>
            <w:tcW w:w="87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(31,439,830)</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(30,278,805)</w:t>
            </w:r>
          </w:p>
        </w:tc>
      </w:tr>
      <w:tr>
        <w:trPr>
          <w:trHeight w:val="223"/>
        </w:trPr>
        <w:tc>
          <w:tcPr>
            <w:tcW w:w="870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41,135,389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18,458,445</w:t>
            </w:r>
          </w:p>
        </w:tc>
        <w:tc>
          <w:tcPr>
            <w:tcW w:w="60" w:type="dxa"/>
            <w:vAlign w:val="bottom"/>
          </w:tcPr>
          <w:p>
            <w:pPr>
              <w:spacing w:after="0"/>
              <w:rPr>
                <w:sz w:val="19"/>
                <w:szCs w:val="19"/>
                <w:color w:val="auto"/>
              </w:rPr>
            </w:pPr>
          </w:p>
        </w:tc>
      </w:tr>
      <w:tr>
        <w:trPr>
          <w:trHeight w:val="250"/>
        </w:trPr>
        <w:tc>
          <w:tcPr>
            <w:tcW w:w="870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48,553,731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25,054,578</w:t>
            </w:r>
          </w:p>
        </w:tc>
        <w:tc>
          <w:tcPr>
            <w:tcW w:w="60" w:type="dxa"/>
            <w:vAlign w:val="bottom"/>
          </w:tcPr>
          <w:p>
            <w:pPr>
              <w:spacing w:after="0"/>
              <w:rPr>
                <w:sz w:val="21"/>
                <w:szCs w:val="21"/>
                <w:color w:val="auto"/>
              </w:rPr>
            </w:pPr>
          </w:p>
        </w:tc>
      </w:tr>
      <w:tr>
        <w:trPr>
          <w:trHeight w:val="21"/>
        </w:trPr>
        <w:tc>
          <w:tcPr>
            <w:tcW w:w="8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type w:val="continuous"/>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center"/>
              <w:ind w:right="380"/>
              <w:spacing w:after="0"/>
              <w:rPr>
                <w:sz w:val="20"/>
                <w:szCs w:val="20"/>
                <w:color w:val="auto"/>
              </w:rPr>
            </w:pPr>
            <w:r>
              <w:rPr>
                <w:rFonts w:ascii="Arial" w:cs="Arial" w:eastAsia="Arial" w:hAnsi="Arial"/>
                <w:sz w:val="18"/>
                <w:szCs w:val="18"/>
                <w:color w:val="auto"/>
                <w:w w:val="90"/>
              </w:rPr>
              <w:t>For the Three Months Ended</w:t>
            </w:r>
          </w:p>
        </w:tc>
        <w:tc>
          <w:tcPr>
            <w:tcW w:w="180" w:type="dxa"/>
            <w:vAlign w:val="bottom"/>
          </w:tcPr>
          <w:p>
            <w:pPr>
              <w:spacing w:after="0"/>
              <w:rPr>
                <w:sz w:val="19"/>
                <w:szCs w:val="19"/>
                <w:color w:val="auto"/>
              </w:rPr>
            </w:pPr>
          </w:p>
        </w:tc>
        <w:tc>
          <w:tcPr>
            <w:tcW w:w="2340" w:type="dxa"/>
            <w:vAlign w:val="bottom"/>
            <w:gridSpan w:val="6"/>
          </w:tcPr>
          <w:p>
            <w:pPr>
              <w:jc w:val="center"/>
              <w:ind w:right="200"/>
              <w:spacing w:after="0"/>
              <w:rPr>
                <w:sz w:val="20"/>
                <w:szCs w:val="20"/>
                <w:color w:val="auto"/>
              </w:rPr>
            </w:pPr>
            <w:r>
              <w:rPr>
                <w:rFonts w:ascii="Arial" w:cs="Arial" w:eastAsia="Arial" w:hAnsi="Arial"/>
                <w:sz w:val="18"/>
                <w:szCs w:val="18"/>
                <w:color w:val="auto"/>
                <w:w w:val="91"/>
              </w:rPr>
              <w:t>For the Nine Months Ended</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0"/>
                <w:szCs w:val="20"/>
                <w:color w:val="auto"/>
              </w:rPr>
            </w:pPr>
          </w:p>
        </w:tc>
        <w:tc>
          <w:tcPr>
            <w:tcW w:w="2340" w:type="dxa"/>
            <w:vAlign w:val="bottom"/>
            <w:gridSpan w:val="6"/>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440" w:type="dxa"/>
            <w:vAlign w:val="bottom"/>
          </w:tcPr>
          <w:p>
            <w:pPr>
              <w:spacing w:after="0"/>
              <w:rPr>
                <w:sz w:val="20"/>
                <w:szCs w:val="20"/>
                <w:color w:val="auto"/>
              </w:rPr>
            </w:pPr>
            <w:r>
              <w:rPr>
                <w:rFonts w:ascii="Arial" w:cs="Arial" w:eastAsia="Arial" w:hAnsi="Arial"/>
                <w:sz w:val="18"/>
                <w:szCs w:val="18"/>
                <w:color w:val="auto"/>
              </w:rPr>
              <w:t>NET REVENUE</w:t>
            </w:r>
          </w:p>
        </w:tc>
        <w:tc>
          <w:tcPr>
            <w:tcW w:w="8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5,002,767</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5,415,384</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17,218,492</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14,627,094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5440" w:type="dxa"/>
            <w:vAlign w:val="bottom"/>
          </w:tcPr>
          <w:p>
            <w:pPr>
              <w:spacing w:after="0"/>
              <w:rPr>
                <w:sz w:val="20"/>
                <w:szCs w:val="20"/>
                <w:color w:val="auto"/>
              </w:rPr>
            </w:pPr>
            <w:r>
              <w:rPr>
                <w:rFonts w:ascii="Arial" w:cs="Arial" w:eastAsia="Arial" w:hAnsi="Arial"/>
                <w:sz w:val="18"/>
                <w:szCs w:val="18"/>
                <w:color w:val="auto"/>
              </w:rPr>
              <w:t>COST OF REVENUES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1,981,143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2,268,968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6,251,766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6,513,810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6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3,021,624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3,146,416</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10,966,726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8,113,284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5,008,934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2,923,238</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12,341,827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7,807,705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440" w:type="dxa"/>
            <w:vAlign w:val="bottom"/>
          </w:tcPr>
          <w:p>
            <w:pPr>
              <w:ind w:left="180"/>
              <w:spacing w:after="0" w:line="203" w:lineRule="exact"/>
              <w:rPr>
                <w:sz w:val="20"/>
                <w:szCs w:val="20"/>
                <w:color w:val="auto"/>
              </w:rPr>
            </w:pPr>
            <w:r>
              <w:rPr>
                <w:rFonts w:ascii="Arial" w:cs="Arial" w:eastAsia="Arial" w:hAnsi="Arial"/>
                <w:sz w:val="18"/>
                <w:szCs w:val="18"/>
                <w:color w:val="auto"/>
              </w:rPr>
              <w:t>INCOME (LOSS) FROM OPERATIONS</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(1,987,310</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223,178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(1,375,101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305,579</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5440" w:type="dxa"/>
            <w:vAlign w:val="bottom"/>
          </w:tcPr>
          <w:p>
            <w:pPr>
              <w:spacing w:after="0"/>
              <w:rPr>
                <w:sz w:val="20"/>
                <w:szCs w:val="20"/>
                <w:color w:val="auto"/>
              </w:rPr>
            </w:pPr>
            <w:r>
              <w:rPr>
                <w:rFonts w:ascii="Arial" w:cs="Arial" w:eastAsia="Arial" w:hAnsi="Arial"/>
                <w:sz w:val="18"/>
                <w:szCs w:val="18"/>
                <w:color w:val="auto"/>
              </w:rPr>
              <w:t>OTHER INCOME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136,368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21,750</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192,305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44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280,000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40" w:type="dxa"/>
            <w:vAlign w:val="bottom"/>
            <w:vMerge w:val="restart"/>
          </w:tcPr>
          <w:p>
            <w:pPr>
              <w:ind w:left="180"/>
              <w:spacing w:after="0"/>
              <w:rPr>
                <w:sz w:val="20"/>
                <w:szCs w:val="20"/>
                <w:color w:val="auto"/>
              </w:rPr>
            </w:pPr>
            <w:r>
              <w:rPr>
                <w:rFonts w:ascii="Arial" w:cs="Arial" w:eastAsia="Arial" w:hAnsi="Arial"/>
                <w:sz w:val="18"/>
                <w:szCs w:val="18"/>
                <w:color w:val="auto"/>
              </w:rPr>
              <w:t>TOTAL OTHER INCOME</w:t>
            </w: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54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416,368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21,750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217,305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30,679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44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(1,570,942)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244,928</w:t>
            </w:r>
          </w:p>
        </w:tc>
        <w:tc>
          <w:tcPr>
            <w:tcW w:w="180" w:type="dxa"/>
            <w:vAlign w:val="bottom"/>
          </w:tcPr>
          <w:p>
            <w:pPr>
              <w:spacing w:after="0"/>
              <w:rPr>
                <w:sz w:val="24"/>
                <w:szCs w:val="24"/>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(1,157,796)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336,258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4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vMerge w:val="continue"/>
          </w:tcPr>
          <w:p>
            <w:pPr>
              <w:spacing w:after="0"/>
              <w:rPr>
                <w:sz w:val="21"/>
                <w:szCs w:val="21"/>
                <w:color w:val="auto"/>
              </w:rPr>
            </w:pPr>
          </w:p>
        </w:tc>
        <w:tc>
          <w:tcPr>
            <w:tcW w:w="8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(1,570,942</w:t>
            </w:r>
          </w:p>
        </w:tc>
        <w:tc>
          <w:tcPr>
            <w:tcW w:w="140" w:type="dxa"/>
            <w:vAlign w:val="bottom"/>
            <w:vMerge w:val="continue"/>
          </w:tcPr>
          <w:p>
            <w:pPr>
              <w:spacing w:after="0"/>
              <w:rPr>
                <w:sz w:val="21"/>
                <w:szCs w:val="21"/>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244,928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(1,157,796</w:t>
            </w:r>
          </w:p>
        </w:tc>
        <w:tc>
          <w:tcPr>
            <w:tcW w:w="220" w:type="dxa"/>
            <w:vAlign w:val="bottom"/>
            <w:vMerge w:val="continue"/>
          </w:tcPr>
          <w:p>
            <w:pPr>
              <w:spacing w:after="0"/>
              <w:rPr>
                <w:sz w:val="21"/>
                <w:szCs w:val="21"/>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336,258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440" w:type="dxa"/>
            <w:vAlign w:val="bottom"/>
            <w:vMerge w:val="restart"/>
          </w:tcPr>
          <w:p>
            <w:pPr>
              <w:spacing w:after="0"/>
              <w:rPr>
                <w:sz w:val="20"/>
                <w:szCs w:val="20"/>
                <w:color w:val="auto"/>
              </w:rPr>
            </w:pPr>
            <w:r>
              <w:rPr>
                <w:rFonts w:ascii="Arial" w:cs="Arial" w:eastAsia="Arial" w:hAnsi="Arial"/>
                <w:sz w:val="18"/>
                <w:szCs w:val="18"/>
                <w:color w:val="auto"/>
              </w:rPr>
              <w:t>WEIGHTED AVERGE SHARES OUTSTANDING</w:t>
            </w: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4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40" w:type="dxa"/>
            <w:vAlign w:val="bottom"/>
          </w:tcPr>
          <w:p>
            <w:pPr>
              <w:ind w:left="180"/>
              <w:spacing w:after="0"/>
              <w:rPr>
                <w:sz w:val="20"/>
                <w:szCs w:val="20"/>
                <w:color w:val="auto"/>
              </w:rPr>
            </w:pPr>
            <w:r>
              <w:rPr>
                <w:rFonts w:ascii="Arial" w:cs="Arial" w:eastAsia="Arial" w:hAnsi="Arial"/>
                <w:sz w:val="18"/>
                <w:szCs w:val="18"/>
                <w:color w:val="auto"/>
              </w:rPr>
              <w:t>BASIC</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14,146,489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11,755,500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12,996,590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10,840,584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4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6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14,146,489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12,921,768</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12,996,590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11,766,754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4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4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440" w:type="dxa"/>
            <w:vAlign w:val="bottom"/>
          </w:tcPr>
          <w:p>
            <w:pPr>
              <w:ind w:left="18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line="271" w:lineRule="exact"/>
              <w:rPr>
                <w:sz w:val="20"/>
                <w:szCs w:val="20"/>
                <w:color w:val="auto"/>
              </w:rPr>
            </w:pPr>
            <w:r>
              <w:rPr>
                <w:rFonts w:ascii="Arial" w:cs="Arial" w:eastAsia="Arial" w:hAnsi="Arial"/>
                <w:sz w:val="16"/>
                <w:szCs w:val="16"/>
                <w:color w:val="auto"/>
              </w:rPr>
              <w:t>(0.11</w:t>
            </w:r>
            <w:r>
              <w:rPr>
                <w:rFonts w:ascii="Arial" w:cs="Arial" w:eastAsia="Arial" w:hAnsi="Arial"/>
                <w:sz w:val="31"/>
                <w:szCs w:val="31"/>
                <w:color w:val="auto"/>
                <w:vertAlign w:val="superscript"/>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80"/>
              <w:spacing w:after="0" w:line="271" w:lineRule="exact"/>
              <w:rPr>
                <w:sz w:val="20"/>
                <w:szCs w:val="20"/>
                <w:color w:val="auto"/>
              </w:rPr>
            </w:pPr>
            <w:r>
              <w:rPr>
                <w:rFonts w:ascii="Arial" w:cs="Arial" w:eastAsia="Arial" w:hAnsi="Arial"/>
                <w:sz w:val="16"/>
                <w:szCs w:val="16"/>
                <w:color w:val="auto"/>
              </w:rPr>
              <w:t>(0.09</w:t>
            </w:r>
            <w:r>
              <w:rPr>
                <w:rFonts w:ascii="Arial" w:cs="Arial" w:eastAsia="Arial" w:hAnsi="Arial"/>
                <w:sz w:val="31"/>
                <w:szCs w:val="31"/>
                <w:color w:val="auto"/>
                <w:vertAlign w:val="superscript"/>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4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64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gridSpan w:val="2"/>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4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2019</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1"/>
        </w:trPr>
        <w:tc>
          <w:tcPr>
            <w:tcW w:w="4700" w:type="dxa"/>
            <w:vAlign w:val="bottom"/>
          </w:tcPr>
          <w:p>
            <w:pPr>
              <w:spacing w:after="0"/>
              <w:rPr>
                <w:sz w:val="21"/>
                <w:szCs w:val="21"/>
                <w:color w:val="auto"/>
              </w:rPr>
            </w:pPr>
          </w:p>
        </w:tc>
        <w:tc>
          <w:tcPr>
            <w:tcW w:w="2660" w:type="dxa"/>
            <w:vAlign w:val="bottom"/>
            <w:gridSpan w:val="6"/>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Paid in</w:t>
            </w: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w w:val="99"/>
              </w:rPr>
              <w:t>Accumulated</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00" w:type="dxa"/>
            <w:vAlign w:val="bottom"/>
          </w:tcPr>
          <w:p>
            <w:pPr>
              <w:spacing w:after="0"/>
              <w:rPr>
                <w:sz w:val="20"/>
                <w:szCs w:val="20"/>
                <w:color w:val="auto"/>
              </w:rPr>
            </w:pPr>
          </w:p>
        </w:tc>
        <w:tc>
          <w:tcPr>
            <w:tcW w:w="11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Capital</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Deficit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Balance January 1, 2019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12,038,618</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48,725,211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(30,278,805)</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18,458,445</w:t>
            </w:r>
          </w:p>
        </w:tc>
        <w:tc>
          <w:tcPr>
            <w:tcW w:w="60" w:type="dxa"/>
            <w:vAlign w:val="bottom"/>
          </w:tcPr>
          <w:p>
            <w:pPr>
              <w:spacing w:after="0"/>
              <w:rPr>
                <w:sz w:val="24"/>
                <w:szCs w:val="24"/>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w w:val="96"/>
              </w:rPr>
              <w:t>Cumulative effect of change in accounting principle related to</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lease accounting</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for restricted stock awards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130,001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101,878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343,683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343,785</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106,026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106,034</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530,312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530,312</w:t>
            </w:r>
          </w:p>
        </w:tc>
        <w:tc>
          <w:tcPr>
            <w:tcW w:w="60" w:type="dxa"/>
            <w:vAlign w:val="bottom"/>
          </w:tcPr>
          <w:p>
            <w:pPr>
              <w:spacing w:after="0"/>
              <w:rPr>
                <w:sz w:val="18"/>
                <w:szCs w:val="18"/>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6,529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6,529</w:t>
            </w:r>
          </w:p>
        </w:tc>
        <w:tc>
          <w:tcPr>
            <w:tcW w:w="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Balance March 31, 2019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12,278,833</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12,279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49,705,102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(30,275,505)</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19,441,876</w:t>
            </w:r>
          </w:p>
        </w:tc>
        <w:tc>
          <w:tcPr>
            <w:tcW w:w="60" w:type="dxa"/>
            <w:vAlign w:val="bottom"/>
          </w:tcPr>
          <w:p>
            <w:pPr>
              <w:spacing w:after="0"/>
              <w:rPr>
                <w:sz w:val="24"/>
                <w:szCs w:val="24"/>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Public offering of common shares for cash, net of offering</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costs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1,769,275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21,302,057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21,303,826</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60,295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214,253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214,314</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135,035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135,043</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408,087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408,087</w:t>
            </w:r>
          </w:p>
        </w:tc>
        <w:tc>
          <w:tcPr>
            <w:tcW w:w="60" w:type="dxa"/>
            <w:vAlign w:val="bottom"/>
          </w:tcPr>
          <w:p>
            <w:pPr>
              <w:spacing w:after="0"/>
              <w:rPr>
                <w:sz w:val="18"/>
                <w:szCs w:val="18"/>
                <w:color w:val="auto"/>
              </w:rPr>
            </w:pPr>
          </w:p>
        </w:tc>
      </w:tr>
      <w:tr>
        <w:trPr>
          <w:trHeight w:val="251"/>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406,617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406,617</w:t>
            </w:r>
          </w:p>
        </w:tc>
        <w:tc>
          <w:tcPr>
            <w:tcW w:w="60" w:type="dxa"/>
            <w:vAlign w:val="bottom"/>
          </w:tcPr>
          <w:p>
            <w:pPr>
              <w:spacing w:after="0"/>
              <w:rPr>
                <w:sz w:val="21"/>
                <w:szCs w:val="2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Balance June 30, 2019</w:t>
            </w:r>
          </w:p>
        </w:tc>
        <w:tc>
          <w:tcPr>
            <w:tcW w:w="11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6"/>
              </w:rPr>
              <w:t>14,116,739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71,764,534</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(29,868,888)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41,909,763</w:t>
            </w:r>
          </w:p>
        </w:tc>
        <w:tc>
          <w:tcPr>
            <w:tcW w:w="60" w:type="dxa"/>
            <w:vAlign w:val="bottom"/>
          </w:tcPr>
          <w:p>
            <w:pPr>
              <w:spacing w:after="0"/>
              <w:rPr>
                <w:sz w:val="20"/>
                <w:szCs w:val="20"/>
                <w:color w:val="auto"/>
              </w:rPr>
            </w:pPr>
          </w:p>
        </w:tc>
      </w:tr>
      <w:tr>
        <w:trPr>
          <w:trHeight w:val="404"/>
        </w:trPr>
        <w:tc>
          <w:tcPr>
            <w:tcW w:w="470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48,775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206,275</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206,324</w:t>
            </w:r>
          </w:p>
        </w:tc>
        <w:tc>
          <w:tcPr>
            <w:tcW w:w="60" w:type="dxa"/>
            <w:vAlign w:val="bottom"/>
          </w:tcPr>
          <w:p>
            <w:pPr>
              <w:spacing w:after="0"/>
              <w:rPr>
                <w:sz w:val="24"/>
                <w:szCs w:val="24"/>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120,697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120,705</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469,539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469,539</w:t>
            </w:r>
          </w:p>
        </w:tc>
        <w:tc>
          <w:tcPr>
            <w:tcW w:w="60" w:type="dxa"/>
            <w:vAlign w:val="bottom"/>
          </w:tcPr>
          <w:p>
            <w:pPr>
              <w:spacing w:after="0"/>
              <w:rPr>
                <w:sz w:val="18"/>
                <w:szCs w:val="18"/>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(1,570,942)</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(1,570,942)</w:t>
            </w: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470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14,173,850</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72,561,045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(31,439,830</w:t>
            </w:r>
            <w:r>
              <w:rPr>
                <w:rFonts w:ascii="Arial" w:cs="Arial" w:eastAsia="Arial" w:hAnsi="Arial"/>
                <w:sz w:val="36"/>
                <w:szCs w:val="36"/>
                <w:color w:val="auto"/>
                <w:w w:val="96"/>
                <w:vertAlign w:val="superscript"/>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41,135,389</w:t>
            </w:r>
          </w:p>
        </w:tc>
        <w:tc>
          <w:tcPr>
            <w:tcW w:w="60" w:type="dxa"/>
            <w:vAlign w:val="bottom"/>
          </w:tcPr>
          <w:p>
            <w:pPr>
              <w:spacing w:after="0"/>
              <w:rPr>
                <w:sz w:val="24"/>
                <w:szCs w:val="24"/>
                <w:color w:val="auto"/>
              </w:rPr>
            </w:pPr>
          </w:p>
        </w:tc>
      </w:tr>
      <w:tr>
        <w:trPr>
          <w:trHeight w:val="21"/>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2018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96"/>
              </w:rPr>
              <w:t>Additional</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1"/>
        </w:trPr>
        <w:tc>
          <w:tcPr>
            <w:tcW w:w="4700" w:type="dxa"/>
            <w:vAlign w:val="bottom"/>
          </w:tcPr>
          <w:p>
            <w:pPr>
              <w:spacing w:after="0"/>
              <w:rPr>
                <w:sz w:val="21"/>
                <w:szCs w:val="21"/>
                <w:color w:val="auto"/>
              </w:rPr>
            </w:pPr>
          </w:p>
        </w:tc>
        <w:tc>
          <w:tcPr>
            <w:tcW w:w="2660" w:type="dxa"/>
            <w:vAlign w:val="bottom"/>
            <w:gridSpan w:val="6"/>
          </w:tcPr>
          <w:p>
            <w:pPr>
              <w:jc w:val="right"/>
              <w:ind w:right="82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Paid in</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4700" w:type="dxa"/>
            <w:vAlign w:val="bottom"/>
          </w:tcPr>
          <w:p>
            <w:pPr>
              <w:spacing w:after="0"/>
              <w:rPr>
                <w:sz w:val="20"/>
                <w:szCs w:val="20"/>
                <w:color w:val="auto"/>
              </w:rPr>
            </w:pPr>
          </w:p>
        </w:tc>
        <w:tc>
          <w:tcPr>
            <w:tcW w:w="11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Shares</w:t>
            </w: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Capital</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20"/>
                <w:szCs w:val="20"/>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Balance January 1, 2018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9,772,694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9,773</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36,573,888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(30,363,122)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6,220,539</w:t>
            </w:r>
          </w:p>
        </w:tc>
        <w:tc>
          <w:tcPr>
            <w:tcW w:w="60" w:type="dxa"/>
            <w:vAlign w:val="bottom"/>
          </w:tcPr>
          <w:p>
            <w:pPr>
              <w:spacing w:after="0"/>
              <w:rPr>
                <w:sz w:val="24"/>
                <w:szCs w:val="24"/>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w w:val="96"/>
              </w:rPr>
              <w:t>Cumulative effect of change in accounting principle related to</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revenue recognition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(142,027)</w:t>
            </w:r>
          </w:p>
        </w:tc>
        <w:tc>
          <w:tcPr>
            <w:tcW w:w="2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(142,027)</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for revenue share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446,900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447,000</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6,249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28,869</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28,875</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468,247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468,247</w:t>
            </w:r>
          </w:p>
        </w:tc>
        <w:tc>
          <w:tcPr>
            <w:tcW w:w="60" w:type="dxa"/>
            <w:vAlign w:val="bottom"/>
          </w:tcPr>
          <w:p>
            <w:pPr>
              <w:spacing w:after="0"/>
              <w:rPr>
                <w:sz w:val="18"/>
                <w:szCs w:val="18"/>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(189,179)</w:t>
            </w:r>
          </w:p>
        </w:tc>
        <w:tc>
          <w:tcPr>
            <w:tcW w:w="20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(189,179)</w:t>
            </w: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Balance March 31, 2018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9,878,943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9,879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37,517,904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(30,694,328)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6,833,455</w:t>
            </w:r>
          </w:p>
        </w:tc>
        <w:tc>
          <w:tcPr>
            <w:tcW w:w="60" w:type="dxa"/>
            <w:vAlign w:val="bottom"/>
          </w:tcPr>
          <w:p>
            <w:pPr>
              <w:spacing w:after="0"/>
              <w:rPr>
                <w:sz w:val="24"/>
                <w:szCs w:val="24"/>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Public offering of common shares for cash, net of offering</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costs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1,666,669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8,162,807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8,164,474</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in connection with reverse split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4,918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4,920</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8,336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89,937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89,945</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426,755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426,755</w:t>
            </w:r>
          </w:p>
        </w:tc>
        <w:tc>
          <w:tcPr>
            <w:tcW w:w="60" w:type="dxa"/>
            <w:vAlign w:val="bottom"/>
          </w:tcPr>
          <w:p>
            <w:pPr>
              <w:spacing w:after="0"/>
              <w:rPr>
                <w:sz w:val="18"/>
                <w:szCs w:val="18"/>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280,509</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280,509</w:t>
            </w:r>
          </w:p>
        </w:tc>
        <w:tc>
          <w:tcPr>
            <w:tcW w:w="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4700" w:type="dxa"/>
            <w:vAlign w:val="bottom"/>
          </w:tcPr>
          <w:p>
            <w:pPr>
              <w:spacing w:after="0"/>
              <w:rPr>
                <w:sz w:val="20"/>
                <w:szCs w:val="20"/>
                <w:color w:val="auto"/>
              </w:rPr>
            </w:pPr>
            <w:r>
              <w:rPr>
                <w:rFonts w:ascii="Arial" w:cs="Arial" w:eastAsia="Arial" w:hAnsi="Arial"/>
                <w:sz w:val="18"/>
                <w:szCs w:val="18"/>
                <w:color w:val="auto"/>
              </w:rPr>
              <w:t>Balance June 30, 2018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11,556,858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11,557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46,202,320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(30,413,819)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15,800,058</w:t>
            </w:r>
          </w:p>
        </w:tc>
        <w:tc>
          <w:tcPr>
            <w:tcW w:w="60" w:type="dxa"/>
            <w:vAlign w:val="bottom"/>
          </w:tcPr>
          <w:p>
            <w:pPr>
              <w:spacing w:after="0"/>
              <w:rPr>
                <w:sz w:val="24"/>
                <w:szCs w:val="24"/>
                <w:color w:val="auto"/>
              </w:rPr>
            </w:pPr>
          </w:p>
        </w:tc>
      </w:tr>
      <w:tr>
        <w:trPr>
          <w:trHeight w:val="418"/>
        </w:trPr>
        <w:tc>
          <w:tcPr>
            <w:tcW w:w="4700" w:type="dxa"/>
            <w:vAlign w:val="bottom"/>
          </w:tcPr>
          <w:p>
            <w:pPr>
              <w:spacing w:after="0"/>
              <w:rPr>
                <w:sz w:val="20"/>
                <w:szCs w:val="20"/>
                <w:color w:val="auto"/>
              </w:rPr>
            </w:pPr>
            <w:r>
              <w:rPr>
                <w:rFonts w:ascii="Arial" w:cs="Arial" w:eastAsia="Arial" w:hAnsi="Arial"/>
                <w:sz w:val="18"/>
                <w:szCs w:val="18"/>
                <w:color w:val="auto"/>
              </w:rPr>
              <w:t>Shares issued for cashless exercise of warrants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251,046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141,403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450,881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451,022</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Shares issued as compensation</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21,489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354,825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354,847</w:t>
            </w:r>
          </w:p>
        </w:tc>
        <w:tc>
          <w:tcPr>
            <w:tcW w:w="60" w:type="dxa"/>
            <w:vAlign w:val="bottom"/>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353,311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353,511</w:t>
            </w:r>
          </w:p>
        </w:tc>
        <w:tc>
          <w:tcPr>
            <w:tcW w:w="60" w:type="dxa"/>
            <w:vAlign w:val="bottom"/>
          </w:tcPr>
          <w:p>
            <w:pPr>
              <w:spacing w:after="0"/>
              <w:rPr>
                <w:sz w:val="18"/>
                <w:szCs w:val="18"/>
                <w:color w:val="auto"/>
              </w:rPr>
            </w:pPr>
          </w:p>
        </w:tc>
      </w:tr>
      <w:tr>
        <w:trPr>
          <w:trHeight w:val="244"/>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244,928</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244,928</w:t>
            </w:r>
          </w:p>
        </w:tc>
        <w:tc>
          <w:tcPr>
            <w:tcW w:w="6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4700" w:type="dxa"/>
            <w:vAlign w:val="bottom"/>
          </w:tcPr>
          <w:p>
            <w:pPr>
              <w:spacing w:after="0"/>
              <w:rPr>
                <w:sz w:val="20"/>
                <w:szCs w:val="20"/>
                <w:color w:val="auto"/>
              </w:rPr>
            </w:pPr>
            <w:r>
              <w:rPr>
                <w:rFonts w:ascii="Arial" w:cs="Arial" w:eastAsia="Arial" w:hAnsi="Arial"/>
                <w:sz w:val="18"/>
                <w:szCs w:val="18"/>
                <w:color w:val="auto"/>
              </w:rPr>
              <w:t>Balance September 30, 2018</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11,970,976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11,971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47,361,086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(30,168,891</w:t>
            </w:r>
            <w:r>
              <w:rPr>
                <w:rFonts w:ascii="Arial" w:cs="Arial" w:eastAsia="Arial" w:hAnsi="Arial"/>
                <w:sz w:val="36"/>
                <w:szCs w:val="36"/>
                <w:color w:val="auto"/>
                <w:w w:val="96"/>
                <w:vertAlign w:val="superscript"/>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17,204,366</w:t>
            </w:r>
          </w:p>
        </w:tc>
        <w:tc>
          <w:tcPr>
            <w:tcW w:w="60" w:type="dxa"/>
            <w:vAlign w:val="bottom"/>
          </w:tcPr>
          <w:p>
            <w:pPr>
              <w:spacing w:after="0"/>
              <w:rPr>
                <w:sz w:val="24"/>
                <w:szCs w:val="24"/>
                <w:color w:val="auto"/>
              </w:rPr>
            </w:pPr>
          </w:p>
        </w:tc>
      </w:tr>
      <w:tr>
        <w:trPr>
          <w:trHeight w:val="21"/>
        </w:trPr>
        <w:tc>
          <w:tcPr>
            <w:tcW w:w="47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7"/>
          </w:tcPr>
          <w:p>
            <w:pPr>
              <w:ind w:left="260"/>
              <w:spacing w:after="0"/>
              <w:rPr>
                <w:sz w:val="20"/>
                <w:szCs w:val="20"/>
                <w:color w:val="auto"/>
              </w:rPr>
            </w:pPr>
            <w:r>
              <w:rPr>
                <w:rFonts w:ascii="Arial" w:cs="Arial" w:eastAsia="Arial" w:hAnsi="Arial"/>
                <w:sz w:val="18"/>
                <w:szCs w:val="18"/>
                <w:color w:val="auto"/>
              </w:rPr>
              <w:t>For the Nine Months</w:t>
            </w:r>
          </w:p>
        </w:tc>
        <w:tc>
          <w:tcPr>
            <w:tcW w:w="0" w:type="dxa"/>
            <w:vAlign w:val="bottom"/>
          </w:tcPr>
          <w:p>
            <w:pPr>
              <w:spacing w:after="0"/>
              <w:rPr>
                <w:sz w:val="1"/>
                <w:szCs w:val="1"/>
                <w:color w:val="auto"/>
              </w:rPr>
            </w:pPr>
          </w:p>
        </w:tc>
      </w:tr>
      <w:tr>
        <w:trPr>
          <w:trHeight w:val="237"/>
        </w:trPr>
        <w:tc>
          <w:tcPr>
            <w:tcW w:w="7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7"/>
          </w:tcPr>
          <w:p>
            <w:pPr>
              <w:ind w:left="280"/>
              <w:spacing w:after="0"/>
              <w:rPr>
                <w:sz w:val="20"/>
                <w:szCs w:val="20"/>
                <w:color w:val="auto"/>
              </w:rPr>
            </w:pPr>
            <w:r>
              <w:rPr>
                <w:rFonts w:ascii="Arial" w:cs="Arial" w:eastAsia="Arial" w:hAnsi="Arial"/>
                <w:sz w:val="18"/>
                <w:szCs w:val="18"/>
                <w:color w:val="auto"/>
              </w:rPr>
              <w:t>Ended September 30,</w:t>
            </w:r>
          </w:p>
        </w:tc>
        <w:tc>
          <w:tcPr>
            <w:tcW w:w="0" w:type="dxa"/>
            <w:vAlign w:val="bottom"/>
          </w:tcPr>
          <w:p>
            <w:pPr>
              <w:spacing w:after="0"/>
              <w:rPr>
                <w:sz w:val="1"/>
                <w:szCs w:val="1"/>
                <w:color w:val="auto"/>
              </w:rPr>
            </w:pPr>
          </w:p>
        </w:tc>
      </w:tr>
      <w:tr>
        <w:trPr>
          <w:trHeight w:val="237"/>
        </w:trPr>
        <w:tc>
          <w:tcPr>
            <w:tcW w:w="7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6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1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(1,157,796)</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336,258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745,928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163,418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1,407,938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1,242,776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Stock issued for services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361,782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479,203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Arial" w:cs="Arial" w:eastAsia="Arial" w:hAnsi="Arial"/>
                <w:sz w:val="18"/>
                <w:szCs w:val="18"/>
                <w:color w:val="auto"/>
              </w:rPr>
              <w:t>Changes in:</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(700,549)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(1,734,128)</w:t>
            </w: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(469,623)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54,108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184,464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(291,831)</w:t>
            </w: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(240,329)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(414,722)</w:t>
            </w: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(772,953)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(139,417)</w:t>
            </w:r>
          </w:p>
        </w:tc>
        <w:tc>
          <w:tcPr>
            <w:tcW w:w="0" w:type="dxa"/>
            <w:vAlign w:val="bottom"/>
          </w:tcPr>
          <w:p>
            <w:pPr>
              <w:spacing w:after="0"/>
              <w:rPr>
                <w:sz w:val="1"/>
                <w:szCs w:val="1"/>
                <w:color w:val="auto"/>
              </w:rPr>
            </w:pPr>
          </w:p>
        </w:tc>
      </w:tr>
      <w:tr>
        <w:trPr>
          <w:trHeight w:val="251"/>
        </w:trPr>
        <w:tc>
          <w:tcPr>
            <w:tcW w:w="74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505,279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164,129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60" w:type="dxa"/>
            <w:vAlign w:val="bottom"/>
          </w:tcPr>
          <w:p>
            <w:pPr>
              <w:spacing w:after="0" w:line="203" w:lineRule="exact"/>
              <w:rPr>
                <w:sz w:val="20"/>
                <w:szCs w:val="20"/>
                <w:color w:val="auto"/>
              </w:rPr>
            </w:pPr>
            <w:r>
              <w:rPr>
                <w:rFonts w:ascii="Arial" w:cs="Arial" w:eastAsia="Arial" w:hAnsi="Arial"/>
                <w:sz w:val="18"/>
                <w:szCs w:val="18"/>
                <w:color w:val="auto"/>
              </w:rPr>
              <w:t>NET CASH USED IN OPERATING ACTIVITIES</w:t>
            </w:r>
          </w:p>
        </w:tc>
        <w:tc>
          <w:tcPr>
            <w:tcW w:w="1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(160,859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(140,206</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18"/>
        </w:trPr>
        <w:tc>
          <w:tcPr>
            <w:tcW w:w="74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Purchase of equipment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(61,457)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(23,131)</w:t>
            </w:r>
          </w:p>
        </w:tc>
        <w:tc>
          <w:tcPr>
            <w:tcW w:w="0" w:type="dxa"/>
            <w:vAlign w:val="bottom"/>
          </w:tcPr>
          <w:p>
            <w:pPr>
              <w:spacing w:after="0"/>
              <w:rPr>
                <w:sz w:val="1"/>
                <w:szCs w:val="1"/>
                <w:color w:val="auto"/>
              </w:rPr>
            </w:pPr>
          </w:p>
        </w:tc>
      </w:tr>
      <w:tr>
        <w:trPr>
          <w:trHeight w:val="251"/>
        </w:trPr>
        <w:tc>
          <w:tcPr>
            <w:tcW w:w="7460" w:type="dxa"/>
            <w:vAlign w:val="bottom"/>
          </w:tcPr>
          <w:p>
            <w:pPr>
              <w:ind w:left="180"/>
              <w:spacing w:after="0"/>
              <w:rPr>
                <w:sz w:val="20"/>
                <w:szCs w:val="20"/>
                <w:color w:val="auto"/>
              </w:rPr>
            </w:pPr>
            <w:r>
              <w:rPr>
                <w:rFonts w:ascii="Arial" w:cs="Arial" w:eastAsia="Arial" w:hAnsi="Arial"/>
                <w:sz w:val="18"/>
                <w:szCs w:val="18"/>
                <w:color w:val="auto"/>
              </w:rPr>
              <w:t>Purchase of intangible assets</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(56,651)</w:t>
            </w:r>
          </w:p>
        </w:tc>
        <w:tc>
          <w:tcPr>
            <w:tcW w:w="0" w:type="dxa"/>
            <w:vAlign w:val="bottom"/>
          </w:tcPr>
          <w:p>
            <w:pPr>
              <w:spacing w:after="0"/>
              <w:rPr>
                <w:sz w:val="1"/>
                <w:szCs w:val="1"/>
                <w:color w:val="auto"/>
              </w:rPr>
            </w:pPr>
          </w:p>
        </w:tc>
      </w:tr>
      <w:tr>
        <w:trPr>
          <w:trHeight w:val="223"/>
        </w:trPr>
        <w:tc>
          <w:tcPr>
            <w:tcW w:w="7460" w:type="dxa"/>
            <w:vAlign w:val="bottom"/>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(1,061,457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(79,782</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18"/>
        </w:trPr>
        <w:tc>
          <w:tcPr>
            <w:tcW w:w="74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80"/>
              <w:spacing w:after="0"/>
              <w:rPr>
                <w:sz w:val="20"/>
                <w:szCs w:val="20"/>
                <w:color w:val="auto"/>
              </w:rPr>
            </w:pPr>
            <w:r>
              <w:rPr>
                <w:rFonts w:ascii="Arial" w:cs="Arial" w:eastAsia="Arial" w:hAnsi="Arial"/>
                <w:sz w:val="18"/>
                <w:szCs w:val="18"/>
                <w:color w:val="auto"/>
              </w:rPr>
              <w:t>Proceeds from issuance of common stock, net of commission costs</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22,369,960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9,455,943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460" w:type="dxa"/>
            <w:vAlign w:val="bottom"/>
          </w:tcPr>
          <w:p>
            <w:pPr>
              <w:ind w:left="180"/>
              <w:spacing w:after="0"/>
              <w:rPr>
                <w:sz w:val="20"/>
                <w:szCs w:val="20"/>
                <w:color w:val="auto"/>
              </w:rPr>
            </w:pPr>
            <w:r>
              <w:rPr>
                <w:rFonts w:ascii="Arial" w:cs="Arial" w:eastAsia="Arial" w:hAnsi="Arial"/>
                <w:sz w:val="18"/>
                <w:szCs w:val="18"/>
                <w:color w:val="auto"/>
              </w:rPr>
              <w:t>Offering costs related to issuance of common stock</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(301,711)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(835,526)</w:t>
            </w:r>
          </w:p>
        </w:tc>
        <w:tc>
          <w:tcPr>
            <w:tcW w:w="0" w:type="dxa"/>
            <w:vAlign w:val="bottom"/>
          </w:tcPr>
          <w:p>
            <w:pPr>
              <w:spacing w:after="0"/>
              <w:rPr>
                <w:sz w:val="1"/>
                <w:szCs w:val="1"/>
                <w:color w:val="auto"/>
              </w:rPr>
            </w:pPr>
          </w:p>
        </w:tc>
      </w:tr>
      <w:tr>
        <w:trPr>
          <w:trHeight w:val="223"/>
        </w:trPr>
        <w:tc>
          <w:tcPr>
            <w:tcW w:w="7460" w:type="dxa"/>
            <w:vAlign w:val="bottom"/>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22,068,249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8,620,417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460" w:type="dxa"/>
            <w:vAlign w:val="bottom"/>
          </w:tcPr>
          <w:p>
            <w:pPr>
              <w:spacing w:after="0" w:line="201" w:lineRule="exact"/>
              <w:rPr>
                <w:sz w:val="20"/>
                <w:szCs w:val="20"/>
                <w:color w:val="auto"/>
              </w:rPr>
            </w:pPr>
            <w:r>
              <w:rPr>
                <w:rFonts w:ascii="Arial" w:cs="Arial" w:eastAsia="Arial" w:hAnsi="Arial"/>
                <w:sz w:val="18"/>
                <w:szCs w:val="18"/>
                <w:color w:val="auto"/>
              </w:rPr>
              <w:t>NET INCREASE IN CASH AND CASH EQUIVALENTS</w:t>
            </w: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20,845,933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8,400,429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46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8,914,034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5,122,573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vMerge w:val="restart"/>
          </w:tcPr>
          <w:p>
            <w:pPr>
              <w:spacing w:after="0"/>
              <w:rPr>
                <w:sz w:val="20"/>
                <w:szCs w:val="20"/>
                <w:color w:val="auto"/>
              </w:rPr>
            </w:pPr>
            <w:r>
              <w:rPr>
                <w:rFonts w:ascii="Arial" w:cs="Arial" w:eastAsia="Arial" w:hAnsi="Arial"/>
                <w:sz w:val="18"/>
                <w:szCs w:val="18"/>
                <w:color w:val="auto"/>
              </w:rPr>
              <w:t>CASH AND CASH EQUIVALENTS - END OF PERIOD</w:t>
            </w:r>
          </w:p>
        </w:tc>
        <w:tc>
          <w:tcPr>
            <w:tcW w:w="1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vMerge w:val="continue"/>
          </w:tcPr>
          <w:p>
            <w:pPr>
              <w:spacing w:after="0"/>
              <w:rPr>
                <w:sz w:val="21"/>
                <w:szCs w:val="21"/>
                <w:color w:val="auto"/>
              </w:rPr>
            </w:pPr>
          </w:p>
        </w:tc>
        <w:tc>
          <w:tcPr>
            <w:tcW w:w="1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29,759,967</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13,523,002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4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746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4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46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3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gridSpan w:val="2"/>
          </w:tcPr>
          <w:p>
            <w:pPr>
              <w:spacing w:after="0" w:line="20" w:lineRule="exact"/>
              <w:rPr>
                <w:sz w:val="1"/>
                <w:szCs w:val="1"/>
                <w:color w:val="auto"/>
              </w:rPr>
            </w:pPr>
          </w:p>
        </w:tc>
        <w:tc>
          <w:tcPr>
            <w:tcW w:w="96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4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60" w:type="dxa"/>
            <w:vAlign w:val="bottom"/>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46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7460" w:type="dxa"/>
            <w:vAlign w:val="bottom"/>
          </w:tcPr>
          <w:p>
            <w:pPr>
              <w:ind w:left="180"/>
              <w:spacing w:after="0"/>
              <w:rPr>
                <w:sz w:val="20"/>
                <w:szCs w:val="20"/>
                <w:color w:val="auto"/>
              </w:rPr>
            </w:pPr>
            <w:r>
              <w:rPr>
                <w:rFonts w:ascii="Arial" w:cs="Arial" w:eastAsia="Arial" w:hAnsi="Arial"/>
                <w:sz w:val="18"/>
                <w:szCs w:val="18"/>
                <w:color w:val="auto"/>
              </w:rPr>
              <w:t>Intangible asset additions included in accounts payable</w:t>
            </w:r>
          </w:p>
        </w:tc>
        <w:tc>
          <w:tcPr>
            <w:tcW w:w="1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500,000</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460" w:type="dxa"/>
            <w:vAlign w:val="bottom"/>
            <w:vMerge w:val="restart"/>
          </w:tcPr>
          <w:p>
            <w:pPr>
              <w:ind w:left="180"/>
              <w:spacing w:after="0"/>
              <w:rPr>
                <w:sz w:val="20"/>
                <w:szCs w:val="20"/>
                <w:color w:val="auto"/>
              </w:rPr>
            </w:pPr>
            <w:r>
              <w:rPr>
                <w:rFonts w:ascii="Arial" w:cs="Arial" w:eastAsia="Arial" w:hAnsi="Arial"/>
                <w:sz w:val="18"/>
                <w:szCs w:val="18"/>
                <w:color w:val="auto"/>
              </w:rPr>
              <w:t>Non-cash effect of cumulative adjustments to accumulated deficit</w:t>
            </w:r>
          </w:p>
        </w:tc>
        <w:tc>
          <w:tcPr>
            <w:tcW w:w="13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gridSpan w:val="2"/>
          </w:tcPr>
          <w:p>
            <w:pPr>
              <w:spacing w:after="0" w:line="20" w:lineRule="exact"/>
              <w:rPr>
                <w:sz w:val="1"/>
                <w:szCs w:val="1"/>
                <w:color w:val="auto"/>
              </w:rPr>
            </w:pPr>
          </w:p>
        </w:tc>
        <w:tc>
          <w:tcPr>
            <w:tcW w:w="96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4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60" w:type="dxa"/>
            <w:vAlign w:val="bottom"/>
            <w:vMerge w:val="restart"/>
          </w:tcPr>
          <w:p>
            <w:pPr>
              <w:ind w:left="180"/>
              <w:spacing w:after="0"/>
              <w:rPr>
                <w:sz w:val="20"/>
                <w:szCs w:val="20"/>
                <w:color w:val="auto"/>
              </w:rPr>
            </w:pPr>
            <w:r>
              <w:rPr>
                <w:rFonts w:ascii="Arial" w:cs="Arial" w:eastAsia="Arial" w:hAnsi="Arial"/>
                <w:sz w:val="18"/>
                <w:szCs w:val="18"/>
                <w:color w:val="auto"/>
              </w:rPr>
              <w:t>Lease liabilities arising from right of use assets</w:t>
            </w:r>
          </w:p>
        </w:tc>
        <w:tc>
          <w:tcPr>
            <w:tcW w:w="15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4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672,809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60" w:type="dxa"/>
            <w:vAlign w:val="bottom"/>
            <w:vMerge w:val="restart"/>
          </w:tcPr>
          <w:p>
            <w:pPr>
              <w:ind w:left="180"/>
              <w:spacing w:after="0"/>
              <w:rPr>
                <w:sz w:val="20"/>
                <w:szCs w:val="20"/>
                <w:color w:val="auto"/>
              </w:rPr>
            </w:pPr>
            <w:r>
              <w:rPr>
                <w:rFonts w:ascii="Arial" w:cs="Arial" w:eastAsia="Arial" w:hAnsi="Arial"/>
                <w:sz w:val="18"/>
                <w:szCs w:val="18"/>
                <w:color w:val="auto"/>
              </w:rPr>
              <w:t>Non-cash issuance of shares to WPP, plc</w:t>
            </w:r>
          </w:p>
        </w:tc>
        <w:tc>
          <w:tcPr>
            <w:tcW w:w="15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46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accompanying condensed consolidated financial statements include OptimizeRx Corporation and its wholly owned subsidiaries (collectively, the “Company”, “we”, “our”, or “us”).</w:t>
      </w:r>
    </w:p>
    <w:p>
      <w:pPr>
        <w:spacing w:after="0" w:line="17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are a leading provider of digital health messaging via electronic health records (EHRs), providing a direct channel for pharmaceutical companies to communicate with healthcare providers and patients.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services within their workflow at the point of care.</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condensed consolidated financial statements for the three and nine months ended September 30, 2019 and 2018 are unaudited and have been prepared pursuant to the rules and regulations of the U.S. Securities and Exchange Commission (“SEC”). In the opinion of management, all adjustments necessary to present fairly our consolidated financial position as of September 30, 2019, and our results of operations and changes in stockholders’ equity for the three and nine months ended September 30, 2019 and 2018 and the statements of cash flows for the nine months ended September 30, 2019 and 2018 have been made. Those adjustments consist of normal and recurring adjustments. The condensed consolidated balance sheet as of December 31, 2018 has been derived from the audited consolidated balance sheet as of that date.</w:t>
      </w:r>
    </w:p>
    <w:p>
      <w:pPr>
        <w:spacing w:after="0" w:line="178"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Certain information and note disclosures, including a detailed discussion about the Company’s significant accounting policies, normally included in our annual financial statements prepared in accordance with generally accepted accounting principles (“GAAP”) have been condensed or omitted. These consolidated condensed financial statements should be read in conjunction with a reading of the financial statements and notes thereto included in our Annual Report on Form 10-K for the fiscal year ended December 31, 2018, as filed with the U.S. Securities and Exchange Commission on March 12, 2019.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nine months ended September 30, 2019 are not necessarily indicative of the results to be expected for the full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Certain reclassifications have been made in the prior period’s condensed consolidated financial statements to conform to the current period’s presentation.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February 2016, the Financial Accounting Standards Board (“FASB”) issued new accounting guidance on leases. The accounting standard, effective January 1, 2019, requires virtually all leases to be recognized on the balance sheet. Effective January 1, 2019, we adopted the standard using the modified retrospective method, under which we elected the package of practical expedients and transition provisions allowing us to bring our existing operating leases onto the consolidated balance sheet without adjusting comparative periods, but recognizing a cumulative-effect adjustment to the opening balance of accumulated deficit on January 1, 2019. Under the guidance, we have also elected not to separate lease and non-lease components in recognition of the lease-related assets and liabilities, as well as the related lease expense.</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operating leases with terms greater than 12 months for office space in three multitenant facilities, which are recorded as assets and liabilities. The lease on our headquarters space in Rochester, Michigan expires November 30, 2022, with a three-year renewal option through 2025, with monthly rent payable at rates ranging from $6,384 to $6,688. We have assumed renewal of the lease. We also have a lease on office space in Cranbury, New Jersey, expiring in 2022 with monthly payments ranging from $2,707 to $2,808, as well as a lease of approximately $1,800 per month in Zagreb, Croatia expiring in 2022.</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 (continued)</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Upon adoption of the standard on January 1, 2019, we recorded approximately $462,000 of right of use assets and $465,000 of lease-related liabilities, with the difference recorded in accumulated deficit as the cumulative effect of change in accounting principle at that date.</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three and nine months ended September 30, 2019, the Company’s lease cost consisted of the following components, each of which is included in operating expenses within the Company’s consolidated statements of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1620" w:type="dxa"/>
            <w:vAlign w:val="bottom"/>
            <w:gridSpan w:val="3"/>
          </w:tcPr>
          <w:p>
            <w:pPr>
              <w:spacing w:after="0"/>
              <w:rPr>
                <w:sz w:val="20"/>
                <w:szCs w:val="20"/>
                <w:color w:val="auto"/>
              </w:rPr>
            </w:pPr>
            <w:r>
              <w:rPr>
                <w:rFonts w:ascii="Arial" w:cs="Arial" w:eastAsia="Arial" w:hAnsi="Arial"/>
                <w:sz w:val="18"/>
                <w:szCs w:val="18"/>
                <w:color w:val="auto"/>
                <w:w w:val="95"/>
              </w:rPr>
              <w:t>Three Months Ended</w:t>
            </w:r>
          </w:p>
        </w:tc>
        <w:tc>
          <w:tcPr>
            <w:tcW w:w="1560" w:type="dxa"/>
            <w:vAlign w:val="bottom"/>
            <w:gridSpan w:val="5"/>
          </w:tcPr>
          <w:p>
            <w:pPr>
              <w:ind w:left="100"/>
              <w:spacing w:after="0"/>
              <w:rPr>
                <w:sz w:val="20"/>
                <w:szCs w:val="20"/>
                <w:color w:val="auto"/>
              </w:rPr>
            </w:pPr>
            <w:r>
              <w:rPr>
                <w:rFonts w:ascii="Arial" w:cs="Arial" w:eastAsia="Arial" w:hAnsi="Arial"/>
                <w:sz w:val="18"/>
                <w:szCs w:val="18"/>
                <w:color w:val="auto"/>
                <w:w w:val="91"/>
              </w:rPr>
              <w:t>Nine Months Ended</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1460" w:type="dxa"/>
            <w:vAlign w:val="bottom"/>
            <w:gridSpan w:val="4"/>
          </w:tcPr>
          <w:p>
            <w:pPr>
              <w:jc w:val="right"/>
              <w:ind w:right="13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8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418"/>
        </w:trPr>
        <w:tc>
          <w:tcPr>
            <w:tcW w:w="8140" w:type="dxa"/>
            <w:vAlign w:val="bottom"/>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33,868</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98,043</w:t>
            </w:r>
          </w:p>
        </w:tc>
        <w:tc>
          <w:tcPr>
            <w:tcW w:w="0" w:type="dxa"/>
            <w:vAlign w:val="bottom"/>
          </w:tcPr>
          <w:p>
            <w:pPr>
              <w:spacing w:after="0"/>
              <w:rPr>
                <w:sz w:val="1"/>
                <w:szCs w:val="1"/>
                <w:color w:val="auto"/>
              </w:rPr>
            </w:pPr>
          </w:p>
        </w:tc>
      </w:tr>
      <w:tr>
        <w:trPr>
          <w:trHeight w:val="251"/>
        </w:trPr>
        <w:tc>
          <w:tcPr>
            <w:tcW w:w="8140" w:type="dxa"/>
            <w:vAlign w:val="bottom"/>
          </w:tcPr>
          <w:p>
            <w:pPr>
              <w:spacing w:after="0"/>
              <w:rPr>
                <w:sz w:val="20"/>
                <w:szCs w:val="20"/>
                <w:color w:val="auto"/>
              </w:rPr>
            </w:pPr>
            <w:r>
              <w:rPr>
                <w:rFonts w:ascii="Arial" w:cs="Arial" w:eastAsia="Arial" w:hAnsi="Arial"/>
                <w:sz w:val="18"/>
                <w:szCs w:val="18"/>
                <w:color w:val="auto"/>
              </w:rPr>
              <w:t>Short-term lease cost (1)</w:t>
            </w: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30,663</w:t>
            </w:r>
          </w:p>
        </w:tc>
        <w:tc>
          <w:tcPr>
            <w:tcW w:w="0" w:type="dxa"/>
            <w:vAlign w:val="bottom"/>
          </w:tcPr>
          <w:p>
            <w:pPr>
              <w:spacing w:after="0"/>
              <w:rPr>
                <w:sz w:val="1"/>
                <w:szCs w:val="1"/>
                <w:color w:val="auto"/>
              </w:rPr>
            </w:pPr>
          </w:p>
        </w:tc>
      </w:tr>
      <w:tr>
        <w:trPr>
          <w:trHeight w:val="250"/>
        </w:trPr>
        <w:tc>
          <w:tcPr>
            <w:tcW w:w="8140" w:type="dxa"/>
            <w:vAlign w:val="bottom"/>
          </w:tcPr>
          <w:p>
            <w:pPr>
              <w:spacing w:after="0" w:line="203" w:lineRule="exact"/>
              <w:rPr>
                <w:sz w:val="20"/>
                <w:szCs w:val="20"/>
                <w:color w:val="auto"/>
              </w:rPr>
            </w:pPr>
            <w:r>
              <w:rPr>
                <w:rFonts w:ascii="Arial" w:cs="Arial" w:eastAsia="Arial" w:hAnsi="Arial"/>
                <w:sz w:val="18"/>
                <w:szCs w:val="18"/>
                <w:color w:val="auto"/>
              </w:rPr>
              <w:t>Total lease cost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45,639</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128,706</w:t>
            </w:r>
          </w:p>
        </w:tc>
        <w:tc>
          <w:tcPr>
            <w:tcW w:w="0" w:type="dxa"/>
            <w:vAlign w:val="bottom"/>
          </w:tcPr>
          <w:p>
            <w:pPr>
              <w:spacing w:after="0"/>
              <w:rPr>
                <w:sz w:val="1"/>
                <w:szCs w:val="1"/>
                <w:color w:val="auto"/>
              </w:rPr>
            </w:pPr>
          </w:p>
        </w:tc>
      </w:tr>
      <w:tr>
        <w:trPr>
          <w:trHeight w:val="21"/>
        </w:trPr>
        <w:tc>
          <w:tcPr>
            <w:tcW w:w="8140" w:type="dxa"/>
            <w:vAlign w:val="bottom"/>
            <w:vMerge w:val="restart"/>
          </w:tcPr>
          <w:p>
            <w:pPr>
              <w:spacing w:after="0"/>
              <w:rPr>
                <w:sz w:val="20"/>
                <w:szCs w:val="20"/>
                <w:color w:val="auto"/>
              </w:rPr>
            </w:pPr>
            <w:r>
              <w:rPr>
                <w:rFonts w:ascii="Arial" w:cs="Arial" w:eastAsia="Arial" w:hAnsi="Arial"/>
                <w:sz w:val="18"/>
                <w:szCs w:val="18"/>
                <w:color w:val="auto"/>
              </w:rPr>
              <w:t>(1)  Short-term lease cost includes any lease with a term of less than 12 months.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760" w:type="dxa"/>
            <w:vAlign w:val="bottom"/>
            <w:gridSpan w:val="4"/>
          </w:tcPr>
          <w:p>
            <w:pPr>
              <w:spacing w:after="0"/>
              <w:rPr>
                <w:sz w:val="20"/>
                <w:szCs w:val="20"/>
                <w:color w:val="auto"/>
              </w:rPr>
            </w:pPr>
            <w:r>
              <w:rPr>
                <w:rFonts w:ascii="Arial" w:cs="Arial" w:eastAsia="Arial" w:hAnsi="Arial"/>
                <w:sz w:val="18"/>
                <w:szCs w:val="18"/>
                <w:color w:val="auto"/>
                <w:w w:val="98"/>
              </w:rPr>
              <w:t>The table below presents the future minimum lease payments to be made under operating leases as of September 30, 2019: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140" w:type="dxa"/>
            <w:vAlign w:val="bottom"/>
          </w:tcPr>
          <w:p>
            <w:pPr>
              <w:spacing w:after="0"/>
              <w:rPr>
                <w:sz w:val="20"/>
                <w:szCs w:val="20"/>
                <w:color w:val="auto"/>
              </w:rPr>
            </w:pPr>
            <w:r>
              <w:rPr>
                <w:rFonts w:ascii="Arial" w:cs="Arial" w:eastAsia="Arial" w:hAnsi="Arial"/>
                <w:sz w:val="18"/>
                <w:szCs w:val="18"/>
                <w:color w:val="auto"/>
              </w:rPr>
              <w:t>For the year ending December 31,</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2019(a)</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33,977</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138,019</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140,367</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102,367</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99,209</w:t>
            </w:r>
          </w:p>
        </w:tc>
        <w:tc>
          <w:tcPr>
            <w:tcW w:w="0" w:type="dxa"/>
            <w:vAlign w:val="bottom"/>
          </w:tcPr>
          <w:p>
            <w:pPr>
              <w:spacing w:after="0"/>
              <w:rPr>
                <w:sz w:val="1"/>
                <w:szCs w:val="1"/>
                <w:color w:val="auto"/>
              </w:rPr>
            </w:pPr>
          </w:p>
        </w:tc>
      </w:tr>
      <w:tr>
        <w:trPr>
          <w:trHeight w:val="251"/>
        </w:trPr>
        <w:tc>
          <w:tcPr>
            <w:tcW w:w="814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150,599</w:t>
            </w:r>
          </w:p>
        </w:tc>
        <w:tc>
          <w:tcPr>
            <w:tcW w:w="0" w:type="dxa"/>
            <w:vAlign w:val="bottom"/>
          </w:tcPr>
          <w:p>
            <w:pPr>
              <w:spacing w:after="0"/>
              <w:rPr>
                <w:sz w:val="1"/>
                <w:szCs w:val="1"/>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664,538</w:t>
            </w:r>
          </w:p>
        </w:tc>
        <w:tc>
          <w:tcPr>
            <w:tcW w:w="0" w:type="dxa"/>
            <w:vAlign w:val="bottom"/>
          </w:tcPr>
          <w:p>
            <w:pPr>
              <w:spacing w:after="0"/>
              <w:rPr>
                <w:sz w:val="1"/>
                <w:szCs w:val="1"/>
                <w:color w:val="auto"/>
              </w:rPr>
            </w:pPr>
          </w:p>
        </w:tc>
      </w:tr>
      <w:tr>
        <w:trPr>
          <w:trHeight w:val="251"/>
        </w:trPr>
        <w:tc>
          <w:tcPr>
            <w:tcW w:w="814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72,861</w:t>
            </w:r>
          </w:p>
        </w:tc>
        <w:tc>
          <w:tcPr>
            <w:tcW w:w="0" w:type="dxa"/>
            <w:vAlign w:val="bottom"/>
          </w:tcPr>
          <w:p>
            <w:pPr>
              <w:spacing w:after="0"/>
              <w:rPr>
                <w:sz w:val="1"/>
                <w:szCs w:val="1"/>
                <w:color w:val="auto"/>
              </w:rPr>
            </w:pPr>
          </w:p>
        </w:tc>
      </w:tr>
      <w:tr>
        <w:trPr>
          <w:trHeight w:val="250"/>
        </w:trPr>
        <w:tc>
          <w:tcPr>
            <w:tcW w:w="8140" w:type="dxa"/>
            <w:vAlign w:val="bottom"/>
          </w:tcPr>
          <w:p>
            <w:pPr>
              <w:spacing w:after="0" w:line="203" w:lineRule="exact"/>
              <w:rPr>
                <w:sz w:val="20"/>
                <w:szCs w:val="20"/>
                <w:color w:val="auto"/>
              </w:rPr>
            </w:pPr>
            <w:r>
              <w:rPr>
                <w:rFonts w:ascii="Arial" w:cs="Arial" w:eastAsia="Arial" w:hAnsi="Arial"/>
                <w:sz w:val="18"/>
                <w:szCs w:val="18"/>
                <w:color w:val="auto"/>
              </w:rPr>
              <w:t>Total lease liabilities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591,677</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For the remaining three-month period beginning October 1, 2019.</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weighted average remaining lease term for operating leases is 5.2 years and the weighted average discount rate used in calculating the operating lease asset and liability is 4.5%. Cash paid for amounts included in the measurement of lease liabilities is $94,105. For the nine months ended September 30, 2019, payments on lease obligations were $79,071 and amortization on the right of use assets was $80,022.</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June 2016, the FASB issued Accounting Standards Update (“ASU”) 2016-13, Financial Instruments-Credit Losses (Topic 326): Measurement of Credit Losses on Financial Instruments. ASU 2016-13 provides for a new impairment model, which requires measurement and recognition of expected credit losses for most financial assets and certain other instruments, including but not limited to accounts receivable and available for sale debt securities. ASU 2016-13 will become effective for the Company on January 1, 2020 and early adoption is permitted. The Company is currently evaluating the impact of this guidance on its consolidated financial statements.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Company is currently evaluating the impact of this guidance on its consolidated financial statements.</w:t>
      </w:r>
    </w:p>
    <w:p>
      <w:pPr>
        <w:spacing w:after="0" w:line="18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In August 2018, the FASB issued ASU 2018-13, Fair Value Measurement (Topic 820): Disclosure Framework-Changes to the Disclosure Requirements for Fair Value Measurement. ASU 2018-13 modifies the disclosure requirements on fair value measurements and will become effective for the Company on January 1, 2020 and early adoption is permitted. The Company is currently evaluating the impact of this guidance on its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3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During the quarter ended June 30, 2019, in an underwritten primary offering, we issued 1,769,275 shares of our common stock for gross proceeds of</w:t>
      </w:r>
    </w:p>
    <w:p>
      <w:pPr>
        <w:spacing w:after="0" w:line="3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$23,000,575. In connection with this transaction, we incurred equity issuance costs of $1,696,749 related to payments to the underwriter, advisors and legal fees associated with the transaction, resulting in net proceeds to the Company of $21,303,826.</w:t>
      </w:r>
    </w:p>
    <w:p>
      <w:pPr>
        <w:spacing w:after="0" w:line="18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quarter ended June 30, 2018, in a private transaction, we issued 1,666,669 shares of our common stock for gross proceeds of $9,000,000. In connection with this transaction, we incurred equity issuance costs of $835,526 related to payments to advisors and legal fees associated with the transaction, resulting in net proceeds to the Company of $8,164,474.</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quarters ended September 30, 2019, June 30, 2019, and March 31, 2019, we issued 48,775, 60,295 and 89,826 shares, respectively, of our common stock and received proceeds of $206,324, $214,314, and $343,785, respectively, in connection with the exercise of stock options under our 2013 equity compensation plan. We issued an additional 12,052 shares of our common stock in the quarter ended March 31, 2019 in connection with the exercise of options using the net-settled method, whereby no cash was received, but rather the exercise price was paid by the surrender of shares underlying the options. We also issued 130,001 shares of our common stock in the quarter ended March 31, 2019 in connection with restricted stock awards awarded in 2018. We issued 141,403 and 2,002 shares of our common stock and received proceeds of $451,022 and $4,920 in connection with the exercise of options in the quarters ended September 30, 2018 and June 30, 2018,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STOCKHOLDERS’ EQUITY (continued)</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Director Compensation Plan calls for issuance of 2,084 shares per quarter to each independent director. In 2019, we issued 8,336 shares each quarter, valued at $106,034, $135,043, and $120,705 for the quarters ended March 31, June 30, and September 30, respectively. In 2018, we issued 6,249 shares valued at $28,875, 8,336 shares valued at $89,945, and 11,489 shares valued at $206,082 for the quarters ended March 31, June 30, and September 30, respectively.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Effective May 14, 2018, in connection with our listing on the Nasdaq Capital Market, we implemented a reverse split of our common stock by exchanging each three shares of our common stock for one share. The effect of this reverse split is presented in the accompanying condensed consolidated financial statements as if it had been effective as of the beginning of the earliest period presented. We elected to round fractional shares up to the nearest whole number rather than redeem them for cash, and as a result we issued 908 additional shares.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quarter ended March 31, 2018, we issued 100,000 shares of common stock to a subsidiary of WPP, plc, a shareholder at the time, in full payment of all amounts due under a co-marketing agreement that covered certain WPP, plc agencies, whereby we shared a portion of our revenue with those agencies related to programs awarded to us by those agencies. The shares were valued at $447,000, the market value of the stock on the date of issuance. The amount due was recorded as a liability in revenue share payable at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quarter ended September 30, 2018, we issued 10,000 shares valued at $148,050 in connection with investor relations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4 – STOCK BASED COMPENSATION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the fair value method to account for stock-based compensation. We recorded $1,329,713 and $878,768 in compensation expense in the nine months ended September 30, 2019 and 2018, respectively, related to options issued under our stock-based incentive compensation plan. This includes expense related to options issued in prior years for which the requisite service period for those options includes the current period as well as options issued in the current period. The fair value of these instruments was calculated using the Black-Scholes option pricing model. There is $1,462,423 of remaining expense related to unvested options to be recognized in the future over a weighted average remaining period of less than one year. The total intrinsic value of outstanding options at September 30, 2019 is $13,318,970.</w:t>
      </w:r>
    </w:p>
    <w:p>
      <w:pPr>
        <w:spacing w:after="0" w:line="19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company also recorded expense related to restricted stock awards of $78,225 and $364,008 for the nine months ended September 30, 2019 and 2018, respectively. As of September 30, 2019, there is $1,513,475 of remaining expense related to unvested restricted stock awards to be recognized in the future related to 140,000 shares of restricted stock awards that are unvested at September 30,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5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involved in any legal proceedings.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NOTE 6 – (LOSS)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(loss) earnings per share.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gridSpan w:val="6"/>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2280" w:type="dxa"/>
            <w:vAlign w:val="bottom"/>
            <w:gridSpan w:val="5"/>
          </w:tcPr>
          <w:p>
            <w:pPr>
              <w:jc w:val="right"/>
              <w:ind w:right="4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280" w:type="dxa"/>
            <w:vAlign w:val="bottom"/>
            <w:gridSpan w:val="5"/>
          </w:tcPr>
          <w:p>
            <w:pPr>
              <w:jc w:val="right"/>
              <w:ind w:right="6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71" w:lineRule="exact"/>
              <w:rPr>
                <w:sz w:val="20"/>
                <w:szCs w:val="20"/>
                <w:color w:val="auto"/>
              </w:rPr>
            </w:pPr>
            <w:r>
              <w:rPr>
                <w:rFonts w:ascii="Arial" w:cs="Arial" w:eastAsia="Arial" w:hAnsi="Arial"/>
                <w:sz w:val="16"/>
                <w:szCs w:val="16"/>
                <w:color w:val="auto"/>
              </w:rPr>
              <w:t>(1,570,942</w:t>
            </w:r>
            <w:r>
              <w:rPr>
                <w:rFonts w:ascii="Arial" w:cs="Arial" w:eastAsia="Arial" w:hAnsi="Arial"/>
                <w:sz w:val="31"/>
                <w:szCs w:val="31"/>
                <w:color w:val="auto"/>
                <w:vertAlign w:val="superscript"/>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244,928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line="271" w:lineRule="exact"/>
              <w:rPr>
                <w:sz w:val="20"/>
                <w:szCs w:val="20"/>
                <w:color w:val="auto"/>
              </w:rPr>
            </w:pPr>
            <w:r>
              <w:rPr>
                <w:rFonts w:ascii="Arial" w:cs="Arial" w:eastAsia="Arial" w:hAnsi="Arial"/>
                <w:sz w:val="16"/>
                <w:szCs w:val="16"/>
                <w:color w:val="auto"/>
              </w:rPr>
              <w:t>(1,157,796</w:t>
            </w:r>
            <w:r>
              <w:rPr>
                <w:rFonts w:ascii="Arial" w:cs="Arial" w:eastAsia="Arial" w:hAnsi="Arial"/>
                <w:sz w:val="31"/>
                <w:szCs w:val="31"/>
                <w:color w:val="auto"/>
                <w:vertAlign w:val="superscript"/>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336,258</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0"/>
              </w:rPr>
              <w:t>Weighted average shares outstanding used in computing (loss) earnings per share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3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14,146,489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11,755,500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12,996,590</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10,840,584</w:t>
            </w:r>
          </w:p>
        </w:tc>
        <w:tc>
          <w:tcPr>
            <w:tcW w:w="0" w:type="dxa"/>
            <w:vAlign w:val="bottom"/>
          </w:tcPr>
          <w:p>
            <w:pPr>
              <w:spacing w:after="0"/>
              <w:rPr>
                <w:sz w:val="1"/>
                <w:szCs w:val="1"/>
                <w:color w:val="auto"/>
              </w:rPr>
            </w:pPr>
          </w:p>
        </w:tc>
      </w:tr>
      <w:tr>
        <w:trPr>
          <w:trHeight w:val="21"/>
        </w:trPr>
        <w:tc>
          <w:tcPr>
            <w:tcW w:w="5980" w:type="dxa"/>
            <w:vAlign w:val="bottom"/>
            <w:vMerge w:val="restart"/>
          </w:tcPr>
          <w:p>
            <w:pPr>
              <w:ind w:left="200"/>
              <w:spacing w:after="0"/>
              <w:rPr>
                <w:sz w:val="20"/>
                <w:szCs w:val="20"/>
                <w:color w:val="auto"/>
              </w:rPr>
            </w:pPr>
            <w:r>
              <w:rPr>
                <w:rFonts w:ascii="Arial" w:cs="Arial" w:eastAsia="Arial" w:hAnsi="Arial"/>
                <w:sz w:val="18"/>
                <w:szCs w:val="18"/>
                <w:color w:val="auto"/>
                <w:w w:val="92"/>
              </w:rPr>
              <w:t>Effect of dilutive stock options, warrants, and unvested restricted stock awards</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1,166,268</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936,170</w:t>
            </w:r>
          </w:p>
        </w:tc>
        <w:tc>
          <w:tcPr>
            <w:tcW w:w="0" w:type="dxa"/>
            <w:vAlign w:val="bottom"/>
          </w:tcPr>
          <w:p>
            <w:pPr>
              <w:spacing w:after="0"/>
              <w:rPr>
                <w:sz w:val="1"/>
                <w:szCs w:val="1"/>
                <w:color w:val="auto"/>
              </w:rPr>
            </w:pPr>
          </w:p>
        </w:tc>
      </w:tr>
      <w:tr>
        <w:trPr>
          <w:trHeight w:val="250"/>
        </w:trPr>
        <w:tc>
          <w:tcPr>
            <w:tcW w:w="598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14,146,489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12,921,768</w:t>
            </w:r>
          </w:p>
        </w:tc>
        <w:tc>
          <w:tcPr>
            <w:tcW w:w="2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12,996,590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11,776,754</w:t>
            </w:r>
          </w:p>
        </w:tc>
        <w:tc>
          <w:tcPr>
            <w:tcW w:w="0" w:type="dxa"/>
            <w:vAlign w:val="bottom"/>
          </w:tcPr>
          <w:p>
            <w:pPr>
              <w:spacing w:after="0"/>
              <w:rPr>
                <w:sz w:val="1"/>
                <w:szCs w:val="1"/>
                <w:color w:val="auto"/>
              </w:rPr>
            </w:pPr>
          </w:p>
        </w:tc>
      </w:tr>
      <w:tr>
        <w:trPr>
          <w:trHeight w:val="21"/>
        </w:trPr>
        <w:tc>
          <w:tcPr>
            <w:tcW w:w="5980" w:type="dxa"/>
            <w:vAlign w:val="bottom"/>
            <w:vMerge w:val="restart"/>
          </w:tcPr>
          <w:p>
            <w:pPr>
              <w:ind w:left="60"/>
              <w:spacing w:after="0"/>
              <w:rPr>
                <w:sz w:val="20"/>
                <w:szCs w:val="20"/>
                <w:color w:val="auto"/>
              </w:rPr>
            </w:pPr>
            <w:r>
              <w:rPr>
                <w:rFonts w:ascii="Arial" w:cs="Arial" w:eastAsia="Arial" w:hAnsi="Arial"/>
                <w:sz w:val="18"/>
                <w:szCs w:val="18"/>
                <w:color w:val="auto"/>
              </w:rPr>
              <w:t>(Loss) earnings per share</w:t>
            </w: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98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71" w:lineRule="exact"/>
              <w:rPr>
                <w:sz w:val="20"/>
                <w:szCs w:val="20"/>
                <w:color w:val="auto"/>
              </w:rPr>
            </w:pPr>
            <w:r>
              <w:rPr>
                <w:rFonts w:ascii="Arial" w:cs="Arial" w:eastAsia="Arial" w:hAnsi="Arial"/>
                <w:sz w:val="16"/>
                <w:szCs w:val="16"/>
                <w:color w:val="auto"/>
              </w:rPr>
              <w:t>(0.11</w:t>
            </w:r>
            <w:r>
              <w:rPr>
                <w:rFonts w:ascii="Arial" w:cs="Arial" w:eastAsia="Arial" w:hAnsi="Arial"/>
                <w:sz w:val="31"/>
                <w:szCs w:val="31"/>
                <w:color w:val="auto"/>
                <w:vertAlign w:val="superscript"/>
              </w:rPr>
              <w: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line="271" w:lineRule="exact"/>
              <w:rPr>
                <w:sz w:val="20"/>
                <w:szCs w:val="20"/>
                <w:color w:val="auto"/>
              </w:rPr>
            </w:pPr>
            <w:r>
              <w:rPr>
                <w:rFonts w:ascii="Arial" w:cs="Arial" w:eastAsia="Arial" w:hAnsi="Arial"/>
                <w:sz w:val="16"/>
                <w:szCs w:val="16"/>
                <w:color w:val="auto"/>
              </w:rPr>
              <w:t>(0.09</w:t>
            </w:r>
            <w:r>
              <w:rPr>
                <w:rFonts w:ascii="Arial" w:cs="Arial" w:eastAsia="Arial" w:hAnsi="Arial"/>
                <w:sz w:val="31"/>
                <w:szCs w:val="31"/>
                <w:color w:val="auto"/>
                <w:vertAlign w:val="superscript"/>
              </w:rPr>
              <w:t>)</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
        </w:trPr>
        <w:tc>
          <w:tcPr>
            <w:tcW w:w="598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gridSpan w:val="2"/>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calculation of diluted earnings per share is included for 2019 as the effect of the calculation would be antidilutive.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7 – SUBSEQUENT EVENTS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October 2019, we completed the acquisition of 100% of the outstanding shares of RMDY Health, Inc., a privately held leading provider of collaborative digital therapeutics SaaS solutions for the healthcare industry. This strategic acquisition allows us to extend our ability to engage doctors and patients for our pharmaceutical clients, introduce important client segments to our solution site, and continue expanding on our patient engagement revenue stream. The purchase price was $16.0 million, which will be adjusted for final working capital acquired. Total cash paid in October as part of the transaction was $8.7 million, which included payments for closing indebtedness, transaction expenses, escrows, and payments to RMDY Health stockholders. There were approximately $300,000 of costs directly related to the acquisition included in the condensed consolidated statements of operations for the three and nine months ended September 30, 2019 as well.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Additionally, a portion of the purchase price, $5.9 million, is payable in shares of our common stock, and 382,893 shares will be issued in November 2019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this acquisition. Additional shares may be issued in future years at the time of the escrow release. Two additional payments not to exceed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 million may become due as part of an earnout in the amount of 1.75 times the amount that we exceed $4.0 million of revenues related to the “RMDY”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product in 2020, and 1.75 times the amount that we exceed 2020 revenues related to the "RMDY" product in 2021.</w:t>
      </w: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904" w:right="339" w:bottom="1440" w:gutter="0" w:footer="0" w:header="0"/>
        </w:sectPr>
      </w:pPr>
    </w:p>
    <w:bookmarkStart w:id="13" w:name="page14"/>
    <w:bookmarkEnd w:id="13"/>
    <w:p>
      <w:pPr>
        <w:jc w:val="center"/>
        <w:ind w:right="-1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SEPTEMBER 30, 2019</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the acquisition occurred subsequent to September 30, 2019, no results from operations of RMDY Health are included in our consolidated statement of operations for the three and nine months ended September 30, 2019. It is currently impractical to disclose a preliminary purchase price allocation of RMDY Health or pro forma financial information combining both companies as of the earliest period presented in these financial statements as RMDY Health is currently in the process of both closing its books and records and converting them to U.S. GAAP.</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Notwithstanding the foregoing, all required financial information concerning the RMDY Health acquisition will be included in an amended 8K with a due date of December 19, 2019.</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accordance with ASC 855-10, we have analyzed events and transactions that occurred subsequent to September 30, 2019 through the date these financial statements were issued and have determined that other than as discussed above, we do not have any material subsequent events to disclose or recognize in these financial statements.</w:t>
      </w:r>
    </w:p>
    <w:p>
      <w:pPr>
        <w:spacing w:after="0" w:line="390"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November 2019</w:t>
      </w:r>
    </w:p>
    <w:p>
      <w:pPr>
        <w:spacing w:after="0" w:line="22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revenues for the nine months ended September 30, 2019 were $17.2 million, an 18% increase over the same period in 2018.</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revenues for the three months ended September 30, 2019 were $5.0 million, an 8% decrease over the same period in 2018.</w:t>
      </w:r>
    </w:p>
    <w:p>
      <w:pPr>
        <w:spacing w:after="0" w:line="9" w:lineRule="exact"/>
        <w:rPr>
          <w:rFonts w:ascii="Arial" w:cs="Arial" w:eastAsia="Arial" w:hAnsi="Arial"/>
          <w:sz w:val="18"/>
          <w:szCs w:val="18"/>
          <w:color w:val="auto"/>
        </w:rPr>
      </w:pPr>
    </w:p>
    <w:p>
      <w:pPr>
        <w:ind w:left="340" w:right="5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raised additional net equity of $21.3 million in an underwritten primary offering to solidify our balance sheet and to provide growth capital for potential acquisitions.</w:t>
      </w:r>
    </w:p>
    <w:p>
      <w:pPr>
        <w:ind w:left="340" w:hanging="332"/>
        <w:spacing w:after="0" w:line="281"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October 2019, we completed the acquisition of RMDY Health, a leading provider of collaborative digital therapeutics SaaS solutions for the healthcare industry used by pharmaceutical companies, payers, MedTech companies, and medical associations nationwide to improve medication adherence and care coordination. This strategic acquisition allows us to extend our ability to engage doctors and patients for our pharmaceutical clients, introduce important client segments to our solution suite, and continue expanding on our patient engagement revenue stream with a recurring revenue element.</w:t>
      </w:r>
    </w:p>
    <w:p>
      <w:pPr>
        <w:spacing w:after="0" w:line="2" w:lineRule="exact"/>
        <w:rPr>
          <w:rFonts w:ascii="Arial" w:cs="Arial" w:eastAsia="Arial" w:hAnsi="Arial"/>
          <w:sz w:val="16"/>
          <w:szCs w:val="16"/>
          <w:color w:val="auto"/>
        </w:rPr>
      </w:pP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signed a three-year exclusive agreement with NewCrop to deliver real-time digital health messages to NewCrop’s eprescribing network and act as our innovation lab for additional solutions.</w:t>
      </w: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continue to promote from within, hire opportunistically on the commercial, marketing and product teams. This will continue as we scale the business.</w:t>
      </w:r>
    </w:p>
    <w:p>
      <w:pPr>
        <w:spacing w:after="0" w:line="2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With the growth of our number of clients, we believe our legacy and new solutions, as well as our evolving network, will continue to expand and show strong growth throughout the year.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2019 and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total revenue reported for the nine months ended September 30, 2019 was approximately $17.2 million, an increase of 18% over the approximately $14.6 million from the same period in 2018. Our total revenue for the three months ended September 30, 2019 was approximately $5.0 million, a decrease of 8% over the approximately $5.4 million from the same period in 2018. The increased revenue in the nine-month period resulted primarily from increases in sales in our clinical and brand messaging products as a result of the launch of new channel partners since the third quarter of 2018. The decrease in the three-month period resulted from a decline in revenue related to our financial messaging product, primarily because two high volume brands running in 2018 were not running in 2019, one of which shifted their funds from financial messaging to clinical messaging. We do not breakout revenue by service at this stage, but as we achieve greater scale we plan to determine the best way to present the growth by service.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cost of revenue percentage, comprised primarily of revenue share expense, declined as a percentage of revenues in both the three and nine-month periods ended September 30, 2019, as compared to the same periods in 2018, as set forth in the table below. This decrease was a result of product mix and our focus on reducing our cost of revenues through improved revenue share contracts and our focus on products with higher margins.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160" w:type="dxa"/>
            <w:vAlign w:val="bottom"/>
            <w:gridSpan w:val="4"/>
          </w:tcPr>
          <w:p>
            <w:pPr>
              <w:jc w:val="center"/>
              <w:ind w:left="23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Nine Months Ended</w:t>
            </w:r>
          </w:p>
        </w:tc>
      </w:tr>
      <w:tr>
        <w:trPr>
          <w:trHeight w:val="237"/>
        </w:trPr>
        <w:tc>
          <w:tcPr>
            <w:tcW w:w="5940" w:type="dxa"/>
            <w:vAlign w:val="bottom"/>
          </w:tcPr>
          <w:p>
            <w:pPr>
              <w:spacing w:after="0"/>
              <w:rPr>
                <w:sz w:val="20"/>
                <w:szCs w:val="20"/>
                <w:color w:val="auto"/>
              </w:rPr>
            </w:pPr>
          </w:p>
        </w:tc>
        <w:tc>
          <w:tcPr>
            <w:tcW w:w="21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88"/>
              </w:rPr>
              <w:t>September 30,</w:t>
            </w:r>
          </w:p>
        </w:tc>
        <w:tc>
          <w:tcPr>
            <w:tcW w:w="7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9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2018</w:t>
            </w:r>
          </w:p>
        </w:tc>
        <w:tc>
          <w:tcPr>
            <w:tcW w:w="140" w:type="dxa"/>
            <w:vAlign w:val="bottom"/>
          </w:tcPr>
          <w:p>
            <w:pPr>
              <w:spacing w:after="0"/>
              <w:rPr>
                <w:sz w:val="20"/>
                <w:szCs w:val="20"/>
                <w:color w:val="auto"/>
              </w:rPr>
            </w:pPr>
          </w:p>
        </w:tc>
      </w:tr>
      <w:tr>
        <w:trPr>
          <w:trHeight w:val="418"/>
        </w:trPr>
        <w:tc>
          <w:tcPr>
            <w:tcW w:w="6720" w:type="dxa"/>
            <w:vAlign w:val="bottom"/>
            <w:gridSpan w:val="2"/>
          </w:tcPr>
          <w:p>
            <w:pPr>
              <w:spacing w:after="0"/>
              <w:rPr>
                <w:sz w:val="20"/>
                <w:szCs w:val="20"/>
                <w:color w:val="auto"/>
              </w:rPr>
            </w:pPr>
            <w:r>
              <w:rPr>
                <w:rFonts w:ascii="Arial" w:cs="Arial" w:eastAsia="Arial" w:hAnsi="Arial"/>
                <w:sz w:val="18"/>
                <w:szCs w:val="18"/>
                <w:color w:val="auto"/>
              </w:rPr>
              <w:t>Cost of Revenues %</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39.6%</w:t>
            </w:r>
          </w:p>
        </w:tc>
        <w:tc>
          <w:tcPr>
            <w:tcW w:w="780" w:type="dxa"/>
            <w:vAlign w:val="bottom"/>
          </w:tcPr>
          <w:p>
            <w:pPr>
              <w:spacing w:after="0"/>
              <w:rPr>
                <w:sz w:val="24"/>
                <w:szCs w:val="2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41.9%</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36.3%</w:t>
            </w:r>
          </w:p>
        </w:tc>
        <w:tc>
          <w:tcPr>
            <w:tcW w:w="3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Gross Margin %</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60.4%</w:t>
            </w:r>
          </w:p>
        </w:tc>
        <w:tc>
          <w:tcPr>
            <w:tcW w:w="78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58.1%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63.7%</w:t>
            </w:r>
          </w:p>
        </w:tc>
        <w:tc>
          <w:tcPr>
            <w:tcW w:w="3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gross margins improved from 2018 to 2019 in both the three and nine-month periods ended September 30, as reflected in the table above and for the reasons reflected in the discussion of cost of revenues. We have been focused on improving our margins. We expect to maintain gross margins of at least 60% on a quarterly basis for the balance of the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Operating expenses increased from approximately $2.9 million for the three months ended September 30, 2018 to approximately $5.0 million for the same period in 2019. Operating expenses increased from approximately $7.8 million for the nine months ended September 30, 2018 to approximately $12.3 million for the same period in 2019. The detail by major category is reflected in the table below.</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18"/>
                <w:szCs w:val="18"/>
                <w:color w:val="auto"/>
              </w:rPr>
            </w:pPr>
          </w:p>
        </w:tc>
        <w:tc>
          <w:tcPr>
            <w:tcW w:w="2280" w:type="dxa"/>
            <w:vAlign w:val="bottom"/>
            <w:gridSpan w:val="4"/>
          </w:tcPr>
          <w:p>
            <w:pPr>
              <w:jc w:val="right"/>
              <w:ind w:right="45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2018</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418"/>
        </w:trPr>
        <w:tc>
          <w:tcPr>
            <w:tcW w:w="456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1,882,433</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1,381,237</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5,672,775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3,898,222</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590,244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708,163</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1,769,720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1,721,985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Professional Fees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201,878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51,807</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576,509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231,206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Acquisition Related Costs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323,406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45,580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323,406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45,580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Board Fees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34,250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45,875</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102,750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104,500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Investor Relations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19,258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32,816</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63,075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85,681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Consultants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81,411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66,830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176,911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106,639</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137,276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106,920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491,989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225,648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320,055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54,473</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745,927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163,418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Research, Development, and Maintenance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1,034,281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114,604</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1,432,390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439,916</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Integration Incentives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47,032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70,626</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136,825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151,878</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117,028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137,889</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363,191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364,861</w:t>
            </w:r>
          </w:p>
        </w:tc>
        <w:tc>
          <w:tcPr>
            <w:tcW w:w="0" w:type="dxa"/>
            <w:vAlign w:val="bottom"/>
          </w:tcPr>
          <w:p>
            <w:pPr>
              <w:spacing w:after="0"/>
              <w:rPr>
                <w:sz w:val="1"/>
                <w:szCs w:val="1"/>
                <w:color w:val="auto"/>
              </w:rPr>
            </w:pPr>
          </w:p>
        </w:tc>
      </w:tr>
      <w:tr>
        <w:trPr>
          <w:trHeight w:val="244"/>
        </w:trPr>
        <w:tc>
          <w:tcPr>
            <w:tcW w:w="4560" w:type="dxa"/>
            <w:vAlign w:val="bottom"/>
          </w:tcPr>
          <w:p>
            <w:pPr>
              <w:spacing w:after="0"/>
              <w:rPr>
                <w:sz w:val="20"/>
                <w:szCs w:val="20"/>
                <w:color w:val="auto"/>
              </w:rPr>
            </w:pPr>
            <w:r>
              <w:rPr>
                <w:rFonts w:ascii="Arial" w:cs="Arial" w:eastAsia="Arial" w:hAnsi="Arial"/>
                <w:sz w:val="18"/>
                <w:szCs w:val="18"/>
                <w:color w:val="auto"/>
              </w:rPr>
              <w:t>Travel and Entertainment</w:t>
            </w:r>
          </w:p>
        </w:tc>
        <w:tc>
          <w:tcPr>
            <w:tcW w:w="1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220,382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106,418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486,359</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268,171</w:t>
            </w:r>
          </w:p>
        </w:tc>
        <w:tc>
          <w:tcPr>
            <w:tcW w:w="0" w:type="dxa"/>
            <w:vAlign w:val="bottom"/>
          </w:tcPr>
          <w:p>
            <w:pPr>
              <w:spacing w:after="0"/>
              <w:rPr>
                <w:sz w:val="1"/>
                <w:szCs w:val="1"/>
                <w:color w:val="auto"/>
              </w:rPr>
            </w:pPr>
          </w:p>
        </w:tc>
      </w:tr>
      <w:tr>
        <w:trPr>
          <w:trHeight w:val="27"/>
        </w:trPr>
        <w:tc>
          <w:tcPr>
            <w:tcW w:w="456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1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4560" w:type="dxa"/>
            <w:vAlign w:val="bottom"/>
            <w:vMerge w:val="continue"/>
          </w:tcPr>
          <w:p>
            <w:pPr>
              <w:spacing w:after="0"/>
              <w:rPr>
                <w:sz w:val="24"/>
                <w:szCs w:val="2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5,008,934</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2,923,238</w:t>
            </w:r>
          </w:p>
        </w:tc>
        <w:tc>
          <w:tcPr>
            <w:tcW w:w="2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12,341,827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7,807,705</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20"/>
        <w:spacing w:after="0" w:line="288" w:lineRule="auto"/>
        <w:rPr>
          <w:sz w:val="20"/>
          <w:szCs w:val="20"/>
          <w:color w:val="auto"/>
        </w:rPr>
      </w:pPr>
      <w:r>
        <w:rPr>
          <w:rFonts w:ascii="Arial" w:cs="Arial" w:eastAsia="Arial" w:hAnsi="Arial"/>
          <w:sz w:val="16"/>
          <w:szCs w:val="16"/>
          <w:color w:val="auto"/>
        </w:rPr>
        <w:t>The largest increases in operating expenses related to salaries, wages, and benefits and other human resource related costs. Since the beginning of the first quarter of 2018, we have hired a Chief Commercial Officer, four additional Vice Presidents of sales, a vice president of marketing and communications, a controller, a financial analyst, a vice president of strategy, 10 employees associated with our CareSpeak acquisition, and other related support personnel.</w:t>
      </w:r>
    </w:p>
    <w:p>
      <w:pPr>
        <w:jc w:val="both"/>
        <w:ind w:right="380"/>
        <w:spacing w:after="0" w:line="255" w:lineRule="auto"/>
        <w:rPr>
          <w:sz w:val="20"/>
          <w:szCs w:val="20"/>
          <w:color w:val="auto"/>
        </w:rPr>
      </w:pPr>
      <w:r>
        <w:rPr>
          <w:rFonts w:ascii="Arial" w:cs="Arial" w:eastAsia="Arial" w:hAnsi="Arial"/>
          <w:sz w:val="18"/>
          <w:szCs w:val="18"/>
          <w:color w:val="auto"/>
        </w:rPr>
        <w:t>These new hires also resulted in increases in benefits, payroll taxes, and related travel. The stock-based compensation is impacted by both the number of options granted and the price of the stock at the time of grant. We expect stock-based compensation to increase slightly in the fourth quarter as a result of grants to employees associated with the RMDY acquisition.</w:t>
      </w:r>
    </w:p>
    <w:p>
      <w:pPr>
        <w:spacing w:after="0" w:line="19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increase in research, development, and maintenance costs reflects an increased level of activity to support our overall growth. Specifically, we are investing in research initiatives to develop new offerings to expand our overall product portfolio.</w:t>
      </w:r>
    </w:p>
    <w:p>
      <w:pPr>
        <w:spacing w:after="0" w:line="17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Advertising and promotion increased substantially in 2019 because of our increased focus on marketing activities. This increase includes costs associated with our physician survey on drug price transparency and patient cost challenges, our sponsorship of a healthcare panel on digital pharma marketing, and attendance at several industry conferences. We also hired a public relations firm in late 2018 that is included in 2019 costs, but was not there in 2018.</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Professional fees increased in 2019 as a result of our move to the Nasdaq Capital Market in June 2018, our subsequent increase in market capitalization, and our acquisition of CareSpeak Communications in late 2018. This increased the complexity of our year-end audit, and we were required to obtain an audit opinion on our internal controls under Sarbanes Oxley as of December 31, 2018 for the first time. We also were required to obtain third party valuations of the allocation of our purchase price of CareSpeak and the fair value of those assets and liabilities as of December 31, 2018, and on a quarterly basis moving forward.</w:t>
      </w:r>
    </w:p>
    <w:p>
      <w:pPr>
        <w:spacing w:after="0" w:line="18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Acquisition related costs in 2018 are related to the acquisition of CareSpeak Communications and in 2019 are related to the acquisition of RMDY Health. While both transactions actually closed in the fourth quarter of the respective years, due diligence and document drafting began in the quarters ended in September. The increase in 2019 is because the RMDY transaction was a larger and more complex transaction requiring more due diligence and more complex documents.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ind w:right="400"/>
        <w:spacing w:after="0" w:line="264" w:lineRule="auto"/>
        <w:rPr>
          <w:sz w:val="20"/>
          <w:szCs w:val="20"/>
          <w:color w:val="auto"/>
        </w:rPr>
      </w:pPr>
      <w:r>
        <w:rPr>
          <w:rFonts w:ascii="Arial" w:cs="Arial" w:eastAsia="Arial" w:hAnsi="Arial"/>
          <w:sz w:val="18"/>
          <w:szCs w:val="18"/>
          <w:color w:val="auto"/>
        </w:rPr>
        <w:t>Depreciation and amortization increased primarily because of the amortizable assets acquired in connection with our acquisition of CareSpeak Communications. Office, facility, and other expenses also increased as a result of our acquisition of CareSpeak, which resulted in two additional office locations for us, as well as the normal increased costs associated with increased business activity.</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decrease in the fair value of contingent consideration relates to our acquisition of CareSpeak Communications. The purchase price included potential additional consideration to be paid if certain revenue levels are achieved in 2019 and 2020. That liability is required to be adjusted to fair value each quarter and this represents the decrease in the fair value of the liability during the three and nine months ended September 30, 2019. While we still expect the maximum contingent consideration, the fair value methodology results in changes to the fair value whenever adjustments are made to future revenue projections.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Travel expenses increased both because of the larger number of employees, as well as increased conference activity both related to investor relations and industry conferences.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variances in the table above are the result of normal fluctuations in activity.</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expect our overall operating expenses to continue at the 2019 level, or slightly above as we further implement our business plan and expand our operations to grow the business in a very dynamic and active marketplace. However, we have established a strong team as a base to support growth and do not expect human resource costs to increase as quickly as revenues.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had a net loss of approximately $1.57 million for the three months ended September 30, 2019, as compared to approximately $245,000 of net income during the same period in 2018. Our net loss for the nine months ended September 30, 2019 was approximately $1.16 million, as compared to net income of approximately $336,000 during the same period in 2018. The reasons for specific components are discussed above, however our increased gross margin has been offset by growth related expenses.</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908" w:right="39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As of September 30, 2019, we had total current assets of approximately $37.9 million, compared with current liabilities of approximately $5.4 million, resulting in working capital of approximately $32.5 million and a current ratio of 7.0 to 1. This represents an improvement from working capital of approximately $11.5 million and current ratio of 3.7 to 1 at December 31, 2018.</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operating activities used approximately $161,000 in cash flow during the nine months ended September 30, 2019, compared with cash used of approximately $140,000 in the same period in 2018. The cash used in the 2019 period was the result of our net loss and offset noncash items included in the loss. The cash used in the 2018 period was the result of cash used for working capital. The main use of cash in 2018 resulted from a change in payment terms for one of our key partners, as well as payment of certain year end liabilities. We expect to have negative cash flow from operations in the fourth quarter as a result of expenses associated with the acquisition of RMDY Health.</w:t>
      </w:r>
    </w:p>
    <w:p>
      <w:pPr>
        <w:spacing w:after="0" w:line="188" w:lineRule="exact"/>
        <w:rPr>
          <w:sz w:val="20"/>
          <w:szCs w:val="20"/>
          <w:color w:val="auto"/>
        </w:rPr>
      </w:pPr>
    </w:p>
    <w:p>
      <w:pPr>
        <w:ind w:right="460"/>
        <w:spacing w:after="0" w:line="312" w:lineRule="auto"/>
        <w:rPr>
          <w:sz w:val="20"/>
          <w:szCs w:val="20"/>
          <w:color w:val="auto"/>
        </w:rPr>
      </w:pPr>
      <w:r>
        <w:rPr>
          <w:rFonts w:ascii="Arial" w:cs="Arial" w:eastAsia="Arial" w:hAnsi="Arial"/>
          <w:sz w:val="16"/>
          <w:szCs w:val="16"/>
          <w:color w:val="auto"/>
        </w:rPr>
        <w:t>We used approximately $1.06 million in investing activities in the nine months ended September 30, 2019, $1.0 million of which was related to the acquisition of a perpetual software license. The total cost of the license was $1.5 million. The remaining $500,000 is in accounts payable and is due in September 2019. We used insignificant amounts in investing activities in the nine months ended September 30, 2018 related to purchases of equipment.</w:t>
      </w:r>
    </w:p>
    <w:p>
      <w:pPr>
        <w:spacing w:after="0" w:line="14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had proceeds from financing activities of approximately $22.1 million and $8.6 million during the nine months ended September 30, 2019 and 2018, respectively. These resulted from offerings our common stock, as well as the exercise of stock options. We did, as discussed in Note 3 to the accompanying condensed consolidated financial statements, issue 300,000 shares valued at $447,000 in 2018 in a non-cash transaction in payment of revenue share due under a co-marketing agreement and the accompanying termination of the agreement.</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do not anticipate the need to raise additional capital for operating purposes in 12 months from the issuance of this quarterly report. We are focused on growing our revenue, channel and partner networks.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 We used approximately $9.0 million of our cash in October 2019 related to the acquisition of RMDY Health, which still leaves us approximately $20 million of cash for operations and potential future acquisitions.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2018; however, we consider our critical accounting policies to be those related to determining the timing and amount of revenue recognition, calculation of revenue share expense, stock-based compensation, capitalization and related amortization of intangible assets, impairment of assets, and the fair value of contingent purchase price payable.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Instruments-Credit Losses (Topic 326): Measurement of Credit Losses on Financial Instruments. ASU 2016-13 provides for a new impairment model which requires measurement and recognition of expected credit losses for most financial assets and certain other instruments, including but not limited to accounts receivable and available for sale debt securities. ASU 2016-13 will become effective for the Company on January 1, 2020 and early adoption is permitted. The Company is currently evaluating the impact of this guidance on its consolidated financial statements.</w:t>
      </w:r>
    </w:p>
    <w:p>
      <w:pPr>
        <w:spacing w:after="0" w:line="188" w:lineRule="exact"/>
        <w:rPr>
          <w:sz w:val="20"/>
          <w:szCs w:val="20"/>
          <w:color w:val="auto"/>
        </w:rPr>
      </w:pPr>
    </w:p>
    <w:p>
      <w:pPr>
        <w:ind w:firstLine="45"/>
        <w:spacing w:after="0" w:line="255" w:lineRule="auto"/>
        <w:rPr>
          <w:sz w:val="20"/>
          <w:szCs w:val="20"/>
          <w:color w:val="auto"/>
        </w:rPr>
      </w:pPr>
      <w:r>
        <w:rPr>
          <w:rFonts w:ascii="Arial" w:cs="Arial" w:eastAsia="Arial" w:hAnsi="Arial"/>
          <w:sz w:val="18"/>
          <w:szCs w:val="18"/>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Company is currently evaluating the impact of this guidance on its consolidated financial statements.</w:t>
      </w:r>
    </w:p>
    <w:p>
      <w:pPr>
        <w:spacing w:after="0" w:line="189"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August 2018, the FASB issued ASU 2018-13, Fair Value Measurement (Topic 820): Disclosure Framework-Changes to the Disclosure Requirements for Fair Value Measurement. ASU 2018-13 modifies the disclosure requirements on fair value measurements and will become effective for the Company on January 1, 2020 and early adoption is permitted. The Company is currently evaluating the impact of this guidance on its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2019,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required to provide the information required by this Item.</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that evaluation, our Chief Executive Officer and Chief Financial Officer concluded that, as of September 30, 2019, our disclosure controls and procedures were not yet effective due to the presence of material weaknesses in internal control over financial reporting.</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described in more detail in our annual report on Form 10-K for the year ended December 31, 2018, management identified the following material weaknesses which have caused management to conclude that our disclosure controls and procedures were not effective: (i) inadequate segregation of duties; and (ii) inadequate information technology reporting systems to ensure that accurate financial information is provided for accounting and financial reporting with respect to the requirements and application of both US GAAP and SEC guidelines. Those weaknesses have not been completely remediated as of September 30,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2019, we hired two additional people in our accounting department to address the segregation of duties issue and improve our internal control over financial reporting. We also evaluated and selected new accounting software to address the information technology issues and implemented those systems in August 2019. We also improved the documentation of the review of data entered into our system. We are currently evaluating and testing this new system, along with associated controls. We expect that this new system will remediate our material weakness in internal controls; however a thorough assessment will not be completed until the end of Q4.</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While we made other routine ongoing improvements in our internal control and processes, no other material changes were made during the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our Annual Report on Form 10-K for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September 2019, we issued 8,336 shares of common stock to our independent directors in connection with our Director Compensation Plan. We also issued a total 48,775 shares of stock during the three months ended September 30, 2019, in connection with the exercise of options under our 2013 equity compensation plan.</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0" w:type="dxa"/>
            <w:vAlign w:val="bottom"/>
            <w:gridSpan w:val="3"/>
          </w:tcPr>
          <w:p>
            <w:pPr>
              <w:spacing w:after="0"/>
              <w:rPr>
                <w:sz w:val="20"/>
                <w:szCs w:val="20"/>
                <w:color w:val="auto"/>
              </w:rPr>
            </w:pPr>
            <w:r>
              <w:rPr>
                <w:rFonts w:ascii="Arial" w:cs="Arial" w:eastAsia="Arial" w:hAnsi="Arial"/>
                <w:sz w:val="18"/>
                <w:szCs w:val="18"/>
                <w:color w:val="auto"/>
              </w:rPr>
              <w:t>Number</w:t>
            </w:r>
          </w:p>
        </w:tc>
        <w:tc>
          <w:tcPr>
            <w:tcW w:w="10400" w:type="dxa"/>
            <w:vAlign w:val="bottom"/>
            <w:gridSpan w:val="7"/>
          </w:tcPr>
          <w:p>
            <w:pPr>
              <w:spacing w:after="0"/>
              <w:rPr>
                <w:sz w:val="20"/>
                <w:szCs w:val="20"/>
                <w:color w:val="auto"/>
              </w:rPr>
            </w:pPr>
            <w:r>
              <w:rPr>
                <w:rFonts w:ascii="Arial" w:cs="Arial" w:eastAsia="Arial" w:hAnsi="Arial"/>
                <w:sz w:val="18"/>
                <w:szCs w:val="18"/>
                <w:color w:val="auto"/>
              </w:rPr>
              <w:t>Description of Exhibit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Borders>
              <w:top w:val="single" w:sz="8" w:color="CCEEFF"/>
            </w:tcBorders>
            <w:shd w:val="clear" w:color="auto" w:fill="CCEEFF"/>
          </w:tcPr>
          <w:p>
            <w:pPr>
              <w:spacing w:after="0"/>
              <w:rPr>
                <w:sz w:val="15"/>
                <w:szCs w:val="15"/>
                <w:color w:val="auto"/>
              </w:rPr>
            </w:pPr>
          </w:p>
        </w:tc>
        <w:tc>
          <w:tcPr>
            <w:tcW w:w="10380" w:type="dxa"/>
            <w:vAlign w:val="bottom"/>
            <w:tcBorders>
              <w:top w:val="single" w:sz="8" w:color="auto"/>
            </w:tcBorders>
            <w:gridSpan w:val="6"/>
            <w:shd w:val="clear" w:color="auto" w:fill="CCEEFF"/>
          </w:tcPr>
          <w:p>
            <w:pPr>
              <w:spacing w:after="0" w:line="176" w:lineRule="exact"/>
              <w:rPr>
                <w:sz w:val="20"/>
                <w:szCs w:val="20"/>
                <w:color w:val="auto"/>
              </w:rPr>
            </w:pPr>
            <w:r>
              <w:rPr>
                <w:rFonts w:ascii="Arial" w:cs="Arial" w:eastAsia="Arial" w:hAnsi="Arial"/>
                <w:sz w:val="18"/>
                <w:szCs w:val="18"/>
                <w:color w:val="0000EE"/>
                <w:w w:val="92"/>
              </w:rPr>
              <w:t>Certification of Chief Executive Officer pursuant to 18 U.S.C. Section 1350, as adopted pursuant to Section 302 of the Sarbanes-Oxley Act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rPr>
              <w:t>2002</w:t>
            </w:r>
          </w:p>
        </w:tc>
        <w:tc>
          <w:tcPr>
            <w:tcW w:w="78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7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5"/>
                <w:szCs w:val="15"/>
                <w:color w:val="auto"/>
              </w:rPr>
            </w:pPr>
          </w:p>
        </w:tc>
        <w:tc>
          <w:tcPr>
            <w:tcW w:w="10380" w:type="dxa"/>
            <w:vAlign w:val="bottom"/>
            <w:gridSpan w:val="6"/>
          </w:tcPr>
          <w:p>
            <w:pPr>
              <w:spacing w:after="0" w:line="176" w:lineRule="exact"/>
              <w:rPr>
                <w:sz w:val="20"/>
                <w:szCs w:val="20"/>
                <w:color w:val="auto"/>
              </w:rPr>
            </w:pPr>
            <w:r>
              <w:rPr>
                <w:rFonts w:ascii="Arial" w:cs="Arial" w:eastAsia="Arial" w:hAnsi="Arial"/>
                <w:sz w:val="18"/>
                <w:szCs w:val="18"/>
                <w:color w:val="0000EE"/>
                <w:w w:val="92"/>
              </w:rPr>
              <w:t>Certification of Chief Financial Officer pursuant to 18 U.S.C. Section 1350, as adopted pursuant to Section 302 of the Sarbanes-Oxley Act of</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2002</w:t>
            </w:r>
          </w:p>
        </w:tc>
        <w:tc>
          <w:tcPr>
            <w:tcW w:w="78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5"/>
                <w:szCs w:val="15"/>
                <w:color w:val="auto"/>
              </w:rPr>
            </w:pPr>
          </w:p>
        </w:tc>
        <w:tc>
          <w:tcPr>
            <w:tcW w:w="103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0000EE"/>
                <w:w w:val="92"/>
              </w:rPr>
              <w:t>Certification of Chief Executive Officer and Chief Financial Officer pursuant to 18 U.S.C. Section 1350, as adopted pursuant to Section 906 of</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300" w:type="dxa"/>
            <w:vAlign w:val="bottom"/>
            <w:tcBorders>
              <w:top w:val="single" w:sz="8" w:color="0000EE"/>
            </w:tcBorders>
            <w:gridSpan w:val="5"/>
            <w:shd w:val="clear" w:color="auto" w:fill="CCEEFF"/>
          </w:tcPr>
          <w:p>
            <w:pPr>
              <w:spacing w:after="0" w:line="196" w:lineRule="exact"/>
              <w:rPr>
                <w:sz w:val="20"/>
                <w:szCs w:val="20"/>
                <w:color w:val="auto"/>
              </w:rPr>
            </w:pPr>
            <w:r>
              <w:rPr>
                <w:rFonts w:ascii="Arial" w:cs="Arial" w:eastAsia="Arial" w:hAnsi="Arial"/>
                <w:sz w:val="18"/>
                <w:szCs w:val="18"/>
                <w:color w:val="0000EE"/>
              </w:rPr>
              <w:t>the Sarbanes-Oxley Act of 2002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960" w:type="dxa"/>
            <w:vAlign w:val="bottom"/>
            <w:tcBorders>
              <w:top w:val="single" w:sz="8" w:color="0000EE"/>
            </w:tcBorders>
            <w:shd w:val="clear" w:color="auto" w:fill="CCEEFF"/>
          </w:tcPr>
          <w:p>
            <w:pPr>
              <w:spacing w:after="0" w:line="20" w:lineRule="exact"/>
              <w:rPr>
                <w:sz w:val="1"/>
                <w:szCs w:val="1"/>
                <w:color w:val="auto"/>
              </w:rPr>
            </w:pPr>
          </w:p>
        </w:tc>
        <w:tc>
          <w:tcPr>
            <w:tcW w:w="78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380" w:type="dxa"/>
            <w:vAlign w:val="bottom"/>
            <w:gridSpan w:val="6"/>
          </w:tcPr>
          <w:p>
            <w:pPr>
              <w:spacing w:after="0" w:line="201" w:lineRule="exact"/>
              <w:rPr>
                <w:sz w:val="20"/>
                <w:szCs w:val="20"/>
                <w:color w:val="auto"/>
              </w:rPr>
            </w:pPr>
            <w:r>
              <w:rPr>
                <w:rFonts w:ascii="Arial" w:cs="Arial" w:eastAsia="Arial" w:hAnsi="Arial"/>
                <w:sz w:val="18"/>
                <w:szCs w:val="18"/>
                <w:color w:val="auto"/>
                <w:w w:val="91"/>
              </w:rPr>
              <w:t>The following materials from the Company’s Quarterly Report on Form 10-Q for the quarter ended September 30, 2019 formatted in Extensible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0" w:type="dxa"/>
            <w:vAlign w:val="bottom"/>
            <w:gridSpan w:val="7"/>
          </w:tcPr>
          <w:p>
            <w:pPr>
              <w:spacing w:after="0"/>
              <w:rPr>
                <w:sz w:val="20"/>
                <w:szCs w:val="20"/>
                <w:color w:val="auto"/>
              </w:rPr>
            </w:pPr>
            <w:r>
              <w:rPr>
                <w:rFonts w:ascii="Arial" w:cs="Arial" w:eastAsia="Arial" w:hAnsi="Arial"/>
                <w:sz w:val="18"/>
                <w:szCs w:val="18"/>
                <w:color w:val="auto"/>
              </w:rPr>
              <w:t>Business Reporting Language (XBRL).</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Provided herewith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420" w:type="dxa"/>
            <w:vAlign w:val="bottom"/>
            <w:gridSpan w:val="2"/>
          </w:tcPr>
          <w:p>
            <w:pPr>
              <w:ind w:left="68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Date: November 5, 2019</w:t>
            </w:r>
          </w:p>
        </w:tc>
        <w:tc>
          <w:tcPr>
            <w:tcW w:w="3980" w:type="dxa"/>
            <w:vAlign w:val="bottom"/>
          </w:tcPr>
          <w:p>
            <w:pPr>
              <w:spacing w:after="0"/>
              <w:rPr>
                <w:sz w:val="18"/>
                <w:szCs w:val="18"/>
                <w:color w:val="auto"/>
              </w:rPr>
            </w:pPr>
          </w:p>
        </w:tc>
      </w:tr>
      <w:tr>
        <w:trPr>
          <w:trHeight w:val="237"/>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440" w:type="dxa"/>
            <w:vAlign w:val="bottom"/>
          </w:tcPr>
          <w:p>
            <w:pPr>
              <w:spacing w:after="0"/>
              <w:rPr>
                <w:sz w:val="17"/>
                <w:szCs w:val="17"/>
                <w:color w:val="auto"/>
              </w:rPr>
            </w:pPr>
          </w:p>
        </w:tc>
        <w:tc>
          <w:tcPr>
            <w:tcW w:w="398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16"/>
        </w:trPr>
        <w:tc>
          <w:tcPr>
            <w:tcW w:w="7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Executive Officer, and</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Director</w:t>
            </w:r>
          </w:p>
        </w:tc>
      </w:tr>
      <w:tr>
        <w:trPr>
          <w:trHeight w:val="418"/>
        </w:trPr>
        <w:tc>
          <w:tcPr>
            <w:tcW w:w="11420" w:type="dxa"/>
            <w:vAlign w:val="bottom"/>
            <w:gridSpan w:val="2"/>
          </w:tcPr>
          <w:p>
            <w:pPr>
              <w:ind w:left="68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Date: November 5, 2019</w:t>
            </w:r>
          </w:p>
        </w:tc>
        <w:tc>
          <w:tcPr>
            <w:tcW w:w="3980" w:type="dxa"/>
            <w:vAlign w:val="bottom"/>
          </w:tcPr>
          <w:p>
            <w:pPr>
              <w:spacing w:after="0"/>
              <w:rPr>
                <w:sz w:val="18"/>
                <w:szCs w:val="18"/>
                <w:color w:val="auto"/>
              </w:rPr>
            </w:pPr>
          </w:p>
        </w:tc>
      </w:tr>
      <w:tr>
        <w:trPr>
          <w:trHeight w:val="237"/>
        </w:trPr>
        <w:tc>
          <w:tcPr>
            <w:tcW w:w="7440" w:type="dxa"/>
            <w:vAlign w:val="bottom"/>
          </w:tcPr>
          <w:p>
            <w:pPr>
              <w:ind w:left="686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7440" w:type="dxa"/>
            <w:vAlign w:val="bottom"/>
          </w:tcPr>
          <w:p>
            <w:pPr>
              <w:spacing w:after="0"/>
              <w:rPr>
                <w:sz w:val="17"/>
                <w:szCs w:val="17"/>
                <w:color w:val="auto"/>
              </w:rPr>
            </w:pPr>
          </w:p>
        </w:tc>
        <w:tc>
          <w:tcPr>
            <w:tcW w:w="398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7440" w:type="dxa"/>
            <w:vAlign w:val="bottom"/>
          </w:tcPr>
          <w:p>
            <w:pPr>
              <w:ind w:left="686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74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74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r>
        <w:trPr>
          <w:trHeight w:val="655"/>
        </w:trPr>
        <w:tc>
          <w:tcPr>
            <w:tcW w:w="7440" w:type="dxa"/>
            <w:vAlign w:val="bottom"/>
            <w:tcBorders>
              <w:bottom w:val="single" w:sz="8" w:color="auto"/>
            </w:tcBorders>
          </w:tcPr>
          <w:p>
            <w:pPr>
              <w:ind w:left="5620"/>
              <w:spacing w:after="0"/>
              <w:rPr>
                <w:sz w:val="20"/>
                <w:szCs w:val="20"/>
                <w:color w:val="auto"/>
              </w:rPr>
            </w:pPr>
            <w:r>
              <w:rPr>
                <w:rFonts w:ascii="Arial" w:cs="Arial" w:eastAsia="Arial" w:hAnsi="Arial"/>
                <w:sz w:val="18"/>
                <w:szCs w:val="18"/>
                <w:color w:val="auto"/>
              </w:rPr>
              <w:t>21</w:t>
            </w: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2019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2019 of OptimizeRx Corp (the “registrant”);</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80" w:hanging="328"/>
        <w:spacing w:after="0" w:line="308" w:lineRule="auto"/>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right="120" w:hanging="328"/>
        <w:spacing w:after="0" w:line="264"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22"/>
          <w:szCs w:val="22"/>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September 30, 2019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66"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right="3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Willian J Febbo</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November 5, 2019</w:t>
            </w:r>
          </w:p>
        </w:tc>
      </w:tr>
      <w:tr>
        <w:trPr>
          <w:trHeight w:val="453"/>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Douglas P. Baker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November 5, 2019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4"/>
      <w:numFmt w:val="bullet"/>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2019-12-28T02:49:42Z</dcterms:created>
  <dcterms:modified xsi:type="dcterms:W3CDTF">2019-12-28T02:49:42Z</dcterms:modified>
</cp:coreProperties>
</file>