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OF THE SECURITIES EXCHANGE ACT 0F 1934</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Event): July 30, 2010 (July 28, 2010)</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000-53605</w:t>
      </w:r>
    </w:p>
    <w:p>
      <w:pPr>
        <w:spacing w:after="0" w:line="22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OPTIMIZERX CORPORATION</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178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3080" w:type="dxa"/>
            <w:vAlign w:val="bottom"/>
            <w:gridSpan w:val="2"/>
          </w:tcPr>
          <w:p>
            <w:pPr>
              <w:jc w:val="center"/>
              <w:ind w:right="2500"/>
              <w:spacing w:after="0"/>
              <w:rPr>
                <w:sz w:val="20"/>
                <w:szCs w:val="20"/>
                <w:color w:val="auto"/>
              </w:rPr>
            </w:pPr>
            <w:r>
              <w:rPr>
                <w:rFonts w:ascii="Arial" w:cs="Arial" w:eastAsia="Arial" w:hAnsi="Arial"/>
                <w:sz w:val="18"/>
                <w:szCs w:val="18"/>
                <w:b w:val="1"/>
                <w:bCs w:val="1"/>
                <w:color w:val="auto"/>
                <w:w w:val="90"/>
              </w:rPr>
              <w:t>Nevada</w:t>
            </w:r>
          </w:p>
        </w:tc>
        <w:tc>
          <w:tcPr>
            <w:tcW w:w="4160" w:type="dxa"/>
            <w:vAlign w:val="bottom"/>
            <w:gridSpan w:val="3"/>
          </w:tcPr>
          <w:p>
            <w:pPr>
              <w:jc w:val="right"/>
              <w:ind w:right="800"/>
              <w:spacing w:after="0"/>
              <w:rPr>
                <w:sz w:val="20"/>
                <w:szCs w:val="20"/>
                <w:color w:val="auto"/>
              </w:rPr>
            </w:pPr>
            <w:r>
              <w:rPr>
                <w:rFonts w:ascii="Arial" w:cs="Arial" w:eastAsia="Arial" w:hAnsi="Arial"/>
                <w:sz w:val="18"/>
                <w:szCs w:val="18"/>
                <w:b w:val="1"/>
                <w:bCs w:val="1"/>
                <w:color w:val="auto"/>
              </w:rPr>
              <w:t>26-1265381</w:t>
            </w:r>
          </w:p>
        </w:tc>
      </w:tr>
      <w:tr>
        <w:trPr>
          <w:trHeight w:val="20"/>
        </w:trPr>
        <w:tc>
          <w:tcPr>
            <w:tcW w:w="7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2"/>
        </w:trPr>
        <w:tc>
          <w:tcPr>
            <w:tcW w:w="3860" w:type="dxa"/>
            <w:vAlign w:val="bottom"/>
            <w:gridSpan w:val="3"/>
          </w:tcPr>
          <w:p>
            <w:pPr>
              <w:jc w:val="center"/>
              <w:ind w:right="1700"/>
              <w:spacing w:after="0"/>
              <w:rPr>
                <w:sz w:val="20"/>
                <w:szCs w:val="20"/>
                <w:color w:val="auto"/>
              </w:rPr>
            </w:pPr>
            <w:r>
              <w:rPr>
                <w:rFonts w:ascii="Arial" w:cs="Arial" w:eastAsia="Arial" w:hAnsi="Arial"/>
                <w:sz w:val="18"/>
                <w:szCs w:val="18"/>
                <w:color w:val="auto"/>
                <w:w w:val="92"/>
              </w:rPr>
              <w:t>(State or other jurisdiction of</w:t>
            </w:r>
          </w:p>
        </w:tc>
        <w:tc>
          <w:tcPr>
            <w:tcW w:w="4160" w:type="dxa"/>
            <w:vAlign w:val="bottom"/>
            <w:gridSpan w:val="3"/>
          </w:tcPr>
          <w:p>
            <w:pPr>
              <w:jc w:val="center"/>
              <w:ind w:left="159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860" w:type="dxa"/>
            <w:vAlign w:val="bottom"/>
            <w:gridSpan w:val="3"/>
          </w:tcPr>
          <w:p>
            <w:pPr>
              <w:jc w:val="center"/>
              <w:ind w:right="1700"/>
              <w:spacing w:after="0"/>
              <w:rPr>
                <w:sz w:val="20"/>
                <w:szCs w:val="20"/>
                <w:color w:val="auto"/>
              </w:rPr>
            </w:pPr>
            <w:r>
              <w:rPr>
                <w:rFonts w:ascii="Arial" w:cs="Arial" w:eastAsia="Arial" w:hAnsi="Arial"/>
                <w:sz w:val="18"/>
                <w:szCs w:val="18"/>
                <w:color w:val="auto"/>
                <w:w w:val="92"/>
              </w:rPr>
              <w:t>incorporation or organization)</w:t>
            </w:r>
          </w:p>
        </w:tc>
        <w:tc>
          <w:tcPr>
            <w:tcW w:w="2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407 Sixth Street, Rochester, MI 48307</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(248) 651-6558</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________________________________________</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97" w:lineRule="exact"/>
        <w:rPr>
          <w:sz w:val="24"/>
          <w:szCs w:val="24"/>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458470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t>ITEM 1.01</w:t>
        <w:tab/>
        <w:t>ENTRY INTO A MATERIAL DEFINITIVE AGREEMENT.</w:t>
      </w:r>
    </w:p>
    <w:p>
      <w:pPr>
        <w:spacing w:after="0" w:line="25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On July 28, 2010, the board of directors approved an amendment to each of the employment agreements with David A. Harrell, H. David Lester and Terence J. Hamilton.</w:t>
      </w:r>
    </w:p>
    <w:p>
      <w:pPr>
        <w:spacing w:after="0" w:line="19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amendment to employment agreement with David A. Harrell imposes non-competition and non-solicitation restrictions for a period of twenty-four (24) months following the date of termination of Mr. Harrell’s employment with the Company. The amendment also entitles Mr. Harrell to severance pay following the termination of his employment at any time, without or without cause, in an amount equal to the monthly portion of Mr. Harrell’s annual base salary for a period of twenty-four (24) months; provided, however, such severance payments are subject to Mr. Harrell’s compliance with the non-competition and non-solicitation restrictions.</w:t>
      </w:r>
    </w:p>
    <w:p>
      <w:pPr>
        <w:spacing w:after="0" w:line="21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Each of the amendments for H. David Lester and Terence J. Hamilton imposes similar non-competition and non-solicitation restrictions for a period of twelve (12) months following the respective date of their termination of employment with the Company. Each such amendment also entitles each of Mr. Lester and Mr. Hamilton to severance pay following the termination of their respective employment at any time, without or without cause, in an amount equal to their respective annual base salary payable in monthly installments for a period of twelve (12) months; provided, however, such severance payments are subject to their compliance with their respective employment agreements, as amended, including the non-competition and non-solicitation restrictions.</w:t>
      </w:r>
    </w:p>
    <w:p>
      <w:pPr>
        <w:spacing w:after="0" w:line="181"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July 28, 2010, the board of directors, effectively immediately, removed Thomas E. Majerowicz without cause from the positions of director, vice president and secretary with the Company and with the Company’s wholly owned subsidiary, OptimizeRx Corporation, a Michigan corporation.</w:t>
      </w:r>
    </w:p>
    <w:p>
      <w:pPr>
        <w:spacing w:after="0" w:line="17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July 28, 2010, the board of directors, effectively immediately, elected H. David Lester as the secretary of the Company and the Company’s wholly owned subsidiary, OptimizeRx Corporation, a Michigan corporation, to replace Mr. Majerowicz. Mr. Lester currently serves as the president and chief executive officer of both corporations.</w:t>
      </w:r>
    </w:p>
    <w:p>
      <w:pPr>
        <w:spacing w:after="0" w:line="2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July 28, 2010, the board of directors ratified the appointment of Shad Shastney to the Company’s board of directors. As a series B preferred stockholder, Vicis Capital Master Fund has the right to appoint one or more directors to the Company’s board of directors. Consistent with such right, Vicis Capital Master Fund appointed Mr. Shastney. A description of Vicis’ right to appoint director(s) to the Company’s board of directors is set forth in Company’s Certificate of Designation, Preferences, and Rights of Series B Convertible Preferred Stock which was filed as an exhibit to the Company’s Current Report on Form 8-K filed with the Securities and Exchange Commission on June 11, 2010.</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 w:name="page3"/>
    <w:bookmarkEnd w:id="2"/>
    <w:p>
      <w:pPr>
        <w:ind w:right="40" w:firstLine="648"/>
        <w:spacing w:after="0" w:line="255" w:lineRule="auto"/>
        <w:rPr>
          <w:sz w:val="20"/>
          <w:szCs w:val="20"/>
          <w:color w:val="auto"/>
        </w:rPr>
      </w:pPr>
      <w:r>
        <w:rPr>
          <w:rFonts w:ascii="Arial" w:cs="Arial" w:eastAsia="Arial" w:hAnsi="Arial"/>
          <w:sz w:val="18"/>
          <w:szCs w:val="18"/>
          <w:color w:val="auto"/>
        </w:rPr>
        <w:t>Mr. Stastney is a member of and the chief operating officer for Vicis Capital, LLC, a company he jointly founded in 2004. Mr. Stastney also jointly founded Victus Capital Management LLC in 2001. From 1998 through 2001, Mr. Stastney worked with the corporate equity derivatives origination group of Credit Suisse First Boston, eventually becoming a Director and Head of the Hedging and Monetization Group, a joint venture between derivatives and equity capital markets. In 1997, he joined Credit Suisse First Boston’s then-combined convertible/equity derivative origination desk. From 1994 to 1997, he was an associate at the law firm of Cravath, Swaine and Moore in New York, in their tax and corporate groups, focusing on derivatives. He graduated from the University of North Dakota in 1990 with a B.A. in Political Theory and His tory, and from the Yale Law School in 1994 with a J.D. degree focusing on corporate and tax law.</w:t>
      </w:r>
    </w:p>
    <w:p>
      <w:pPr>
        <w:spacing w:after="0" w:line="216"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Vicis Capital LLC, the investment manager of Vicis Capital Master Fund, owns shares of the Company’s common stock, series A and B preferred stock and series A and B warrants. Mr. Stastney holds investment and dispositive power of the shares and warrants held by Vicis Capital Master Fund. Vicis Capital Master Fund beneficially owns an aggregate of 13,736,598 shares of common stock, consisting of (i) 236,598 shares of common stock, (ii) 3,500,000 shares issuable upon the conversion of the series A preferred stock, (iii) 6,000,000 shares issuable upon the exercise of the series A warrants, (iv) 1,000,000 shares issuable upon the conversion of the series B preferred stock, and (v) 3,000,000 shares issuable upon the exercise of the series B</w:t>
      </w:r>
    </w:p>
    <w:p>
      <w:pPr>
        <w:spacing w:after="0" w:line="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warrants. Descriptions of the investments in the Com pany made by Vicis Capital Master Fund are set forth in the current report on Form 8-K, filed with the Securities and Exchange Commission on June 11, 2010, and in the registration statement on Form S-1 filed with the Securities and Exchange Commission on November 12, 2008.</w:t>
      </w:r>
    </w:p>
    <w:p>
      <w:pPr>
        <w:spacing w:after="0" w:line="217"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Other than described herein, Mr. Shastney has not been a participant in, or is to be a participant in, any related-person transaction or proposed related-person transaction required to be disclosed by Item 404(a) of Regulation S-K under the Securities Exchange Act of 1934. In addition, there are no family relationships between Mr. Shastney and any of our directors or executive officers.</w:t>
      </w:r>
    </w:p>
    <w:p>
      <w:pPr>
        <w:spacing w:after="0" w:line="20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256" w:lineRule="exact"/>
        <w:rPr>
          <w:sz w:val="20"/>
          <w:szCs w:val="20"/>
          <w:color w:val="auto"/>
        </w:rPr>
      </w:pPr>
    </w:p>
    <w:p>
      <w:pPr>
        <w:ind w:left="1300" w:hanging="295"/>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Exhibit Number</w:t>
      </w:r>
    </w:p>
    <w:p>
      <w:pPr>
        <w:spacing w:after="0" w:line="252" w:lineRule="exact"/>
        <w:rPr>
          <w:sz w:val="20"/>
          <w:szCs w:val="20"/>
          <w:color w:val="auto"/>
        </w:rPr>
      </w:pPr>
    </w:p>
    <w:p>
      <w:pPr>
        <w:ind w:left="1540"/>
        <w:spacing w:after="0"/>
        <w:rPr>
          <w:sz w:val="20"/>
          <w:szCs w:val="20"/>
          <w:color w:val="auto"/>
        </w:rPr>
      </w:pPr>
      <w:r>
        <w:rPr>
          <w:rFonts w:ascii="Arial" w:cs="Arial" w:eastAsia="Arial" w:hAnsi="Arial"/>
          <w:sz w:val="18"/>
          <w:szCs w:val="18"/>
          <w:u w:val="single" w:color="auto"/>
          <w:color w:val="0000EE"/>
        </w:rPr>
        <w:t>10.1 Amendment to Employment Agreement – David A. Harrell</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u w:val="single" w:color="auto"/>
          <w:color w:val="0000EE"/>
        </w:rPr>
        <w:t>10.2 Amendment to Employment Agreement – H. David Lester</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u w:val="single" w:color="auto"/>
          <w:color w:val="0000EE"/>
        </w:rPr>
        <w:t>10.3 Amendment to Employment Agreement – Terence J. Hamilton</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3" w:name="page4"/>
    <w:bookmarkEnd w:id="3"/>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2660" w:type="dxa"/>
            <w:vAlign w:val="bottom"/>
            <w:gridSpan w:val="3"/>
          </w:tcPr>
          <w:p>
            <w:pPr>
              <w:ind w:left="80"/>
              <w:spacing w:after="0"/>
              <w:rPr>
                <w:sz w:val="20"/>
                <w:szCs w:val="20"/>
                <w:color w:val="auto"/>
              </w:rPr>
            </w:pPr>
            <w:r>
              <w:rPr>
                <w:rFonts w:ascii="Arial" w:cs="Arial" w:eastAsia="Arial" w:hAnsi="Arial"/>
                <w:sz w:val="18"/>
                <w:szCs w:val="18"/>
                <w:b w:val="1"/>
                <w:bCs w:val="1"/>
                <w:color w:val="auto"/>
              </w:rPr>
              <w:t>OPTIMIZERX CORPORATION</w:t>
            </w:r>
          </w:p>
        </w:tc>
        <w:tc>
          <w:tcPr>
            <w:tcW w:w="0" w:type="dxa"/>
            <w:vAlign w:val="bottom"/>
          </w:tcPr>
          <w:p>
            <w:pPr>
              <w:spacing w:after="0"/>
              <w:rPr>
                <w:sz w:val="1"/>
                <w:szCs w:val="1"/>
                <w:color w:val="auto"/>
              </w:rPr>
            </w:pPr>
          </w:p>
        </w:tc>
      </w:tr>
      <w:tr>
        <w:trPr>
          <w:trHeight w:val="918"/>
        </w:trPr>
        <w:tc>
          <w:tcPr>
            <w:tcW w:w="1080" w:type="dxa"/>
            <w:vAlign w:val="bottom"/>
          </w:tcPr>
          <w:p>
            <w:pPr>
              <w:spacing w:after="0"/>
              <w:rPr>
                <w:sz w:val="20"/>
                <w:szCs w:val="20"/>
                <w:color w:val="auto"/>
              </w:rPr>
            </w:pPr>
            <w:r>
              <w:rPr>
                <w:rFonts w:ascii="Arial" w:cs="Arial" w:eastAsia="Arial" w:hAnsi="Arial"/>
                <w:sz w:val="18"/>
                <w:szCs w:val="18"/>
                <w:color w:val="auto"/>
                <w:w w:val="96"/>
              </w:rPr>
              <w:t>Date: July 30,</w:t>
            </w:r>
          </w:p>
        </w:tc>
        <w:tc>
          <w:tcPr>
            <w:tcW w:w="2660" w:type="dxa"/>
            <w:vAlign w:val="bottom"/>
            <w:gridSpan w:val="3"/>
          </w:tcPr>
          <w:p>
            <w:pPr>
              <w:ind w:left="80"/>
              <w:spacing w:after="0"/>
              <w:rPr>
                <w:sz w:val="20"/>
                <w:szCs w:val="20"/>
                <w:color w:val="auto"/>
              </w:rPr>
            </w:pPr>
            <w:r>
              <w:rPr>
                <w:rFonts w:ascii="Arial" w:cs="Arial" w:eastAsia="Arial" w:hAnsi="Arial"/>
                <w:sz w:val="18"/>
                <w:szCs w:val="18"/>
                <w:color w:val="auto"/>
              </w:rPr>
              <w:t>By: /s/ H. David Lester</w:t>
            </w:r>
          </w:p>
        </w:tc>
        <w:tc>
          <w:tcPr>
            <w:tcW w:w="0" w:type="dxa"/>
            <w:vAlign w:val="bottom"/>
          </w:tcPr>
          <w:p>
            <w:pPr>
              <w:spacing w:after="0"/>
              <w:rPr>
                <w:sz w:val="1"/>
                <w:szCs w:val="1"/>
                <w:color w:val="auto"/>
              </w:rPr>
            </w:pPr>
          </w:p>
        </w:tc>
      </w:tr>
      <w:tr>
        <w:trPr>
          <w:trHeight w:val="27"/>
        </w:trPr>
        <w:tc>
          <w:tcPr>
            <w:tcW w:w="1080" w:type="dxa"/>
            <w:vAlign w:val="bottom"/>
            <w:vMerge w:val="restart"/>
          </w:tcPr>
          <w:p>
            <w:pPr>
              <w:spacing w:after="0"/>
              <w:rPr>
                <w:sz w:val="20"/>
                <w:szCs w:val="20"/>
                <w:color w:val="auto"/>
              </w:rPr>
            </w:pPr>
            <w:r>
              <w:rPr>
                <w:rFonts w:ascii="Arial" w:cs="Arial" w:eastAsia="Arial" w:hAnsi="Arial"/>
                <w:sz w:val="18"/>
                <w:szCs w:val="18"/>
                <w:color w:val="auto"/>
              </w:rPr>
              <w:t>2010</w:t>
            </w:r>
          </w:p>
        </w:tc>
        <w:tc>
          <w:tcPr>
            <w:tcW w:w="38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vMerge w:val="continue"/>
          </w:tcPr>
          <w:p>
            <w:pPr>
              <w:spacing w:after="0"/>
              <w:rPr>
                <w:sz w:val="16"/>
                <w:szCs w:val="16"/>
                <w:color w:val="auto"/>
              </w:rPr>
            </w:pPr>
          </w:p>
        </w:tc>
        <w:tc>
          <w:tcPr>
            <w:tcW w:w="2660" w:type="dxa"/>
            <w:vAlign w:val="bottom"/>
            <w:gridSpan w:val="3"/>
            <w:vMerge w:val="restart"/>
          </w:tcPr>
          <w:p>
            <w:pPr>
              <w:ind w:left="80"/>
              <w:spacing w:after="0"/>
              <w:rPr>
                <w:sz w:val="20"/>
                <w:szCs w:val="20"/>
                <w:color w:val="auto"/>
              </w:rPr>
            </w:pPr>
            <w:r>
              <w:rPr>
                <w:rFonts w:ascii="Arial" w:cs="Arial" w:eastAsia="Arial" w:hAnsi="Arial"/>
                <w:sz w:val="18"/>
                <w:szCs w:val="18"/>
                <w:color w:val="auto"/>
                <w:w w:val="94"/>
              </w:rPr>
              <w:t>H. David Lester, President &amp; CEO</w:t>
            </w: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26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486" w:right="7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5220" w:type="dxa"/>
            <w:vAlign w:val="bottom"/>
          </w:tcPr>
          <w:p>
            <w:pPr>
              <w:ind w:left="4160"/>
              <w:spacing w:after="0"/>
              <w:rPr>
                <w:sz w:val="20"/>
                <w:szCs w:val="20"/>
                <w:color w:val="auto"/>
              </w:rPr>
            </w:pPr>
            <w:r>
              <w:rPr>
                <w:rFonts w:ascii="Arial" w:cs="Arial" w:eastAsia="Arial" w:hAnsi="Arial"/>
                <w:sz w:val="18"/>
                <w:szCs w:val="18"/>
                <w:b w:val="1"/>
                <w:bCs w:val="1"/>
                <w:color w:val="auto"/>
                <w:w w:val="92"/>
              </w:rPr>
              <w:t>Exhibit Index</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5220" w:type="dxa"/>
            <w:vAlign w:val="bottom"/>
          </w:tcPr>
          <w:p>
            <w:pPr>
              <w:ind w:left="140"/>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5220" w:type="dxa"/>
            <w:vAlign w:val="bottom"/>
          </w:tcPr>
          <w:p>
            <w:pPr>
              <w:ind w:left="140"/>
              <w:spacing w:after="0"/>
              <w:rPr>
                <w:sz w:val="20"/>
                <w:szCs w:val="20"/>
                <w:color w:val="auto"/>
              </w:rPr>
            </w:pPr>
            <w:r>
              <w:rPr>
                <w:rFonts w:ascii="Arial" w:cs="Arial" w:eastAsia="Arial" w:hAnsi="Arial"/>
                <w:sz w:val="18"/>
                <w:szCs w:val="18"/>
                <w:color w:val="auto"/>
              </w:rPr>
              <w:t>Amendment to Employment Agreement – David A. Harrell</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10.2</w:t>
            </w:r>
          </w:p>
        </w:tc>
        <w:tc>
          <w:tcPr>
            <w:tcW w:w="5220" w:type="dxa"/>
            <w:vAlign w:val="bottom"/>
          </w:tcPr>
          <w:p>
            <w:pPr>
              <w:ind w:left="140"/>
              <w:spacing w:after="0"/>
              <w:rPr>
                <w:sz w:val="20"/>
                <w:szCs w:val="20"/>
                <w:color w:val="auto"/>
              </w:rPr>
            </w:pPr>
            <w:r>
              <w:rPr>
                <w:rFonts w:ascii="Arial" w:cs="Arial" w:eastAsia="Arial" w:hAnsi="Arial"/>
                <w:sz w:val="18"/>
                <w:szCs w:val="18"/>
                <w:color w:val="auto"/>
              </w:rPr>
              <w:t>Amendment to Employment Agreement – H. David Lester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10.3</w:t>
            </w:r>
          </w:p>
        </w:tc>
        <w:tc>
          <w:tcPr>
            <w:tcW w:w="5220" w:type="dxa"/>
            <w:vAlign w:val="bottom"/>
          </w:tcPr>
          <w:p>
            <w:pPr>
              <w:ind w:left="140"/>
              <w:spacing w:after="0"/>
              <w:rPr>
                <w:sz w:val="20"/>
                <w:szCs w:val="20"/>
                <w:color w:val="auto"/>
              </w:rPr>
            </w:pPr>
            <w:r>
              <w:rPr>
                <w:rFonts w:ascii="Arial" w:cs="Arial" w:eastAsia="Arial" w:hAnsi="Arial"/>
                <w:sz w:val="18"/>
                <w:szCs w:val="18"/>
                <w:color w:val="auto"/>
              </w:rPr>
              <w:t>Amendment to Employment Agreement – Terence J. Hamilton</w:t>
            </w:r>
          </w:p>
        </w:tc>
      </w:tr>
    </w:tbl>
    <w:p>
      <w:pPr>
        <w:sectPr>
          <w:pgSz w:w="11900" w:h="16838" w:orient="portrait"/>
          <w:cols w:equalWidth="0" w:num="1">
            <w:col w:w="10219"/>
          </w:cols>
          <w:pgMar w:left="240" w:top="486" w:right="1440"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u w:val="single" w:color="auto"/>
          <w:color w:val="auto"/>
        </w:rPr>
        <w:t>DAVID HARRELL ADDENDUM TO EMPLOYMENT AGREEMENT</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This Addendum To Employment Agreement ("Addendum") is made this 28th day of July, 2010, between OPTIMIZERx Corporation, a Nevada corporation, (the "Company") and David Harrell ("Employee").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WHEREAS: The Company and Employee previously entered into an Employment Agreement on June 1</w:t>
      </w:r>
      <w:r>
        <w:rPr>
          <w:rFonts w:ascii="Arial" w:cs="Arial" w:eastAsia="Arial" w:hAnsi="Arial"/>
          <w:sz w:val="25"/>
          <w:szCs w:val="25"/>
          <w:color w:val="auto"/>
          <w:vertAlign w:val="superscript"/>
        </w:rPr>
        <w:t>st</w:t>
      </w:r>
      <w:r>
        <w:rPr>
          <w:rFonts w:ascii="Arial" w:cs="Arial" w:eastAsia="Arial" w:hAnsi="Arial"/>
          <w:sz w:val="18"/>
          <w:szCs w:val="18"/>
          <w:color w:val="auto"/>
        </w:rPr>
        <w:t>, 2008;</w:t>
      </w:r>
    </w:p>
    <w:p>
      <w:pPr>
        <w:spacing w:after="0" w:line="17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WHEREAS: Since the execution of the original contract, there has been a request on behalf of Vicis to include a non compete clause for the Company's senior management team;</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NOW THEREFORE, in consideration of the promises and mutual covenants set forth, the parties do agree to amend the Employment Agreement as follows:</w:t>
      </w:r>
    </w:p>
    <w:p>
      <w:pPr>
        <w:spacing w:after="0" w:line="271" w:lineRule="exact"/>
        <w:rPr>
          <w:sz w:val="20"/>
          <w:szCs w:val="20"/>
          <w:color w:val="auto"/>
        </w:rPr>
      </w:pPr>
    </w:p>
    <w:p>
      <w:pPr>
        <w:ind w:right="500"/>
        <w:spacing w:after="0" w:line="313" w:lineRule="auto"/>
        <w:rPr>
          <w:sz w:val="20"/>
          <w:szCs w:val="20"/>
          <w:color w:val="auto"/>
        </w:rPr>
      </w:pPr>
      <w:r>
        <w:rPr>
          <w:rFonts w:ascii="Arial" w:cs="Arial" w:eastAsia="Arial" w:hAnsi="Arial"/>
          <w:sz w:val="17"/>
          <w:szCs w:val="17"/>
          <w:b w:val="1"/>
          <w:bCs w:val="1"/>
          <w:u w:val="single" w:color="auto"/>
          <w:color w:val="auto"/>
        </w:rPr>
        <w:t>Non-Competition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Employee hereby accordingly agrees that, for the consideration stated herein and other compensation payable to the Employee,</w:t>
      </w:r>
      <w:r>
        <w:rPr>
          <w:rFonts w:ascii="Arial" w:cs="Arial" w:eastAsia="Arial" w:hAnsi="Arial"/>
          <w:sz w:val="17"/>
          <w:szCs w:val="17"/>
          <w:b w:val="1"/>
          <w:bCs w:val="1"/>
          <w:color w:val="auto"/>
        </w:rPr>
        <w:t xml:space="preserve"> </w:t>
      </w:r>
      <w:r>
        <w:rPr>
          <w:rFonts w:ascii="Arial" w:cs="Arial" w:eastAsia="Arial" w:hAnsi="Arial"/>
          <w:sz w:val="17"/>
          <w:szCs w:val="17"/>
          <w:color w:val="auto"/>
        </w:rPr>
        <w:t>during Employee's employment with the Company and continuing thereafter for a period of two (2) years, Employee will not:</w:t>
      </w:r>
    </w:p>
    <w:p>
      <w:pPr>
        <w:spacing w:after="0" w:line="169" w:lineRule="exact"/>
        <w:rPr>
          <w:sz w:val="20"/>
          <w:szCs w:val="20"/>
          <w:color w:val="auto"/>
        </w:rPr>
      </w:pPr>
    </w:p>
    <w:p>
      <w:pPr>
        <w:jc w:val="both"/>
        <w:ind w:left="1960" w:hanging="192"/>
        <w:spacing w:after="0" w:line="257" w:lineRule="auto"/>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 or engage in (whether as an owner, principal, partner, member,employer, employee, representative, distributor, officer, director or otherwise) any business or enterprise (whether or not for profit) which offers or performs services in direct competition with those services being offered, provided or contemplated by the Company now or at any time during Employee's employment by the Company anywhere in United States of America or any other geographic area in which the Company is now or then conducting business.</w:t>
      </w:r>
    </w:p>
    <w:p>
      <w:pPr>
        <w:spacing w:after="0" w:line="215" w:lineRule="exact"/>
        <w:rPr>
          <w:rFonts w:ascii="Arial" w:cs="Arial" w:eastAsia="Arial" w:hAnsi="Arial"/>
          <w:sz w:val="18"/>
          <w:szCs w:val="18"/>
          <w:color w:val="auto"/>
        </w:rPr>
      </w:pPr>
    </w:p>
    <w:p>
      <w:pPr>
        <w:ind w:left="1960" w:hanging="242"/>
        <w:spacing w:after="0" w:line="277" w:lineRule="auto"/>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divert, take away, solicit or interfere with, directly or indirectly, any Company business from any investors, employees, customers, suppliers, franchisees (current and prospective), trade or other patronage of the Company.</w:t>
      </w:r>
    </w:p>
    <w:p>
      <w:pPr>
        <w:spacing w:after="0" w:line="19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 xml:space="preserve">Termination. </w:t>
      </w:r>
      <w:r>
        <w:rPr>
          <w:rFonts w:ascii="Arial" w:cs="Arial" w:eastAsia="Arial" w:hAnsi="Arial"/>
          <w:sz w:val="18"/>
          <w:szCs w:val="18"/>
          <w:color w:val="auto"/>
        </w:rPr>
        <w:t>If Employee's employment is terminated at any time by the company with or without cause, which termination shall be effective immediately</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date of delivery of written notice to Employee (or ar such later date as otherwise specified in such notice), the Company shall pay to the Employee, David Harrell, as severance pay, the monthly portion of the Employee's base salary, for a period of twenty four (24) month following such termination, subject to the Employee's compliance with the terms and conditions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ind w:right="3299"/>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executed this Agreement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above.</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gridSpan w:val="3"/>
          </w:tcPr>
          <w:p>
            <w:pPr>
              <w:spacing w:after="0"/>
              <w:rPr>
                <w:sz w:val="20"/>
                <w:szCs w:val="20"/>
                <w:color w:val="auto"/>
              </w:rPr>
            </w:pPr>
            <w:r>
              <w:rPr>
                <w:rFonts w:ascii="Arial" w:cs="Arial" w:eastAsia="Arial" w:hAnsi="Arial"/>
                <w:sz w:val="18"/>
                <w:szCs w:val="18"/>
                <w:b w:val="1"/>
                <w:bCs w:val="1"/>
                <w:color w:val="auto"/>
              </w:rPr>
              <w:t>OPTIMIZERx CORPORATION</w:t>
            </w:r>
          </w:p>
        </w:tc>
        <w:tc>
          <w:tcPr>
            <w:tcW w:w="1440" w:type="dxa"/>
            <w:vAlign w:val="bottom"/>
          </w:tcPr>
          <w:p>
            <w:pPr>
              <w:spacing w:after="0"/>
              <w:rPr>
                <w:sz w:val="20"/>
                <w:szCs w:val="20"/>
                <w:color w:val="auto"/>
              </w:rPr>
            </w:pPr>
            <w:r>
              <w:rPr>
                <w:rFonts w:ascii="Arial" w:cs="Arial" w:eastAsia="Arial" w:hAnsi="Arial"/>
                <w:sz w:val="18"/>
                <w:szCs w:val="18"/>
                <w:b w:val="1"/>
                <w:bCs w:val="1"/>
                <w:color w:val="auto"/>
              </w:rPr>
              <w:t>EMPLOYEE:</w:t>
            </w:r>
          </w:p>
        </w:tc>
      </w:tr>
      <w:tr>
        <w:trPr>
          <w:trHeight w:val="392"/>
        </w:trPr>
        <w:tc>
          <w:tcPr>
            <w:tcW w:w="5720" w:type="dxa"/>
            <w:vAlign w:val="bottom"/>
            <w:gridSpan w:val="3"/>
          </w:tcPr>
          <w:p>
            <w:pPr>
              <w:spacing w:after="0"/>
              <w:rPr>
                <w:sz w:val="20"/>
                <w:szCs w:val="20"/>
                <w:color w:val="auto"/>
              </w:rPr>
            </w:pPr>
            <w:r>
              <w:rPr>
                <w:rFonts w:ascii="Arial" w:cs="Arial" w:eastAsia="Arial" w:hAnsi="Arial"/>
                <w:sz w:val="18"/>
                <w:szCs w:val="18"/>
                <w:color w:val="auto"/>
              </w:rPr>
              <w:t>By /s/ H. David Lester</w:t>
            </w:r>
          </w:p>
        </w:tc>
        <w:tc>
          <w:tcPr>
            <w:tcW w:w="144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5720" w:type="dxa"/>
            <w:vAlign w:val="bottom"/>
            <w:gridSpan w:val="3"/>
          </w:tcPr>
          <w:p>
            <w:pPr>
              <w:spacing w:after="0" w:line="196" w:lineRule="exact"/>
              <w:rPr>
                <w:sz w:val="20"/>
                <w:szCs w:val="20"/>
                <w:color w:val="auto"/>
              </w:rPr>
            </w:pPr>
            <w:r>
              <w:rPr>
                <w:rFonts w:ascii="Arial" w:cs="Arial" w:eastAsia="Arial" w:hAnsi="Arial"/>
                <w:sz w:val="18"/>
                <w:szCs w:val="18"/>
                <w:color w:val="auto"/>
              </w:rPr>
              <w:t>H. David Lester,</w:t>
            </w:r>
          </w:p>
        </w:tc>
        <w:tc>
          <w:tcPr>
            <w:tcW w:w="1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4"/>
              </w:rPr>
              <w:t>/s/ David A. Harrell</w:t>
            </w:r>
          </w:p>
        </w:tc>
      </w:tr>
      <w:tr>
        <w:trPr>
          <w:trHeight w:val="237"/>
        </w:trPr>
        <w:tc>
          <w:tcPr>
            <w:tcW w:w="572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c>
          <w:tcPr>
            <w:tcW w:w="1440" w:type="dxa"/>
            <w:vAlign w:val="bottom"/>
          </w:tcPr>
          <w:p>
            <w:pPr>
              <w:spacing w:after="0"/>
              <w:rPr>
                <w:sz w:val="20"/>
                <w:szCs w:val="20"/>
                <w:color w:val="auto"/>
              </w:rPr>
            </w:pPr>
            <w:r>
              <w:rPr>
                <w:rFonts w:ascii="Arial" w:cs="Arial" w:eastAsia="Arial" w:hAnsi="Arial"/>
                <w:sz w:val="18"/>
                <w:szCs w:val="18"/>
                <w:color w:val="auto"/>
              </w:rPr>
              <w:t>David A. Harrell</w:t>
            </w:r>
          </w:p>
        </w:tc>
      </w:tr>
    </w:tbl>
    <w:p>
      <w:pPr>
        <w:sectPr>
          <w:pgSz w:w="11900" w:h="16838" w:orient="portrait"/>
          <w:cols w:equalWidth="0" w:num="1">
            <w:col w:w="10219"/>
          </w:cols>
          <w:pgMar w:left="240" w:top="513"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DAVID LESTER AMENDMENT TO EMPLOYMENT AGREEMENT</w:t>
      </w:r>
    </w:p>
    <w:p>
      <w:pPr>
        <w:spacing w:after="0" w:line="256"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This Amendment To Employment Agreement ("Amendment") is made this 28th day of July, 2010, between OPTIMIZERx Corporation, a Nevada corporation, (the "Company") and David Lester ("Employee").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WHEREAS, the Company and Employee previously entered into an Employment Agreement on August 1</w:t>
      </w:r>
      <w:r>
        <w:rPr>
          <w:rFonts w:ascii="Arial" w:cs="Arial" w:eastAsia="Arial" w:hAnsi="Arial"/>
          <w:sz w:val="24"/>
          <w:szCs w:val="24"/>
          <w:color w:val="auto"/>
          <w:vertAlign w:val="superscript"/>
        </w:rPr>
        <w:t>st</w:t>
      </w:r>
      <w:r>
        <w:rPr>
          <w:rFonts w:ascii="Arial" w:cs="Arial" w:eastAsia="Arial" w:hAnsi="Arial"/>
          <w:sz w:val="17"/>
          <w:szCs w:val="17"/>
          <w:color w:val="auto"/>
        </w:rPr>
        <w:t>, 2008 (The Employment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WHEREAS, the Company and Employee desire to amend certain provisions of the Employment Agreement;</w:t>
      </w:r>
    </w:p>
    <w:p>
      <w:pPr>
        <w:spacing w:after="0" w:line="25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NOW THEREFORE, in consideration of the promises and mutual covenants set forth herein, the parties hereto hereby agree to amend the Employment Agreement as follows:</w:t>
      </w:r>
    </w:p>
    <w:p>
      <w:pPr>
        <w:spacing w:after="0" w:line="197" w:lineRule="exact"/>
        <w:rPr>
          <w:sz w:val="20"/>
          <w:szCs w:val="20"/>
          <w:color w:val="auto"/>
        </w:rPr>
      </w:pPr>
    </w:p>
    <w:p>
      <w:pPr>
        <w:ind w:left="820" w:hanging="227"/>
        <w:spacing w:after="0"/>
        <w:tabs>
          <w:tab w:leader="none" w:pos="8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following provision is hereby added as Paragraph 21 of the Employment Agreement:</w:t>
      </w:r>
    </w:p>
    <w:p>
      <w:pPr>
        <w:spacing w:after="0" w:line="248"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b w:val="1"/>
          <w:bCs w:val="1"/>
          <w:color w:val="auto"/>
        </w:rPr>
        <w:t>“21.</w:t>
      </w:r>
      <w:r>
        <w:rPr>
          <w:sz w:val="20"/>
          <w:szCs w:val="20"/>
          <w:color w:val="auto"/>
        </w:rPr>
        <w:tab/>
      </w:r>
      <w:r>
        <w:rPr>
          <w:rFonts w:ascii="Arial" w:cs="Arial" w:eastAsia="Arial" w:hAnsi="Arial"/>
          <w:sz w:val="17"/>
          <w:szCs w:val="17"/>
          <w:b w:val="1"/>
          <w:bCs w:val="1"/>
          <w:u w:val="single" w:color="auto"/>
          <w:color w:val="auto"/>
        </w:rPr>
        <w:t>Non-Competition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Employee hereby accordingly agrees that, for the consideration stated herein and other compensation payable to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Employee, during Employee's employment with the Company and continuing thereafter for a period of one (1) years, Employee will not:</w:t>
      </w:r>
    </w:p>
    <w:p>
      <w:pPr>
        <w:spacing w:after="0" w:line="238" w:lineRule="exact"/>
        <w:rPr>
          <w:sz w:val="20"/>
          <w:szCs w:val="20"/>
          <w:color w:val="auto"/>
        </w:rPr>
      </w:pPr>
    </w:p>
    <w:p>
      <w:pPr>
        <w:jc w:val="both"/>
        <w:ind w:left="1620" w:hanging="281"/>
        <w:spacing w:after="0" w:line="302" w:lineRule="auto"/>
        <w:tabs>
          <w:tab w:leader="none" w:pos="1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Conduct or engage in (whether as an owner, principal, partner, member,employer, employee, representative, distributor, officer, director or otherwise) any business or enterprise (whether or not for profit) which offers or performs services in direct competition with those services being offered, provided or contemplated by the Company now or at any time during Employee's employment by the Company anywhere in United States of America or any other geographic area in which the Company is now or then conducting business.</w:t>
      </w:r>
    </w:p>
    <w:p>
      <w:pPr>
        <w:spacing w:after="0" w:line="397" w:lineRule="exact"/>
        <w:rPr>
          <w:sz w:val="20"/>
          <w:szCs w:val="20"/>
          <w:color w:val="auto"/>
        </w:rPr>
      </w:pPr>
    </w:p>
    <w:p>
      <w:pPr>
        <w:ind w:left="1620" w:hanging="299"/>
        <w:spacing w:after="0" w:line="277" w:lineRule="auto"/>
        <w:rPr>
          <w:sz w:val="20"/>
          <w:szCs w:val="20"/>
          <w:color w:val="auto"/>
        </w:rPr>
      </w:pPr>
      <w:r>
        <w:rPr>
          <w:rFonts w:ascii="Arial" w:cs="Arial" w:eastAsia="Arial" w:hAnsi="Arial"/>
          <w:sz w:val="18"/>
          <w:szCs w:val="18"/>
          <w:color w:val="auto"/>
        </w:rPr>
        <w:t>(b) divert, take away, solicit or interfere with, directly or indirectly, any</w:t>
      </w:r>
      <w:r>
        <w:rPr>
          <w:sz w:val="20"/>
          <w:szCs w:val="20"/>
          <w:color w:val="auto"/>
        </w:rPr>
        <w:t xml:space="preserve"> </w:t>
      </w:r>
      <w:r>
        <w:rPr>
          <w:rFonts w:ascii="Arial" w:cs="Arial" w:eastAsia="Arial" w:hAnsi="Arial"/>
          <w:sz w:val="18"/>
          <w:szCs w:val="18"/>
          <w:color w:val="auto"/>
        </w:rPr>
        <w:t>Company business from any investors, employees, customers, suppliers, franchisees (current and prospective), trade or other patronage of the Company.</w:t>
      </w:r>
    </w:p>
    <w:p>
      <w:pPr>
        <w:spacing w:after="0" w:line="197" w:lineRule="exact"/>
        <w:rPr>
          <w:sz w:val="20"/>
          <w:szCs w:val="20"/>
          <w:color w:val="auto"/>
        </w:rPr>
      </w:pPr>
    </w:p>
    <w:p>
      <w:pPr>
        <w:ind w:left="660" w:right="60"/>
        <w:spacing w:after="0" w:line="276" w:lineRule="auto"/>
        <w:rPr>
          <w:sz w:val="20"/>
          <w:szCs w:val="20"/>
          <w:color w:val="auto"/>
        </w:rPr>
      </w:pPr>
      <w:r>
        <w:rPr>
          <w:rFonts w:ascii="Arial" w:cs="Arial" w:eastAsia="Arial" w:hAnsi="Arial"/>
          <w:sz w:val="17"/>
          <w:szCs w:val="17"/>
          <w:color w:val="auto"/>
        </w:rPr>
        <w:t>The parties hereto hereby acknowledge and agree that the restrictions contained in this Agreement are reasonable and necessary for the purpose of preserving for the Company, its business and goodwill and other proprietary rights. It is the desire and intent of the parties that the provisions of this Agreement be enforced to the fullest extent permissible under the laws and public policies applied in each jurisdiction in which enforcement may be soug ht. Accordingly, to the extent any provision hereof is deemed unenforceable by limitation thereon, the parties agree that the same shall, nevertheless, be enforceable to the fullest extent permissible under the laws and public policies applied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ind w:left="660" w:right="20"/>
        <w:spacing w:after="0" w:line="257" w:lineRule="auto"/>
        <w:rPr>
          <w:sz w:val="20"/>
          <w:szCs w:val="20"/>
          <w:color w:val="auto"/>
        </w:rPr>
      </w:pPr>
      <w:r>
        <w:rPr>
          <w:rFonts w:ascii="Arial" w:cs="Arial" w:eastAsia="Arial" w:hAnsi="Arial"/>
          <w:sz w:val="18"/>
          <w:szCs w:val="18"/>
          <w:color w:val="auto"/>
        </w:rPr>
        <w:t>such jurisdiction in which enforcement is sought. Furthermore, if any particular portion of this Agreement be adjudicated as invalid or unenforceable, such portion shall be deleted and such deletion shall apply only with respect to the operation of such portion in the particular jurisdiction in which such adjudication is made. In the event of a breach or threatened breach by the Employee of the provisions hereof, the Employee acknowledges that the remedy at law would be inadequate and that the Company shall be entitled to an injunction restraining Employee h m such breach, in addition to mo netary damages and any other remedy provided by law."</w:t>
      </w:r>
    </w:p>
    <w:p>
      <w:pPr>
        <w:spacing w:after="0" w:line="215"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Paragraph 13 of the Employment Agreement is hereby amended and restated in its entirety to read as follows:</w:t>
      </w:r>
    </w:p>
    <w:p>
      <w:pPr>
        <w:spacing w:after="0" w:line="24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u w:val="single" w:color="auto"/>
          <w:color w:val="auto"/>
        </w:rPr>
        <w:t>Severance Pay</w:t>
      </w:r>
      <w:r>
        <w:rPr>
          <w:rFonts w:ascii="Arial" w:cs="Arial" w:eastAsia="Arial" w:hAnsi="Arial"/>
          <w:sz w:val="18"/>
          <w:szCs w:val="18"/>
          <w:b w:val="1"/>
          <w:bCs w:val="1"/>
          <w:color w:val="auto"/>
        </w:rPr>
        <w:t>.</w:t>
      </w:r>
      <w:r>
        <w:rPr>
          <w:rFonts w:ascii="Arial" w:cs="Arial" w:eastAsia="Arial" w:hAnsi="Arial"/>
          <w:sz w:val="18"/>
          <w:szCs w:val="18"/>
          <w:color w:val="auto"/>
        </w:rPr>
        <w:t xml:space="preserve"> If the Employee's employment is terminated at any time by the Company with or without cause, which termination shall be effective immediately upon the date of delivery of written notice to Employee (or at such later date as otherwise specified in such notice), the Company shall continue to pay to the Employee, asseverance pay, the monthly portion of the Employee's annual base salary for a period of twelve (12) months following such termination, subject to the Employee's compliance with the terms and conditions of this Agreement."</w:t>
      </w:r>
    </w:p>
    <w:p>
      <w:pPr>
        <w:spacing w:after="0" w:line="211" w:lineRule="exact"/>
        <w:rPr>
          <w:sz w:val="20"/>
          <w:szCs w:val="20"/>
          <w:color w:val="auto"/>
        </w:rPr>
      </w:pPr>
    </w:p>
    <w:p>
      <w:pPr>
        <w:ind w:right="40" w:firstLine="8"/>
        <w:spacing w:after="0" w:line="258" w:lineRule="auto"/>
        <w:tabs>
          <w:tab w:leader="none" w:pos="63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all other respects, the remaining terms, covenants, conditions and provisions of the Employment Agreement shall continue in full force and effect to the extent provided in the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Employment Agreement.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executed this Agreement as of the date first written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gridSpan w:val="3"/>
          </w:tcPr>
          <w:p>
            <w:pPr>
              <w:spacing w:after="0"/>
              <w:rPr>
                <w:sz w:val="20"/>
                <w:szCs w:val="20"/>
                <w:color w:val="auto"/>
              </w:rPr>
            </w:pPr>
            <w:r>
              <w:rPr>
                <w:rFonts w:ascii="Arial" w:cs="Arial" w:eastAsia="Arial" w:hAnsi="Arial"/>
                <w:sz w:val="18"/>
                <w:szCs w:val="18"/>
                <w:b w:val="1"/>
                <w:bCs w:val="1"/>
                <w:color w:val="auto"/>
              </w:rPr>
              <w:t>OPTIMIZERx CORPORATION</w:t>
            </w:r>
          </w:p>
        </w:tc>
        <w:tc>
          <w:tcPr>
            <w:tcW w:w="1160" w:type="dxa"/>
            <w:vAlign w:val="bottom"/>
          </w:tcPr>
          <w:p>
            <w:pPr>
              <w:spacing w:after="0"/>
              <w:rPr>
                <w:sz w:val="20"/>
                <w:szCs w:val="20"/>
                <w:color w:val="auto"/>
              </w:rPr>
            </w:pPr>
            <w:r>
              <w:rPr>
                <w:rFonts w:ascii="Arial" w:cs="Arial" w:eastAsia="Arial" w:hAnsi="Arial"/>
                <w:sz w:val="18"/>
                <w:szCs w:val="18"/>
                <w:b w:val="1"/>
                <w:bCs w:val="1"/>
                <w:color w:val="auto"/>
              </w:rPr>
              <w:t>EMPLOYEE:</w:t>
            </w:r>
          </w:p>
        </w:tc>
      </w:tr>
      <w:tr>
        <w:trPr>
          <w:trHeight w:val="392"/>
        </w:trPr>
        <w:tc>
          <w:tcPr>
            <w:tcW w:w="5720" w:type="dxa"/>
            <w:vAlign w:val="bottom"/>
            <w:gridSpan w:val="3"/>
          </w:tcPr>
          <w:p>
            <w:pPr>
              <w:spacing w:after="0"/>
              <w:rPr>
                <w:sz w:val="20"/>
                <w:szCs w:val="20"/>
                <w:color w:val="auto"/>
              </w:rPr>
            </w:pPr>
            <w:r>
              <w:rPr>
                <w:rFonts w:ascii="Arial" w:cs="Arial" w:eastAsia="Arial" w:hAnsi="Arial"/>
                <w:sz w:val="18"/>
                <w:szCs w:val="18"/>
                <w:color w:val="auto"/>
              </w:rPr>
              <w:t>By /s/ David Harrell</w:t>
            </w:r>
          </w:p>
        </w:tc>
        <w:tc>
          <w:tcPr>
            <w:tcW w:w="116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5720" w:type="dxa"/>
            <w:vAlign w:val="bottom"/>
            <w:gridSpan w:val="3"/>
          </w:tcPr>
          <w:p>
            <w:pPr>
              <w:spacing w:after="0" w:line="196" w:lineRule="exact"/>
              <w:rPr>
                <w:sz w:val="20"/>
                <w:szCs w:val="20"/>
                <w:color w:val="auto"/>
              </w:rPr>
            </w:pPr>
            <w:r>
              <w:rPr>
                <w:rFonts w:ascii="Arial" w:cs="Arial" w:eastAsia="Arial" w:hAnsi="Arial"/>
                <w:sz w:val="18"/>
                <w:szCs w:val="18"/>
                <w:color w:val="auto"/>
              </w:rPr>
              <w:t>David Harrell,</w:t>
            </w:r>
          </w:p>
        </w:tc>
        <w:tc>
          <w:tcPr>
            <w:tcW w:w="1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1"/>
              </w:rPr>
              <w:t>/s/ David Lester</w:t>
            </w:r>
          </w:p>
        </w:tc>
      </w:tr>
      <w:tr>
        <w:trPr>
          <w:trHeight w:val="237"/>
        </w:trPr>
        <w:tc>
          <w:tcPr>
            <w:tcW w:w="5720" w:type="dxa"/>
            <w:vAlign w:val="bottom"/>
            <w:gridSpan w:val="3"/>
          </w:tcPr>
          <w:p>
            <w:pPr>
              <w:spacing w:after="0"/>
              <w:rPr>
                <w:sz w:val="20"/>
                <w:szCs w:val="20"/>
                <w:color w:val="auto"/>
              </w:rPr>
            </w:pPr>
            <w:r>
              <w:rPr>
                <w:rFonts w:ascii="Arial" w:cs="Arial" w:eastAsia="Arial" w:hAnsi="Arial"/>
                <w:sz w:val="18"/>
                <w:szCs w:val="18"/>
                <w:color w:val="auto"/>
              </w:rPr>
              <w:t>Chairman</w:t>
            </w:r>
          </w:p>
        </w:tc>
        <w:tc>
          <w:tcPr>
            <w:tcW w:w="1160" w:type="dxa"/>
            <w:vAlign w:val="bottom"/>
          </w:tcPr>
          <w:p>
            <w:pPr>
              <w:spacing w:after="0"/>
              <w:rPr>
                <w:sz w:val="20"/>
                <w:szCs w:val="20"/>
                <w:color w:val="auto"/>
              </w:rPr>
            </w:pPr>
            <w:r>
              <w:rPr>
                <w:rFonts w:ascii="Arial" w:cs="Arial" w:eastAsia="Arial" w:hAnsi="Arial"/>
                <w:sz w:val="18"/>
                <w:szCs w:val="18"/>
                <w:color w:val="auto"/>
              </w:rPr>
              <w:t>David Lester</w:t>
            </w:r>
          </w:p>
        </w:tc>
      </w:tr>
    </w:tbl>
    <w:p>
      <w:pPr>
        <w:sectPr>
          <w:pgSz w:w="11900" w:h="16838" w:orient="portrait"/>
          <w:cols w:equalWidth="0" w:num="1">
            <w:col w:w="11360"/>
          </w:cols>
          <w:pgMar w:left="240" w:top="517" w:right="29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u w:val="single" w:color="auto"/>
          <w:color w:val="auto"/>
        </w:rPr>
        <w:t>TERRY HAMILTON AMENDMENT TO EMPLOYMENT AGREEMENT</w:t>
      </w:r>
    </w:p>
    <w:p>
      <w:pPr>
        <w:spacing w:after="0" w:line="256"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This Amendment To Employment Agreement ("Amendment") is made this 28th day of July, 2010, between OPTIMIZERx Corporation, a Nevada corporation, (the "Company") and Terry Hamilton ("Employee").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WHEREAS, the Company and Employee previously entered into an Employment Agreement on August 1</w:t>
      </w:r>
      <w:r>
        <w:rPr>
          <w:rFonts w:ascii="Arial" w:cs="Arial" w:eastAsia="Arial" w:hAnsi="Arial"/>
          <w:sz w:val="24"/>
          <w:szCs w:val="24"/>
          <w:color w:val="auto"/>
          <w:vertAlign w:val="superscript"/>
        </w:rPr>
        <w:t>st</w:t>
      </w:r>
      <w:r>
        <w:rPr>
          <w:rFonts w:ascii="Arial" w:cs="Arial" w:eastAsia="Arial" w:hAnsi="Arial"/>
          <w:sz w:val="17"/>
          <w:szCs w:val="17"/>
          <w:color w:val="auto"/>
        </w:rPr>
        <w:t>, 2008 (The Employment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WHEREAS, the Company and Employee desire to amend certain provisions of the Employment Agreement;</w:t>
      </w:r>
    </w:p>
    <w:p>
      <w:pPr>
        <w:spacing w:after="0" w:line="25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NOW THEREFORE, in consideration of the promises and mutual covenants set forth herein, the parties hereto hereby agree to amend the Employment Agreement as follows:</w:t>
      </w:r>
    </w:p>
    <w:p>
      <w:pPr>
        <w:spacing w:after="0" w:line="197" w:lineRule="exact"/>
        <w:rPr>
          <w:sz w:val="20"/>
          <w:szCs w:val="20"/>
          <w:color w:val="auto"/>
        </w:rPr>
      </w:pPr>
    </w:p>
    <w:p>
      <w:pPr>
        <w:ind w:left="820" w:hanging="227"/>
        <w:spacing w:after="0"/>
        <w:tabs>
          <w:tab w:leader="none" w:pos="8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following provision is hereby added as Paragraph 21 of the Employment Agreement:</w:t>
      </w:r>
    </w:p>
    <w:p>
      <w:pPr>
        <w:spacing w:after="0" w:line="248"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b w:val="1"/>
          <w:bCs w:val="1"/>
          <w:color w:val="auto"/>
        </w:rPr>
        <w:t>“21.</w:t>
      </w:r>
      <w:r>
        <w:rPr>
          <w:sz w:val="20"/>
          <w:szCs w:val="20"/>
          <w:color w:val="auto"/>
        </w:rPr>
        <w:tab/>
      </w:r>
      <w:r>
        <w:rPr>
          <w:rFonts w:ascii="Arial" w:cs="Arial" w:eastAsia="Arial" w:hAnsi="Arial"/>
          <w:sz w:val="17"/>
          <w:szCs w:val="17"/>
          <w:b w:val="1"/>
          <w:bCs w:val="1"/>
          <w:u w:val="single" w:color="auto"/>
          <w:color w:val="auto"/>
        </w:rPr>
        <w:t>Non-Competition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Employee hereby accordingly agrees that, for the consideration stated herein and other compensation payable to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Employee, during Employee's employment with the Company and continuing thereafter for a period of one (1) years, Employee will not:</w:t>
      </w:r>
    </w:p>
    <w:p>
      <w:pPr>
        <w:spacing w:after="0" w:line="238" w:lineRule="exact"/>
        <w:rPr>
          <w:sz w:val="20"/>
          <w:szCs w:val="20"/>
          <w:color w:val="auto"/>
        </w:rPr>
      </w:pPr>
    </w:p>
    <w:p>
      <w:pPr>
        <w:jc w:val="both"/>
        <w:ind w:left="1620" w:hanging="281"/>
        <w:spacing w:after="0" w:line="257"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Conduct or engage in (whether as an owner, principal, partner, member, employer, employee, representative, distributor, officer, director or otherwise) any business or enterprise (whether or not for profit) which offers or performs services in direct competition with those services being offered, provided or contemplated by the Company now or at any time during Employee's employment by the Company anywhere in United States of America or any other geographic area in which the Company is now or then conducting business.</w:t>
      </w:r>
    </w:p>
    <w:p>
      <w:pPr>
        <w:spacing w:after="0" w:line="200" w:lineRule="exact"/>
        <w:rPr>
          <w:rFonts w:ascii="Arial" w:cs="Arial" w:eastAsia="Arial" w:hAnsi="Arial"/>
          <w:sz w:val="18"/>
          <w:szCs w:val="18"/>
          <w:color w:val="auto"/>
        </w:rPr>
      </w:pPr>
    </w:p>
    <w:p>
      <w:pPr>
        <w:spacing w:after="0" w:line="231" w:lineRule="exact"/>
        <w:rPr>
          <w:rFonts w:ascii="Arial" w:cs="Arial" w:eastAsia="Arial" w:hAnsi="Arial"/>
          <w:sz w:val="18"/>
          <w:szCs w:val="18"/>
          <w:color w:val="auto"/>
        </w:rPr>
      </w:pPr>
    </w:p>
    <w:p>
      <w:pPr>
        <w:ind w:left="1620" w:hanging="291"/>
        <w:spacing w:after="0"/>
        <w:tabs>
          <w:tab w:leader="none" w:pos="1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divert, take away, solicit or interfere with, directly or indirectly, any Company business from any investors, employees, customers,</w:t>
      </w:r>
    </w:p>
    <w:p>
      <w:pPr>
        <w:spacing w:after="0" w:line="35" w:lineRule="exact"/>
        <w:rPr>
          <w:sz w:val="20"/>
          <w:szCs w:val="20"/>
          <w:color w:val="auto"/>
        </w:rPr>
      </w:pPr>
    </w:p>
    <w:p>
      <w:pPr>
        <w:ind w:left="1620"/>
        <w:spacing w:after="0"/>
        <w:tabs>
          <w:tab w:leader="none" w:pos="7500" w:val="left"/>
        </w:tabs>
        <w:rPr>
          <w:sz w:val="20"/>
          <w:szCs w:val="20"/>
          <w:color w:val="auto"/>
        </w:rPr>
      </w:pPr>
      <w:r>
        <w:rPr>
          <w:rFonts w:ascii="Arial" w:cs="Arial" w:eastAsia="Arial" w:hAnsi="Arial"/>
          <w:sz w:val="18"/>
          <w:szCs w:val="18"/>
          <w:color w:val="auto"/>
        </w:rPr>
        <w:t>suppliers, franchisees (current and prospective), trade or other patronage of the</w:t>
      </w:r>
      <w:r>
        <w:rPr>
          <w:sz w:val="20"/>
          <w:szCs w:val="20"/>
          <w:color w:val="auto"/>
        </w:rPr>
        <w:tab/>
      </w:r>
      <w:r>
        <w:rPr>
          <w:rFonts w:ascii="Arial" w:cs="Arial" w:eastAsia="Arial" w:hAnsi="Arial"/>
          <w:sz w:val="16"/>
          <w:szCs w:val="16"/>
          <w:color w:val="auto"/>
        </w:rPr>
        <w:t>Company.</w:t>
      </w:r>
    </w:p>
    <w:p>
      <w:pPr>
        <w:spacing w:after="0" w:line="238" w:lineRule="exact"/>
        <w:rPr>
          <w:sz w:val="20"/>
          <w:szCs w:val="20"/>
          <w:color w:val="auto"/>
        </w:rPr>
      </w:pPr>
    </w:p>
    <w:p>
      <w:pPr>
        <w:ind w:left="660" w:right="60"/>
        <w:spacing w:after="0" w:line="276" w:lineRule="auto"/>
        <w:rPr>
          <w:sz w:val="20"/>
          <w:szCs w:val="20"/>
          <w:color w:val="auto"/>
        </w:rPr>
      </w:pPr>
      <w:r>
        <w:rPr>
          <w:rFonts w:ascii="Arial" w:cs="Arial" w:eastAsia="Arial" w:hAnsi="Arial"/>
          <w:sz w:val="17"/>
          <w:szCs w:val="17"/>
          <w:color w:val="auto"/>
        </w:rPr>
        <w:t>The parties hereto hereby acknowledge and agree that the restrictions contained in this Agreement are reasonable and necessary for the purpose of preserving for the Company, its business and goodwill and other proprietary rights. It is the desire and intent of the parties that the provisions of this Agreement be enforced to the fullest extent permissible under the laws and public policies applied in each jurisdiction in which enforcement may be soug ht. Accordingly, to the extent any provision hereof is deemed unenforceable by limitation thereon, the parties agree that the same shall, nevertheless, be enforceable to the fullest extent permissible under the laws and public policies applied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ind w:left="660" w:right="20"/>
        <w:spacing w:after="0" w:line="257" w:lineRule="auto"/>
        <w:rPr>
          <w:sz w:val="20"/>
          <w:szCs w:val="20"/>
          <w:color w:val="auto"/>
        </w:rPr>
      </w:pPr>
      <w:r>
        <w:rPr>
          <w:rFonts w:ascii="Arial" w:cs="Arial" w:eastAsia="Arial" w:hAnsi="Arial"/>
          <w:sz w:val="18"/>
          <w:szCs w:val="18"/>
          <w:color w:val="auto"/>
        </w:rPr>
        <w:t>such jurisdiction in which enforcement is sought. Furthermore, if any particular portion of this Agreement be adjudicated as invalid or unenforceable, such portion shall be deleted and such deletion shall apply only with respect to the operation of such portion in the particular jurisdiction in which such adjudication is made. In the event of a breach or threatened breach by the Employee of the provisions hereof, the Employee acknowledges that the remedy at law would be inadequate and that the Company shall be entitled to an injunction restraining Employee h m such breach, in addition to mo netary damages and any other remedy provided by law."</w:t>
      </w:r>
    </w:p>
    <w:p>
      <w:pPr>
        <w:spacing w:after="0" w:line="215"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Paragraph 13 of the Employment Agreement is hereby amended and restated in its entirety to read as follows:</w:t>
      </w:r>
    </w:p>
    <w:p>
      <w:pPr>
        <w:spacing w:after="0" w:line="24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u w:val="single" w:color="auto"/>
          <w:color w:val="auto"/>
        </w:rPr>
        <w:t>Severance Pay</w:t>
      </w:r>
      <w:r>
        <w:rPr>
          <w:rFonts w:ascii="Arial" w:cs="Arial" w:eastAsia="Arial" w:hAnsi="Arial"/>
          <w:sz w:val="18"/>
          <w:szCs w:val="18"/>
          <w:b w:val="1"/>
          <w:bCs w:val="1"/>
          <w:color w:val="auto"/>
        </w:rPr>
        <w:t>.</w:t>
      </w:r>
      <w:r>
        <w:rPr>
          <w:rFonts w:ascii="Arial" w:cs="Arial" w:eastAsia="Arial" w:hAnsi="Arial"/>
          <w:sz w:val="18"/>
          <w:szCs w:val="18"/>
          <w:color w:val="auto"/>
        </w:rPr>
        <w:t xml:space="preserve"> If the Employee's employment is terminated at any time by the Company with or without cause, which termination shall be effective immediately upon the date of delivery of written notice to Employee (or at such later date as otherwise specified in such notice), the Company shall continue to pay to the Employee, asseverance pay, the monthly portion of the Employee's annual base salary for a period of twelve (12) months following such termination, subject to the Employee's compliance with the terms and conditions of this Agreement."</w:t>
      </w:r>
    </w:p>
    <w:p>
      <w:pPr>
        <w:spacing w:after="0" w:line="211" w:lineRule="exact"/>
        <w:rPr>
          <w:sz w:val="20"/>
          <w:szCs w:val="20"/>
          <w:color w:val="auto"/>
        </w:rPr>
      </w:pPr>
    </w:p>
    <w:p>
      <w:pPr>
        <w:ind w:right="40" w:firstLine="8"/>
        <w:spacing w:after="0" w:line="277" w:lineRule="auto"/>
        <w:tabs>
          <w:tab w:leader="none" w:pos="6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all other respects, the remaining terms, covenants, conditions and provisions of the Employment Agreement shall continue in full force and effect to the extent provided in the Employment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executed this Agreement as of the date first written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gridSpan w:val="3"/>
          </w:tcPr>
          <w:p>
            <w:pPr>
              <w:spacing w:after="0"/>
              <w:rPr>
                <w:sz w:val="20"/>
                <w:szCs w:val="20"/>
                <w:color w:val="auto"/>
              </w:rPr>
            </w:pPr>
            <w:r>
              <w:rPr>
                <w:rFonts w:ascii="Arial" w:cs="Arial" w:eastAsia="Arial" w:hAnsi="Arial"/>
                <w:sz w:val="18"/>
                <w:szCs w:val="18"/>
                <w:b w:val="1"/>
                <w:bCs w:val="1"/>
                <w:color w:val="auto"/>
              </w:rPr>
              <w:t>OPTIMIZERx CORPORATION</w:t>
            </w:r>
          </w:p>
        </w:tc>
        <w:tc>
          <w:tcPr>
            <w:tcW w:w="1320" w:type="dxa"/>
            <w:vAlign w:val="bottom"/>
          </w:tcPr>
          <w:p>
            <w:pPr>
              <w:spacing w:after="0"/>
              <w:rPr>
                <w:sz w:val="20"/>
                <w:szCs w:val="20"/>
                <w:color w:val="auto"/>
              </w:rPr>
            </w:pPr>
            <w:r>
              <w:rPr>
                <w:rFonts w:ascii="Arial" w:cs="Arial" w:eastAsia="Arial" w:hAnsi="Arial"/>
                <w:sz w:val="18"/>
                <w:szCs w:val="18"/>
                <w:b w:val="1"/>
                <w:bCs w:val="1"/>
                <w:color w:val="auto"/>
              </w:rPr>
              <w:t>EMPLOYEE:</w:t>
            </w:r>
          </w:p>
        </w:tc>
      </w:tr>
      <w:tr>
        <w:trPr>
          <w:trHeight w:val="392"/>
        </w:trPr>
        <w:tc>
          <w:tcPr>
            <w:tcW w:w="5720" w:type="dxa"/>
            <w:vAlign w:val="bottom"/>
            <w:gridSpan w:val="3"/>
          </w:tcPr>
          <w:p>
            <w:pPr>
              <w:spacing w:after="0"/>
              <w:rPr>
                <w:sz w:val="20"/>
                <w:szCs w:val="20"/>
                <w:color w:val="auto"/>
              </w:rPr>
            </w:pPr>
            <w:r>
              <w:rPr>
                <w:rFonts w:ascii="Arial" w:cs="Arial" w:eastAsia="Arial" w:hAnsi="Arial"/>
                <w:sz w:val="18"/>
                <w:szCs w:val="18"/>
                <w:color w:val="auto"/>
              </w:rPr>
              <w:t>By /s/ H. David Lester</w:t>
            </w:r>
          </w:p>
        </w:tc>
        <w:tc>
          <w:tcPr>
            <w:tcW w:w="132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5720" w:type="dxa"/>
            <w:vAlign w:val="bottom"/>
            <w:gridSpan w:val="3"/>
          </w:tcPr>
          <w:p>
            <w:pPr>
              <w:spacing w:after="0" w:line="196" w:lineRule="exact"/>
              <w:rPr>
                <w:sz w:val="20"/>
                <w:szCs w:val="20"/>
                <w:color w:val="auto"/>
              </w:rPr>
            </w:pPr>
            <w:r>
              <w:rPr>
                <w:rFonts w:ascii="Arial" w:cs="Arial" w:eastAsia="Arial" w:hAnsi="Arial"/>
                <w:sz w:val="18"/>
                <w:szCs w:val="18"/>
                <w:color w:val="auto"/>
              </w:rPr>
              <w:t>H. David Lester,</w:t>
            </w:r>
          </w:p>
        </w:tc>
        <w:tc>
          <w:tcPr>
            <w:tcW w:w="1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1"/>
              </w:rPr>
              <w:t>/s/ Terry Hamilton</w:t>
            </w:r>
          </w:p>
        </w:tc>
      </w:tr>
      <w:tr>
        <w:trPr>
          <w:trHeight w:val="237"/>
        </w:trPr>
        <w:tc>
          <w:tcPr>
            <w:tcW w:w="572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c>
          <w:tcPr>
            <w:tcW w:w="1320" w:type="dxa"/>
            <w:vAlign w:val="bottom"/>
          </w:tcPr>
          <w:p>
            <w:pPr>
              <w:spacing w:after="0"/>
              <w:rPr>
                <w:sz w:val="20"/>
                <w:szCs w:val="20"/>
                <w:color w:val="auto"/>
              </w:rPr>
            </w:pPr>
            <w:r>
              <w:rPr>
                <w:rFonts w:ascii="Arial" w:cs="Arial" w:eastAsia="Arial" w:hAnsi="Arial"/>
                <w:sz w:val="18"/>
                <w:szCs w:val="18"/>
                <w:color w:val="auto"/>
              </w:rPr>
              <w:t>Terry Hamilton</w:t>
            </w:r>
          </w:p>
        </w:tc>
      </w:tr>
    </w:tbl>
    <w:p>
      <w:pPr>
        <w:spacing w:after="0" w:line="1" w:lineRule="exact"/>
        <w:rPr>
          <w:sz w:val="20"/>
          <w:szCs w:val="20"/>
          <w:color w:val="auto"/>
        </w:rPr>
      </w:pPr>
    </w:p>
    <w:sectPr>
      <w:pgSz w:w="11900" w:h="16838" w:orient="portrait"/>
      <w:cols w:equalWidth="0" w:num="1">
        <w:col w:w="11360"/>
      </w:cols>
      <w:pgMar w:left="240" w:top="51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1."/>
      <w:numFmt w:val="lowerRoman"/>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decimal"/>
      <w:start w:val="2"/>
    </w:lvl>
  </w:abstractNum>
  <w:abstractNum w:abstractNumId="6">
    <w:nsid w:val="5BD062C2"/>
    <w:multiLevelType w:val="hybridMultilevel"/>
    <w:lvl w:ilvl="0">
      <w:lvlJc w:val="left"/>
      <w:lvlText w:val="%1."/>
      <w:numFmt w:val="decimal"/>
      <w:start w:val="3"/>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decimal"/>
      <w:start w:val="2"/>
    </w:lvl>
  </w:abstractNum>
  <w:abstractNum w:abstractNumId="10">
    <w:nsid w:val="1F16E9E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2019-12-11T05:00:38Z</dcterms:created>
  <dcterms:modified xsi:type="dcterms:W3CDTF">2019-12-11T05:00:38Z</dcterms:modified>
</cp:coreProperties>
</file>