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 THE SECURITIES EXCHANGE ACT 0F 1934</w:t>
      </w:r>
    </w:p>
    <w:p>
      <w:pPr>
        <w:spacing w:after="0" w:line="200" w:lineRule="exact"/>
        <w:rPr>
          <w:sz w:val="24"/>
          <w:szCs w:val="24"/>
          <w:color w:val="auto"/>
        </w:rPr>
      </w:pPr>
    </w:p>
    <w:p>
      <w:pPr>
        <w:spacing w:after="0" w:line="27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Event): June 8, 2010 (June 4, 2010)</w:t>
      </w:r>
    </w:p>
    <w:p>
      <w:pPr>
        <w:spacing w:after="0" w:line="200" w:lineRule="exact"/>
        <w:rPr>
          <w:sz w:val="24"/>
          <w:szCs w:val="24"/>
          <w:color w:val="auto"/>
        </w:rPr>
      </w:pPr>
    </w:p>
    <w:p>
      <w:pPr>
        <w:spacing w:after="0" w:line="29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000-53605</w:t>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OPTIMIZERX CORPORATION</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340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15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Nevada</w:t>
            </w:r>
          </w:p>
        </w:tc>
        <w:tc>
          <w:tcPr>
            <w:tcW w:w="22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1"/>
              </w:rPr>
              <w:t>26-1265381</w:t>
            </w:r>
          </w:p>
        </w:tc>
      </w:tr>
      <w:tr>
        <w:trPr>
          <w:trHeight w:val="20"/>
        </w:trPr>
        <w:tc>
          <w:tcPr>
            <w:tcW w:w="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2"/>
        </w:trPr>
        <w:tc>
          <w:tcPr>
            <w:tcW w:w="234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(State or other jurisdiction of</w:t>
            </w:r>
          </w:p>
        </w:tc>
        <w:tc>
          <w:tcPr>
            <w:tcW w:w="2260" w:type="dxa"/>
            <w:vAlign w:val="bottom"/>
            <w:gridSpan w:val="3"/>
          </w:tcPr>
          <w:p>
            <w:pPr>
              <w:jc w:val="center"/>
              <w:ind w:left="50"/>
              <w:spacing w:after="0"/>
              <w:rPr>
                <w:sz w:val="20"/>
                <w:szCs w:val="20"/>
                <w:color w:val="auto"/>
              </w:rPr>
            </w:pPr>
            <w:r>
              <w:rPr>
                <w:rFonts w:ascii="Arial" w:cs="Arial" w:eastAsia="Arial" w:hAnsi="Arial"/>
                <w:sz w:val="18"/>
                <w:szCs w:val="18"/>
                <w:color w:val="auto"/>
                <w:w w:val="95"/>
              </w:rPr>
              <w:t>(IRS Employer Identification</w:t>
            </w:r>
          </w:p>
        </w:tc>
      </w:tr>
      <w:tr>
        <w:trPr>
          <w:trHeight w:val="230"/>
        </w:trPr>
        <w:tc>
          <w:tcPr>
            <w:tcW w:w="234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incorporation or organization)</w:t>
            </w:r>
          </w:p>
        </w:tc>
        <w:tc>
          <w:tcPr>
            <w:tcW w:w="760" w:type="dxa"/>
            <w:vAlign w:val="bottom"/>
          </w:tcPr>
          <w:p>
            <w:pPr>
              <w:spacing w:after="0"/>
              <w:rPr>
                <w:sz w:val="20"/>
                <w:szCs w:val="20"/>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8"/>
                <w:szCs w:val="18"/>
                <w:color w:val="auto"/>
                <w:w w:val="93"/>
              </w:rPr>
              <w:t>No.)</w:t>
            </w: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407 Sixth Street, Rochester, MI 48307</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(248) 651-6558</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31" w:lineRule="exact"/>
        <w:rPr>
          <w:sz w:val="24"/>
          <w:szCs w:val="24"/>
          <w:color w:val="auto"/>
        </w:rPr>
      </w:pPr>
    </w:p>
    <w:p>
      <w:pPr>
        <w:ind w:left="3560"/>
        <w:spacing w:after="0"/>
        <w:rPr>
          <w:sz w:val="20"/>
          <w:szCs w:val="20"/>
          <w:color w:val="auto"/>
        </w:rPr>
      </w:pPr>
      <w:r>
        <w:rPr>
          <w:rFonts w:ascii="Arial" w:cs="Arial" w:eastAsia="Arial" w:hAnsi="Arial"/>
          <w:sz w:val="22"/>
          <w:szCs w:val="22"/>
          <w:color w:val="auto"/>
        </w:rPr>
        <w:t>________________________________________</w:t>
      </w:r>
    </w:p>
    <w:p>
      <w:pPr>
        <w:spacing w:after="0" w:line="1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(Registrant’s telephone number, including area code)</w:t>
      </w:r>
    </w:p>
    <w:p>
      <w:pPr>
        <w:spacing w:after="0" w:line="23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97" w:lineRule="exact"/>
        <w:rPr>
          <w:sz w:val="24"/>
          <w:szCs w:val="24"/>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458470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t>ITEM 1.01</w:t>
        <w:tab/>
        <w:t>ENTRY INTO A MATERIAL DEFINITIVE AGREEMENT.</w:t>
      </w:r>
    </w:p>
    <w:p>
      <w:pPr>
        <w:spacing w:after="0" w:line="25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 June 4, 2010, OptimizeRx Corporation entered into a Securities Purchase Agreement with Vicis Capital Master Fund, a sub-trust of Vicis Capital Series Master Trust, a unit trust organized and existing under the laws of the Cayman Islands, whereby the OptimizeRx, in exchange for $1,500,000, issued 15 shares of Series B Preferred Stock and a Warrant to purchase up to 3,000,000 shares of OptimizeRx’s common stock with an exercise price of $3.00 per share.</w:t>
      </w:r>
    </w:p>
    <w:p>
      <w:pPr>
        <w:spacing w:after="0" w:line="1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purchase agreement provides that OpimizeRx has a right to sell (and the Purchaser has agreed to buy, if the right is exercised) up to an additional 15 shares of Series B Preferred Stock at $1.00 per share. The foregoing right is triggered upon the satisfaction and achievement by OptimizeRx of certain goals identified in the purchase agreement. If OptimizeRx exercises the right, Vicis will also receive a Warrant to purchase up to 1,000,000 OptimizeRx’s shares of common stock with an exercise price of $3.00 per share.</w:t>
      </w:r>
    </w:p>
    <w:p>
      <w:pPr>
        <w:spacing w:after="0" w:line="21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 June 3, 2010, in anticipation of the issuance of Series B Preferred Stock to Vicis Capital Master Fund, OptimizeRx filed a Certificate of Designation with the Nevada Secretary of State which designated 1,000 shares of OptimizeRx’s authorized preferred stock as Series B and sets forth the rights and preferences of the Series B Preferred Stock.</w:t>
      </w:r>
    </w:p>
    <w:p>
      <w:pPr>
        <w:spacing w:after="0" w:line="20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Each share of Series B Preferred Stock is convertible at the option of the holder into that number of shares of common stock of OptimizeRx equal to the Stated Value ($100,000) divided by a per share price of the common stock of $1.50 per share (the “Conversion Price”). A holder may effect a conversion at any time after the earlier of (x) the time that the Securities and Exchange Commission declares effective a registration statement registering the shares of common stock to be sold by the holder that underlie the shares of Series B Preferred Stock held by such holder (the “Conversion Shares’) and (y) the time such Conversion Shares are eligible for resale by the holder pursuant to Rule 144 of the Securities Act of 1933, as amended, (the “Conversion Eligibility Date”).</w:t>
      </w:r>
    </w:p>
    <w:p>
      <w:pPr>
        <w:spacing w:after="0" w:line="22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If after the Conversion Eligibility Date the market price for the common stock for any ten consecutive trading days exceeds $2.00 (subject to adjustment for reverse and forward stock splits, stock combinations and other similar transactions of the common stock that may occur) and the average daily trading volume for the common stock during such ten day period exceeds 100,000 shares (such period, the “Threshold Period”), the Company may, at any time after the fifth trading day after the end of any such period, deliver a notice to the holder (a “Forced Conversion Notice” and the date such notice is received by the holder, the “Forced Conversion Notice Date”) to cause the holder to immediately convert all and not less than all of the Stated Value of the shares held by such Holder plus accumulated and unpai d dividends at the then current Conversion Price (a “Forced Conversion”). OptimizeRx may only effect a Forced Conversion Notice if all of the conditions specified in the purchase agreement are met through the applicable Threshold Period until the date of the applicable Forced Conversion and through and including the date such shares of common stock are issued to the holder.</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spacing w:after="0" w:line="273" w:lineRule="auto"/>
        <w:rPr>
          <w:sz w:val="20"/>
          <w:szCs w:val="20"/>
          <w:color w:val="auto"/>
        </w:rPr>
      </w:pPr>
      <w:r>
        <w:rPr>
          <w:rFonts w:ascii="Arial" w:cs="Arial" w:eastAsia="Arial" w:hAnsi="Arial"/>
          <w:sz w:val="17"/>
          <w:szCs w:val="17"/>
          <w:color w:val="auto"/>
        </w:rPr>
        <w:t>The Warrants are exercisable for a period of seven years at an exercise price of $3.00 per share. The Warrants are also exercisable on a cashless basis. In addition, the warrants are subject to anti-dilution adjustments and protections in the event of stock splits and stock dividends, subsequent equity sales entitling persons to acquire shares of common stock at an effective price per share that is lower than the then exercise price of the warrants and subsequent rights offerings, in the event we issue rights, options or warrant to all holders of common stock and not to the warrant holders, pro rata distributions of assets or indebtedness and fundamental transactions, such as a merger, consolidation or recapitalization. The anti-dilution adjustment shall apply the lowest sale price as being the adjusted option price or conversion ratio for existing shareholders.</w:t>
      </w:r>
    </w:p>
    <w:p>
      <w:pPr>
        <w:spacing w:after="0" w:line="20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issuance of the shares of Series B Preferred Stock and the Warrant was exempt from registration as a transaction by an issuer not involving any public offering under Section 4(2) of the Securities Act of 1933, and under Rule 506 of Regulation D of the Securities Act of 1933.</w:t>
      </w:r>
    </w:p>
    <w:p>
      <w:pPr>
        <w:spacing w:after="0" w:line="17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Securities Purchase Agreement, Certificate of Designation, the Warrant and the related agreements are exhibits to this Report on Form 8-K. The foregoing summary of certain provisions of these documents is qualified in its entirety by reference to them.</w:t>
      </w:r>
    </w:p>
    <w:p>
      <w:pPr>
        <w:spacing w:after="0" w:line="19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7"/>
          <w:szCs w:val="17"/>
          <w:b w:val="1"/>
          <w:bCs w:val="1"/>
          <w:color w:val="auto"/>
        </w:rPr>
        <w:t>UNREGISTERED SALES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response to Item 1.01 above is hereby incorporated by this reference.</w:t>
      </w:r>
    </w:p>
    <w:p>
      <w:pPr>
        <w:spacing w:after="0" w:line="24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5.03</w:t>
        <w:tab/>
        <w:t>AMENDMENTS TO ARTICLES OF INCORPORATION OR BYLAWS; CHANGE IN FISCAL YEAR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response to Item 1.01 above is hereby incorporated by this reference.</w:t>
      </w:r>
    </w:p>
    <w:p>
      <w:pPr>
        <w:spacing w:after="0" w:line="24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256" w:lineRule="exact"/>
        <w:rPr>
          <w:sz w:val="20"/>
          <w:szCs w:val="20"/>
          <w:color w:val="auto"/>
        </w:rPr>
      </w:pPr>
    </w:p>
    <w:p>
      <w:pPr>
        <w:ind w:left="1300" w:hanging="295"/>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u w:val="single" w:color="auto"/>
          <w:color w:val="auto"/>
        </w:rPr>
        <w:t>Exhibit Number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u w:val="single" w:color="auto"/>
          <w:color w:val="0000EE"/>
        </w:rPr>
        <w:t>4.1  Certificate of Designation – Series B Preferred Stock</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u w:val="single" w:color="auto"/>
          <w:color w:val="0000EE"/>
        </w:rPr>
        <w:t>4.2  Warrant, dated June 4, 2010</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u w:val="single" w:color="auto"/>
          <w:color w:val="0000EE"/>
        </w:rPr>
        <w:t>10.1  Securities Purchase Agreement, dated June 4, 2010</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u w:val="single" w:color="auto"/>
          <w:color w:val="0000EE"/>
        </w:rPr>
        <w:t>10.2  Registration Rights Agreement, dated June 4, 2010</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u w:val="single" w:color="auto"/>
          <w:color w:val="0000EE"/>
        </w:rPr>
        <w:t>10.3  Amended &amp; Restated Security Agreement, dated June 4, 2010</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u w:val="single" w:color="auto"/>
          <w:color w:val="0000EE"/>
        </w:rPr>
        <w:t>10.4  Guaranty Agreement, dated June 4, 2010</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u w:val="single" w:color="auto"/>
          <w:color w:val="0000EE"/>
        </w:rPr>
        <w:t>10.5  Amended &amp; Restated Guarantor Security Agreement, June 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970915</wp:posOffset>
            </wp:positionH>
            <wp:positionV relativeFrom="paragraph">
              <wp:posOffset>-842645</wp:posOffset>
            </wp:positionV>
            <wp:extent cx="131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445" cy="8890"/>
                    </a:xfrm>
                    <a:prstGeom prst="rect">
                      <a:avLst/>
                    </a:prstGeom>
                    <a:noFill/>
                  </pic:spPr>
                </pic:pic>
              </a:graphicData>
            </a:graphic>
          </wp:anchor>
        </w:drawing>
        <w:drawing>
          <wp:anchor simplePos="0" relativeHeight="251657728" behindDoc="1" locked="0" layoutInCell="0" allowOverlap="1">
            <wp:simplePos x="0" y="0"/>
            <wp:positionH relativeFrom="column">
              <wp:posOffset>970915</wp:posOffset>
            </wp:positionH>
            <wp:positionV relativeFrom="paragraph">
              <wp:posOffset>-705485</wp:posOffset>
            </wp:positionV>
            <wp:extent cx="131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445" cy="8890"/>
                    </a:xfrm>
                    <a:prstGeom prst="rect">
                      <a:avLst/>
                    </a:prstGeom>
                    <a:noFill/>
                  </pic:spPr>
                </pic:pic>
              </a:graphicData>
            </a:graphic>
          </wp:anchor>
        </w:drawing>
        <w:drawing>
          <wp:anchor simplePos="0" relativeHeight="251657728" behindDoc="1" locked="0" layoutInCell="0" allowOverlap="1">
            <wp:simplePos x="0" y="0"/>
            <wp:positionH relativeFrom="column">
              <wp:posOffset>1028065</wp:posOffset>
            </wp:positionH>
            <wp:positionV relativeFrom="paragraph">
              <wp:posOffset>-568325</wp:posOffset>
            </wp:positionV>
            <wp:extent cx="131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445" cy="8890"/>
                    </a:xfrm>
                    <a:prstGeom prst="rect">
                      <a:avLst/>
                    </a:prstGeom>
                    <a:noFill/>
                  </pic:spPr>
                </pic:pic>
              </a:graphicData>
            </a:graphic>
          </wp:anchor>
        </w:drawing>
        <w:drawing>
          <wp:anchor simplePos="0" relativeHeight="251657728" behindDoc="1" locked="0" layoutInCell="0" allowOverlap="1">
            <wp:simplePos x="0" y="0"/>
            <wp:positionH relativeFrom="column">
              <wp:posOffset>1028065</wp:posOffset>
            </wp:positionH>
            <wp:positionV relativeFrom="paragraph">
              <wp:posOffset>-431165</wp:posOffset>
            </wp:positionV>
            <wp:extent cx="131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445" cy="8890"/>
                    </a:xfrm>
                    <a:prstGeom prst="rect">
                      <a:avLst/>
                    </a:prstGeom>
                    <a:noFill/>
                  </pic:spPr>
                </pic:pic>
              </a:graphicData>
            </a:graphic>
          </wp:anchor>
        </w:drawing>
        <w:drawing>
          <wp:anchor simplePos="0" relativeHeight="251657728" behindDoc="1" locked="0" layoutInCell="0" allowOverlap="1">
            <wp:simplePos x="0" y="0"/>
            <wp:positionH relativeFrom="column">
              <wp:posOffset>1028065</wp:posOffset>
            </wp:positionH>
            <wp:positionV relativeFrom="paragraph">
              <wp:posOffset>-294005</wp:posOffset>
            </wp:positionV>
            <wp:extent cx="131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445" cy="8890"/>
                    </a:xfrm>
                    <a:prstGeom prst="rect">
                      <a:avLst/>
                    </a:prstGeom>
                    <a:noFill/>
                  </pic:spPr>
                </pic:pic>
              </a:graphicData>
            </a:graphic>
          </wp:anchor>
        </w:drawing>
        <w:drawing>
          <wp:anchor simplePos="0" relativeHeight="251657728" behindDoc="1" locked="0" layoutInCell="0" allowOverlap="1">
            <wp:simplePos x="0" y="0"/>
            <wp:positionH relativeFrom="column">
              <wp:posOffset>1028065</wp:posOffset>
            </wp:positionH>
            <wp:positionV relativeFrom="paragraph">
              <wp:posOffset>-156210</wp:posOffset>
            </wp:positionV>
            <wp:extent cx="1314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1445" cy="8890"/>
                    </a:xfrm>
                    <a:prstGeom prst="rect">
                      <a:avLst/>
                    </a:prstGeom>
                    <a:noFill/>
                  </pic:spPr>
                </pic:pic>
              </a:graphicData>
            </a:graphic>
          </wp:anchor>
        </w:drawing>
        <w:drawing>
          <wp:anchor simplePos="0" relativeHeight="251657728" behindDoc="1" locked="0" layoutInCell="0" allowOverlap="1">
            <wp:simplePos x="0" y="0"/>
            <wp:positionH relativeFrom="column">
              <wp:posOffset>1028065</wp:posOffset>
            </wp:positionH>
            <wp:positionV relativeFrom="paragraph">
              <wp:posOffset>-19050</wp:posOffset>
            </wp:positionV>
            <wp:extent cx="131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1445" cy="8890"/>
                    </a:xfrm>
                    <a:prstGeom prst="rect">
                      <a:avLst/>
                    </a:prstGeom>
                    <a:noFill/>
                  </pic:spPr>
                </pic:pic>
              </a:graphicData>
            </a:graphic>
          </wp:anchor>
        </w:drawing>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CORPORATOIN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Date: June 8, 2010</w:t>
      </w:r>
    </w:p>
    <w:p>
      <w:pPr>
        <w:spacing w:after="0" w:line="2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H. David Lester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H. David Lester, President &amp; CEO</w:t>
      </w:r>
    </w:p>
    <w:p>
      <w:pPr>
        <w:spacing w:after="0" w:line="38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486" w:right="71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CERTIFICATE OF DESIGNATION, PREFERENCES,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RIGHTS OF</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B CONVERTIBLE PREFERRED STOCK</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9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OptimizeRx Corporation, a Nevada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does hereby certify that, pursuant to authority conferred on the Board of Directors of the Corporation by the Articles of Incorporation of the Corporation, as amended, and pursuant to the provisions of the Nevada Revised Statutes, the Board of Directors duly adopted a resolution as of June 3, 2010, providing for the designation, preferences and relative, participating, optional or other rights, and qualifications, limitations or restrictions thereof, of one thousand (1,000) shares of the Corporation’s Preferred Stock, which resolution is as follows:</w:t>
      </w:r>
    </w:p>
    <w:p>
      <w:pPr>
        <w:spacing w:after="0" w:line="181" w:lineRule="exact"/>
        <w:rPr>
          <w:sz w:val="20"/>
          <w:szCs w:val="20"/>
          <w:color w:val="auto"/>
        </w:rPr>
      </w:pPr>
    </w:p>
    <w:p>
      <w:pPr>
        <w:jc w:val="both"/>
        <w:ind w:firstLine="558"/>
        <w:spacing w:after="0" w:line="291" w:lineRule="auto"/>
        <w:rPr>
          <w:sz w:val="20"/>
          <w:szCs w:val="20"/>
          <w:color w:val="auto"/>
        </w:rPr>
      </w:pPr>
      <w:r>
        <w:rPr>
          <w:rFonts w:ascii="Arial" w:cs="Arial" w:eastAsia="Arial" w:hAnsi="Arial"/>
          <w:sz w:val="16"/>
          <w:szCs w:val="16"/>
          <w:color w:val="auto"/>
        </w:rPr>
        <w:t>RESOLVED, that pursuant to the authority granted to and vested in the Board of Directors of the Corporation in accordance with the provisions of the Articles of Incorporation, as amended, of the Corporation, the Board hereby provides for the issue of a series of Preferred Stock, par value $.001 per share, to be designated Series B Convertible Preferred Stock of the Corporation (the “</w:t>
      </w:r>
      <w:r>
        <w:rPr>
          <w:rFonts w:ascii="Arial" w:cs="Arial" w:eastAsia="Arial" w:hAnsi="Arial"/>
          <w:sz w:val="16"/>
          <w:szCs w:val="16"/>
          <w:u w:val="single" w:color="auto"/>
          <w:color w:val="auto"/>
        </w:rPr>
        <w:t>Series B Preferred Stock</w:t>
      </w:r>
      <w:r>
        <w:rPr>
          <w:rFonts w:ascii="Arial" w:cs="Arial" w:eastAsia="Arial" w:hAnsi="Arial"/>
          <w:sz w:val="16"/>
          <w:szCs w:val="16"/>
          <w:color w:val="auto"/>
        </w:rPr>
        <w:t>”), consisting of one thousand (1,000) shares, and hereby fixes such designation and number of shares, and the powers, preferences and relative, participating, optional or other rights, and the qualifications, limitations and restrictions thereof as set forth below, and that the officers of the Corporation, and each acting singly, are hereby authorized, empowered and directed to file with the Secretary of State of the State of Nevada a Certificate of Designation, Preferences, and Rights of the Series B Convertible Preferred Stock (the “</w:t>
      </w:r>
      <w:r>
        <w:rPr>
          <w:rFonts w:ascii="Arial" w:cs="Arial" w:eastAsia="Arial" w:hAnsi="Arial"/>
          <w:sz w:val="16"/>
          <w:szCs w:val="16"/>
          <w:u w:val="single" w:color="auto"/>
          <w:color w:val="auto"/>
        </w:rPr>
        <w:t>Certificate</w:t>
      </w:r>
      <w:r>
        <w:rPr>
          <w:rFonts w:ascii="Arial" w:cs="Arial" w:eastAsia="Arial" w:hAnsi="Arial"/>
          <w:sz w:val="16"/>
          <w:szCs w:val="16"/>
          <w:color w:val="auto"/>
        </w:rPr>
        <w:t>”), as such officer or officers shall deem necessary or advisable to carry out the purposes of this Resolution.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preferences, privileges and restrictions granted to or imposed upon the Corporation’s Series B Preferred Stock, or the holders thereof, are as follows:</w:t>
      </w:r>
    </w:p>
    <w:p>
      <w:pPr>
        <w:spacing w:after="0" w:line="275" w:lineRule="exact"/>
        <w:rPr>
          <w:sz w:val="20"/>
          <w:szCs w:val="20"/>
          <w:color w:val="auto"/>
        </w:rPr>
      </w:pPr>
    </w:p>
    <w:p>
      <w:pPr>
        <w:ind w:left="1300" w:right="20" w:hanging="220"/>
        <w:spacing w:after="0" w:line="308" w:lineRule="auto"/>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Designation</w:t>
      </w:r>
      <w:r>
        <w:rPr>
          <w:rFonts w:ascii="Arial" w:cs="Arial" w:eastAsia="Arial" w:hAnsi="Arial"/>
          <w:sz w:val="17"/>
          <w:szCs w:val="17"/>
          <w:color w:val="auto"/>
        </w:rPr>
        <w:t>. This series shall be designated as Series B Convertible Preferred Stock (the “</w:t>
      </w:r>
      <w:r>
        <w:rPr>
          <w:rFonts w:ascii="Arial" w:cs="Arial" w:eastAsia="Arial" w:hAnsi="Arial"/>
          <w:sz w:val="17"/>
          <w:szCs w:val="17"/>
          <w:u w:val="single" w:color="auto"/>
          <w:color w:val="auto"/>
        </w:rPr>
        <w:t>Series B Preferred Stock</w:t>
      </w:r>
      <w:r>
        <w:rPr>
          <w:rFonts w:ascii="Arial" w:cs="Arial" w:eastAsia="Arial" w:hAnsi="Arial"/>
          <w:sz w:val="17"/>
          <w:szCs w:val="17"/>
          <w:color w:val="auto"/>
        </w:rPr>
        <w:t>”), to consist of One Thousand (1,000) shares, par value $.001 per share, with a mandatory redemption date of June 30, 2011 (the “</w:t>
      </w:r>
      <w:r>
        <w:rPr>
          <w:rFonts w:ascii="Arial" w:cs="Arial" w:eastAsia="Arial" w:hAnsi="Arial"/>
          <w:sz w:val="17"/>
          <w:szCs w:val="17"/>
          <w:u w:val="single" w:color="auto"/>
          <w:color w:val="auto"/>
        </w:rPr>
        <w:t>Maturity Date</w:t>
      </w:r>
      <w:r>
        <w:rPr>
          <w:rFonts w:ascii="Arial" w:cs="Arial" w:eastAsia="Arial" w:hAnsi="Arial"/>
          <w:sz w:val="17"/>
          <w:szCs w:val="17"/>
          <w:color w:val="auto"/>
        </w:rPr>
        <w:t>”).</w:t>
      </w:r>
    </w:p>
    <w:p>
      <w:pPr>
        <w:spacing w:after="0" w:line="173" w:lineRule="exact"/>
        <w:rPr>
          <w:rFonts w:ascii="Arial" w:cs="Arial" w:eastAsia="Arial" w:hAnsi="Arial"/>
          <w:sz w:val="17"/>
          <w:szCs w:val="17"/>
          <w:color w:val="auto"/>
        </w:rPr>
      </w:pPr>
    </w:p>
    <w:p>
      <w:pPr>
        <w:jc w:val="both"/>
        <w:ind w:left="1300" w:hanging="220"/>
        <w:spacing w:after="0" w:line="287"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Rank</w:t>
      </w:r>
      <w:r>
        <w:rPr>
          <w:rFonts w:ascii="Arial" w:cs="Arial" w:eastAsia="Arial" w:hAnsi="Arial"/>
          <w:sz w:val="16"/>
          <w:szCs w:val="16"/>
          <w:color w:val="auto"/>
        </w:rPr>
        <w:t>. The Series B Preferred Stock shall rank (i) prior to the Corporation’s common stock, par value $.001 per share (the “</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(ii) prior to any class or series of capital stock of the Corporation hereafter created that does not, by its terms, rank senior to or pari passu with the Series B Preferred Stock (each security described in (i) through (ii), a “</w:t>
      </w:r>
      <w:r>
        <w:rPr>
          <w:rFonts w:ascii="Arial" w:cs="Arial" w:eastAsia="Arial" w:hAnsi="Arial"/>
          <w:sz w:val="16"/>
          <w:szCs w:val="16"/>
          <w:u w:val="single" w:color="auto"/>
          <w:color w:val="auto"/>
        </w:rPr>
        <w:t>Junior Security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Junior</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Securities</w:t>
      </w:r>
      <w:r>
        <w:rPr>
          <w:rFonts w:ascii="Arial" w:cs="Arial" w:eastAsia="Arial" w:hAnsi="Arial"/>
          <w:sz w:val="16"/>
          <w:szCs w:val="16"/>
          <w:color w:val="auto"/>
        </w:rPr>
        <w:t>”); (iii) pari passu with the Series A Convertible Preferred Stock, par value $.001 per share, of the Corporation (the “ ;</w:t>
      </w:r>
      <w:r>
        <w:rPr>
          <w:rFonts w:ascii="Arial" w:cs="Arial" w:eastAsia="Arial" w:hAnsi="Arial"/>
          <w:sz w:val="16"/>
          <w:szCs w:val="16"/>
          <w:u w:val="single" w:color="auto"/>
          <w:color w:val="auto"/>
        </w:rPr>
        <w:t>Series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Preferred Stock</w:t>
      </w:r>
      <w:r>
        <w:rPr>
          <w:rFonts w:ascii="Arial" w:cs="Arial" w:eastAsia="Arial" w:hAnsi="Arial"/>
          <w:sz w:val="16"/>
          <w:szCs w:val="16"/>
          <w:color w:val="auto"/>
        </w:rPr>
        <w:t>”), any class or series of capital stock of the Corporation hereafter created that, by its terms, ranks on parity with the Series B Preferred Stock (the “</w:t>
      </w:r>
      <w:r>
        <w:rPr>
          <w:rFonts w:ascii="Arial" w:cs="Arial" w:eastAsia="Arial" w:hAnsi="Arial"/>
          <w:sz w:val="16"/>
          <w:szCs w:val="16"/>
          <w:u w:val="single" w:color="auto"/>
          <w:color w:val="auto"/>
        </w:rPr>
        <w:t>Pari Passu Securities</w:t>
      </w:r>
      <w:r>
        <w:rPr>
          <w:rFonts w:ascii="Arial" w:cs="Arial" w:eastAsia="Arial" w:hAnsi="Arial"/>
          <w:sz w:val="16"/>
          <w:szCs w:val="16"/>
          <w:color w:val="auto"/>
        </w:rPr>
        <w:t>”); and (iv) junior to any class or series of capital stock of the Corporation hereafter created that, by its terms, ranks senior to the Series B Preferred Stock (collectively, the “</w:t>
      </w:r>
      <w:r>
        <w:rPr>
          <w:rFonts w:ascii="Arial" w:cs="Arial" w:eastAsia="Arial" w:hAnsi="Arial"/>
          <w:sz w:val="16"/>
          <w:szCs w:val="16"/>
          <w:u w:val="single" w:color="auto"/>
          <w:color w:val="auto"/>
        </w:rPr>
        <w:t>Senior Securities</w:t>
      </w:r>
      <w:r>
        <w:rPr>
          <w:rFonts w:ascii="Arial" w:cs="Arial" w:eastAsia="Arial" w:hAnsi="Arial"/>
          <w:sz w:val="16"/>
          <w:szCs w:val="16"/>
          <w:color w:val="auto"/>
        </w:rPr>
        <w:t>”), in each case as to distribution of assets upon liquidation, dissolution or winding up of the Corporation, whether voluntary or involuntary and payment of dividends on shares of equity securities. For purposes of this Certificate of Designation, “</w:t>
      </w:r>
      <w:r>
        <w:rPr>
          <w:rFonts w:ascii="Arial" w:cs="Arial" w:eastAsia="Arial" w:hAnsi="Arial"/>
          <w:sz w:val="16"/>
          <w:szCs w:val="16"/>
          <w:u w:val="single" w:color="auto"/>
          <w:color w:val="auto"/>
        </w:rPr>
        <w:t>Issuance Date</w:t>
      </w:r>
      <w:r>
        <w:rPr>
          <w:rFonts w:ascii="Arial" w:cs="Arial" w:eastAsia="Arial" w:hAnsi="Arial"/>
          <w:sz w:val="16"/>
          <w:szCs w:val="16"/>
          <w:color w:val="auto"/>
        </w:rPr>
        <w:t>” means, with respect to any share of the Corpor ation’s capital stock, the date such share was originally issued by the Corporation. The Issuance Date shall be deemed to be the date on which the Corporation initially issues a share regardless of the number of transfers of such share recorded on the stock records maintained by or for the Corporation and regardless of the number of certificates which may be issued to evidence such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ind w:left="220" w:hanging="220"/>
        <w:spacing w:after="0" w:line="277"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Stated Value</w:t>
      </w:r>
      <w:r>
        <w:rPr>
          <w:rFonts w:ascii="Arial" w:cs="Arial" w:eastAsia="Arial" w:hAnsi="Arial"/>
          <w:sz w:val="18"/>
          <w:szCs w:val="18"/>
          <w:color w:val="auto"/>
        </w:rPr>
        <w:t>. The stated value of the Series B Preferred Stock shall be One Hundred Thousand Dollars ($100,000) per share (the “</w:t>
      </w:r>
      <w:r>
        <w:rPr>
          <w:rFonts w:ascii="Arial" w:cs="Arial" w:eastAsia="Arial" w:hAnsi="Arial"/>
          <w:sz w:val="18"/>
          <w:szCs w:val="18"/>
          <w:u w:val="single" w:color="auto"/>
          <w:color w:val="auto"/>
        </w:rPr>
        <w:t>Stated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Value</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220" w:hanging="220"/>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Cumulative Preferred Dividends</w:t>
      </w:r>
      <w:r>
        <w:rPr>
          <w:rFonts w:ascii="Arial" w:cs="Arial" w:eastAsia="Arial" w:hAnsi="Arial"/>
          <w:sz w:val="18"/>
          <w:szCs w:val="18"/>
          <w:color w:val="auto"/>
        </w:rPr>
        <w:t>.</w:t>
      </w:r>
    </w:p>
    <w:p>
      <w:pPr>
        <w:spacing w:after="0" w:line="252" w:lineRule="exact"/>
        <w:rPr>
          <w:sz w:val="20"/>
          <w:szCs w:val="20"/>
          <w:color w:val="auto"/>
        </w:rPr>
      </w:pPr>
    </w:p>
    <w:p>
      <w:pPr>
        <w:jc w:val="both"/>
        <w:ind w:left="880" w:hanging="314"/>
        <w:spacing w:after="0" w:line="255" w:lineRule="auto"/>
        <w:rPr>
          <w:sz w:val="20"/>
          <w:szCs w:val="20"/>
          <w:color w:val="auto"/>
        </w:rPr>
      </w:pPr>
      <w:r>
        <w:rPr>
          <w:rFonts w:ascii="Arial" w:cs="Arial" w:eastAsia="Arial" w:hAnsi="Arial"/>
          <w:sz w:val="18"/>
          <w:szCs w:val="18"/>
          <w:color w:val="auto"/>
        </w:rPr>
        <w:t>4.1 Before any dividends shall be paid or set aside for payment on any Junior Security of the Corporation, each holder of the Series B Preferred Stock (each a “</w:t>
      </w:r>
      <w:r>
        <w:rPr>
          <w:rFonts w:ascii="Arial" w:cs="Arial" w:eastAsia="Arial" w:hAnsi="Arial"/>
          <w:sz w:val="18"/>
          <w:szCs w:val="18"/>
          <w:u w:val="single" w:color="auto"/>
          <w:color w:val="auto"/>
        </w:rPr>
        <w:t>Holder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Holders</w:t>
      </w:r>
      <w:r>
        <w:rPr>
          <w:rFonts w:ascii="Arial" w:cs="Arial" w:eastAsia="Arial" w:hAnsi="Arial"/>
          <w:sz w:val="18"/>
          <w:szCs w:val="18"/>
          <w:color w:val="auto"/>
        </w:rPr>
        <w:t>”) shall be entitled to receive dividends payable on the Stated Value of the Series B Preferred Stock at a rate of 10% per annum, which shall be cumulative, accrue daily from the Issuance Date and be due and payable on the first day of September and February of each year (each a “</w:t>
      </w:r>
      <w:r>
        <w:rPr>
          <w:rFonts w:ascii="Arial" w:cs="Arial" w:eastAsia="Arial" w:hAnsi="Arial"/>
          <w:sz w:val="18"/>
          <w:szCs w:val="18"/>
          <w:u w:val="single" w:color="auto"/>
          <w:color w:val="auto"/>
        </w:rPr>
        <w:t>Dividend Date</w:t>
      </w:r>
      <w:r>
        <w:rPr>
          <w:rFonts w:ascii="Arial" w:cs="Arial" w:eastAsia="Arial" w:hAnsi="Arial"/>
          <w:sz w:val="18"/>
          <w:szCs w:val="18"/>
          <w:color w:val="auto"/>
        </w:rPr>
        <w:t>”). Such dividends shall accrue whether or not declared, and the accumulation of unpaid dividends shall bear interest at a rate of 10% per annum . If a Dividend Date is not a business day, then the dividend shall be due and payable on the business day immediately following such Dividend Date.</w:t>
      </w:r>
    </w:p>
    <w:p>
      <w:pPr>
        <w:spacing w:after="0" w:line="216" w:lineRule="exact"/>
        <w:rPr>
          <w:sz w:val="20"/>
          <w:szCs w:val="20"/>
          <w:color w:val="auto"/>
        </w:rPr>
      </w:pPr>
    </w:p>
    <w:p>
      <w:pPr>
        <w:jc w:val="both"/>
        <w:ind w:left="880" w:hanging="314"/>
        <w:spacing w:after="0" w:line="269" w:lineRule="auto"/>
        <w:rPr>
          <w:sz w:val="20"/>
          <w:szCs w:val="20"/>
          <w:color w:val="auto"/>
        </w:rPr>
      </w:pPr>
      <w:r>
        <w:rPr>
          <w:rFonts w:ascii="Arial" w:cs="Arial" w:eastAsia="Arial" w:hAnsi="Arial"/>
          <w:sz w:val="17"/>
          <w:szCs w:val="17"/>
          <w:color w:val="auto"/>
        </w:rPr>
        <w:t>4.2 Dividends on the Series B Preferred Stock are payable, at the Corporation’s option in (a) cash or (b) shares of the Corporation’s Common Stock that are eligible for public resale by the Holder under an effective registration statement covering such shares; provided, however, the Corporation shall not be permitted to issue registered shares of Common Stock as dividend payments in the event that the Market Price (defined below) is less than $0.50. The Corporation shall provide irrevocable written notice to the Holder of the form of the dividend payment at least thirty (30) days prior to a Dividend Date. If no such notice is provided at least thirty (30) days prior to a Dividend Date, the Corporation must make the dividend payment in cash. In addition, the Corporation must make dividend payments in cash if it is unable to make dividend payments in shares of Common Stock that are eligible for public resale by the Holder under an effective registration statement covering such shares. The number of shares of Common Stock to be issued as payment of a dividend shall be determined by dividing (i) the total amount of the dividend to be paid in Common Stock by (ii) ninety percent (90%) of the Market Price (as defined below) of the Corporation’s Common Stock for the five (5) days immediately preceding the applicable ex-dividend date.</w:t>
      </w:r>
    </w:p>
    <w:p>
      <w:pPr>
        <w:spacing w:after="0" w:line="35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40"/>
          </w:cols>
          <w:pgMar w:left="1320" w:top="517" w:right="239" w:bottom="1440" w:gutter="0" w:footer="0" w:header="0"/>
        </w:sectPr>
      </w:pPr>
    </w:p>
    <w:bookmarkStart w:id="7" w:name="page8"/>
    <w:bookmarkEnd w:id="7"/>
    <w:p>
      <w:pPr>
        <w:jc w:val="both"/>
        <w:ind w:left="880" w:hanging="314"/>
        <w:spacing w:after="0" w:line="254" w:lineRule="auto"/>
        <w:rPr>
          <w:sz w:val="20"/>
          <w:szCs w:val="20"/>
          <w:color w:val="auto"/>
        </w:rPr>
      </w:pPr>
      <w:r>
        <w:rPr>
          <w:rFonts w:ascii="Arial" w:cs="Arial" w:eastAsia="Arial" w:hAnsi="Arial"/>
          <w:sz w:val="18"/>
          <w:szCs w:val="18"/>
          <w:color w:val="auto"/>
        </w:rPr>
        <w:t>4.3 The term “</w:t>
      </w:r>
      <w:r>
        <w:rPr>
          <w:rFonts w:ascii="Arial" w:cs="Arial" w:eastAsia="Arial" w:hAnsi="Arial"/>
          <w:sz w:val="18"/>
          <w:szCs w:val="18"/>
          <w:u w:val="single" w:color="auto"/>
          <w:color w:val="auto"/>
        </w:rPr>
        <w:t>Market Price</w:t>
      </w:r>
      <w:r>
        <w:rPr>
          <w:rFonts w:ascii="Arial" w:cs="Arial" w:eastAsia="Arial" w:hAnsi="Arial"/>
          <w:sz w:val="18"/>
          <w:szCs w:val="18"/>
          <w:color w:val="auto"/>
        </w:rPr>
        <w:t>” means, for any date, (i) the average closing price of the Common Stock for the five-(5) day period prior to such date on the OTC Bulletin Board as reported by Bloomberg Financial L.P. (based on a trading day from 9:30 a.m. Eastern Time to 4:02 p.m. Eastern Time); (ii) if the Common Stock is not then listed or quoted on the OTC Bulletin Board and if prices for the Common Stock are then reported in the “Pink Sheets” published by the Pink Sheets, LLC (or a similar organization or agency succeeding to its functions of reporting prices), the average closing price of the Common Stock for the five-(5) day period prior to such date so reported; or (iii) in all other cases, the fair market value of a share of Common Stock as determined by an independent appraiser or other Eligible Market on which the Common Stock trades selected in good faith by the Holder and reasonably acceptable to the Corporation.</w:t>
      </w:r>
    </w:p>
    <w:p>
      <w:pPr>
        <w:spacing w:after="0" w:line="219" w:lineRule="exact"/>
        <w:rPr>
          <w:sz w:val="20"/>
          <w:szCs w:val="20"/>
          <w:color w:val="auto"/>
        </w:rPr>
      </w:pPr>
    </w:p>
    <w:p>
      <w:pPr>
        <w:jc w:val="both"/>
        <w:ind w:left="880" w:hanging="314"/>
        <w:spacing w:after="0" w:line="288" w:lineRule="auto"/>
        <w:rPr>
          <w:sz w:val="20"/>
          <w:szCs w:val="20"/>
          <w:color w:val="auto"/>
        </w:rPr>
      </w:pPr>
      <w:r>
        <w:rPr>
          <w:rFonts w:ascii="Arial" w:cs="Arial" w:eastAsia="Arial" w:hAnsi="Arial"/>
          <w:sz w:val="16"/>
          <w:szCs w:val="16"/>
          <w:color w:val="auto"/>
        </w:rPr>
        <w:t>4.4 Dividends shall be payable to holders of record, as they appear on the stock books of the Corporation on such record dates as may be declared by the Board of Directors, not more than sixty (60) days, nor less than ten (10) days preceding the payment dates of such dividends. If the dividend on the Series B Preferred Stock shall not have been paid or set apart in full for the Series B Preferred Stock when payable, the aggregate deficiency shall be cumulative and shall be fully paid or set apart for payment before any dividends shall be paid upon or set apart for, or any other distributions paid made on, or any payments made on account of the purchase, redemption or retirement of, the Common Stock or any other Junior Security. When dividends are not paid in full upon the shares or fractions of a share of Series B Preferr ed Stock and any other Pari Passu Security, all dividends declared upon this series and any other Pari Passu Security shall be declared, pro rata, so that the amount of dividends declared per share or fraction of a share on this Series B Preferred Stock and such other Pari Passu Security shall in all cases bear to each other the same rates that accrued dividends per share on the shares of Series B Preferred Stock and such other Pari Passu Security bear to each other.</w:t>
      </w:r>
    </w:p>
    <w:p>
      <w:pPr>
        <w:spacing w:after="0" w:line="196" w:lineRule="exact"/>
        <w:rPr>
          <w:sz w:val="20"/>
          <w:szCs w:val="20"/>
          <w:color w:val="auto"/>
        </w:rPr>
      </w:pPr>
    </w:p>
    <w:p>
      <w:pPr>
        <w:jc w:val="both"/>
        <w:ind w:left="220" w:hanging="220"/>
        <w:spacing w:after="0" w:line="286" w:lineRule="auto"/>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Liquidation Rights</w:t>
      </w:r>
      <w:r>
        <w:rPr>
          <w:rFonts w:ascii="Arial" w:cs="Arial" w:eastAsia="Arial" w:hAnsi="Arial"/>
          <w:sz w:val="16"/>
          <w:szCs w:val="16"/>
          <w:color w:val="auto"/>
        </w:rPr>
        <w:t>. In the event of any liquidation, dissolution or winding up of the affairs of the Corporation, whether voluntary or involuntary (each of which is hereinafter referred to as a “</w:t>
      </w:r>
      <w:r>
        <w:rPr>
          <w:rFonts w:ascii="Arial" w:cs="Arial" w:eastAsia="Arial" w:hAnsi="Arial"/>
          <w:sz w:val="16"/>
          <w:szCs w:val="16"/>
          <w:u w:val="single" w:color="auto"/>
          <w:color w:val="auto"/>
        </w:rPr>
        <w:t>Liquidation Event</w:t>
      </w:r>
      <w:r>
        <w:rPr>
          <w:rFonts w:ascii="Arial" w:cs="Arial" w:eastAsia="Arial" w:hAnsi="Arial"/>
          <w:sz w:val="16"/>
          <w:szCs w:val="16"/>
          <w:color w:val="auto"/>
        </w:rPr>
        <w:t>”), and before any distribution shall be made to the holders of any shares of any Junior Security of the Corporation, the holders of shares of Series B Preferred Stock then outstanding shall be entitled to be paid out of the assets of the Corporation available for distribution to its stockholders an amount per share equal to the Stated Value of the Series B Pre ferred Stock plus the aggregate amount of accumulated but unpaid dividends on each share of Series B Preferred Stock. If, upon a Liquidation Event, the assets of the Corporation, or proceeds thereof, to be distributed among the holders of the Series B Preferred Stock are insufficient to permit payment in full to such Holders of the aggregate amount that they are entitled to be paid by their terms, then the entire assets, or proceeds thereof, available to be distributed to the corporation’s stockholders shall be distributed to the holders of the Series B Preferred Stock ratably in accordance with the respective amounts that would be payable on such shares if all amounts payable thereon were paid in full. Prior to the Liquidation Event, the corporation shall declare for payment all accrued and unpaid dividends with respect to the Series B Preferred Stock but only to the extent of funds of the Corporation legally available for the payment of dividends. For the purpose of this Section 5, a consolidation or merger of the Corporation with any other corporation, or the sale, transfer or lease of all or substantially all of its assets, shall not constitute or be deemed a Liquidation Event.</w:t>
      </w:r>
    </w:p>
    <w:p>
      <w:pPr>
        <w:spacing w:after="0" w:line="35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40"/>
          </w:cols>
          <w:pgMar w:left="1320" w:top="517" w:right="239" w:bottom="1440" w:gutter="0" w:footer="0" w:header="0"/>
        </w:sectPr>
      </w:pPr>
    </w:p>
    <w:bookmarkStart w:id="8" w:name="page9"/>
    <w:bookmarkEnd w:id="8"/>
    <w:p>
      <w:pPr>
        <w:ind w:left="220" w:hanging="220"/>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52" w:lineRule="exact"/>
        <w:rPr>
          <w:sz w:val="20"/>
          <w:szCs w:val="20"/>
          <w:color w:val="auto"/>
        </w:rPr>
      </w:pPr>
    </w:p>
    <w:p>
      <w:pPr>
        <w:ind w:left="880" w:right="160" w:hanging="314"/>
        <w:spacing w:after="0" w:line="286" w:lineRule="auto"/>
        <w:rPr>
          <w:sz w:val="20"/>
          <w:szCs w:val="20"/>
          <w:color w:val="auto"/>
        </w:rPr>
      </w:pPr>
      <w:r>
        <w:rPr>
          <w:rFonts w:ascii="Arial" w:cs="Arial" w:eastAsia="Arial" w:hAnsi="Arial"/>
          <w:sz w:val="17"/>
          <w:szCs w:val="17"/>
          <w:color w:val="auto"/>
        </w:rPr>
        <w:t>6.1 So long as any shares of Series B Preferred Stock are outstanding, the holders of outstanding shares of Series B Preferred Stock shall, voting together as a separate class, be entitled to elect the number of Directors on the Corporation’s Board of Directors (the “Series B Directors”) that is determined using the following formula, rounded up:</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X=D [</w:t>
      </w:r>
      <w:r>
        <w:rPr>
          <w:rFonts w:ascii="Arial" w:cs="Arial" w:eastAsia="Arial" w:hAnsi="Arial"/>
          <w:sz w:val="18"/>
          <w:szCs w:val="18"/>
          <w:u w:val="single" w:color="auto"/>
          <w:color w:val="auto"/>
        </w:rPr>
        <w:t>B+C</w:t>
      </w:r>
      <w:r>
        <w:rPr>
          <w:rFonts w:ascii="Arial" w:cs="Arial" w:eastAsia="Arial" w:hAnsi="Arial"/>
          <w:sz w:val="18"/>
          <w:szCs w:val="18"/>
          <w:color w:val="auto"/>
        </w:rPr>
        <w:t>]</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w:t>
      </w:r>
    </w:p>
    <w:p>
      <w:pPr>
        <w:sectPr>
          <w:pgSz w:w="11900" w:h="16838" w:orient="portrait"/>
          <w:cols w:equalWidth="0" w:num="1">
            <w:col w:w="10340"/>
          </w:cols>
          <w:pgMar w:left="1320" w:top="517" w:right="239" w:bottom="1440" w:gutter="0" w:footer="0" w:header="0"/>
        </w:sectPr>
      </w:pPr>
    </w:p>
    <w:p>
      <w:pPr>
        <w:spacing w:after="0" w:line="23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Where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X = the number of Series B Directors. In the event that the calculation of the number “X” includes a fraction, the number X shall be rounded up or down as follows: fractions 0.5 and higher would be rounded up to the nearest whole number and fractions lower than 0.5 would be rounded down to the nearest whole number.</w:t>
      </w:r>
    </w:p>
    <w:p>
      <w:pPr>
        <w:spacing w:after="0" w:line="193" w:lineRule="exact"/>
        <w:rPr>
          <w:sz w:val="20"/>
          <w:szCs w:val="20"/>
          <w:color w:val="auto"/>
        </w:rPr>
      </w:pPr>
    </w:p>
    <w:p>
      <w:pPr>
        <w:sectPr>
          <w:pgSz w:w="11900" w:h="16838" w:orient="portrait"/>
          <w:cols w:equalWidth="0" w:num="2">
            <w:col w:w="1360" w:space="480"/>
            <w:col w:w="8500"/>
          </w:cols>
          <w:pgMar w:left="1320" w:top="517" w:right="239" w:bottom="1440" w:gutter="0" w:footer="0" w:header="0"/>
          <w:type w:val="continuous"/>
        </w:sectPr>
      </w:pPr>
    </w:p>
    <w:p>
      <w:pPr>
        <w:ind w:left="1840"/>
        <w:spacing w:after="0"/>
        <w:rPr>
          <w:sz w:val="20"/>
          <w:szCs w:val="20"/>
          <w:color w:val="auto"/>
        </w:rPr>
      </w:pPr>
      <w:r>
        <w:rPr>
          <w:rFonts w:ascii="Arial" w:cs="Arial" w:eastAsia="Arial" w:hAnsi="Arial"/>
          <w:sz w:val="18"/>
          <w:szCs w:val="18"/>
          <w:color w:val="auto"/>
        </w:rPr>
        <w:t>D = the then-current total number of Directors of the Corporation.</w:t>
      </w:r>
    </w:p>
    <w:p>
      <w:pPr>
        <w:spacing w:after="0" w:line="252" w:lineRule="exact"/>
        <w:rPr>
          <w:sz w:val="20"/>
          <w:szCs w:val="20"/>
          <w:color w:val="auto"/>
        </w:rPr>
      </w:pPr>
    </w:p>
    <w:p>
      <w:pPr>
        <w:ind w:left="1840" w:right="280"/>
        <w:spacing w:after="0" w:line="277" w:lineRule="auto"/>
        <w:rPr>
          <w:sz w:val="20"/>
          <w:szCs w:val="20"/>
          <w:color w:val="auto"/>
        </w:rPr>
      </w:pPr>
      <w:r>
        <w:rPr>
          <w:rFonts w:ascii="Arial" w:cs="Arial" w:eastAsia="Arial" w:hAnsi="Arial"/>
          <w:sz w:val="18"/>
          <w:szCs w:val="18"/>
          <w:color w:val="auto"/>
        </w:rPr>
        <w:t>B = the then-current total number of shares of Common Stock underlying all of the outstanding shares of Series B Preferred Stock.</w:t>
      </w:r>
    </w:p>
    <w:p>
      <w:pPr>
        <w:spacing w:after="0" w:line="197"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C = the then-current total number of shares of Common Stock held by all Holders of Series B Preferred Stock.</w:t>
      </w:r>
    </w:p>
    <w:p>
      <w:pPr>
        <w:spacing w:after="0" w:line="275"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O = the then-current total number of shares of the Corporation’s Common Stock issued and outstanding.</w:t>
      </w:r>
    </w:p>
    <w:p>
      <w:pPr>
        <w:sectPr>
          <w:pgSz w:w="11900" w:h="16838" w:orient="portrait"/>
          <w:cols w:equalWidth="0" w:num="1">
            <w:col w:w="10340"/>
          </w:cols>
          <w:pgMar w:left="1320" w:top="517" w:right="239" w:bottom="1440" w:gutter="0" w:footer="0" w:header="0"/>
          <w:type w:val="continuous"/>
        </w:sectPr>
      </w:pPr>
    </w:p>
    <w:p>
      <w:pPr>
        <w:spacing w:after="0" w:line="264" w:lineRule="exact"/>
        <w:rPr>
          <w:sz w:val="20"/>
          <w:szCs w:val="20"/>
          <w:color w:val="auto"/>
        </w:rPr>
      </w:pPr>
    </w:p>
    <w:p>
      <w:pPr>
        <w:jc w:val="both"/>
        <w:ind w:left="880" w:hanging="314"/>
        <w:spacing w:after="0" w:line="257" w:lineRule="auto"/>
        <w:rPr>
          <w:sz w:val="20"/>
          <w:szCs w:val="20"/>
          <w:color w:val="auto"/>
        </w:rPr>
      </w:pPr>
      <w:r>
        <w:rPr>
          <w:rFonts w:ascii="Arial" w:cs="Arial" w:eastAsia="Arial" w:hAnsi="Arial"/>
          <w:sz w:val="18"/>
          <w:szCs w:val="18"/>
          <w:color w:val="auto"/>
        </w:rPr>
        <w:t>6.2 The Series B Directors shall be elected by a plurality vote of holders of Series B Preferred Stock, with the elected candidates being the individuals receiving the greatest number of affirmative votes (with each holder of Series B Preferred Stock entitled to cast one vote for or against each candidate with respect to each share of Series B Preferred Stock held by such holder) of the outstanding shares of Series B Preferred Stock, with votes cast against such candidate and votes withheld having no legal effect. The election of the Series B Directors shall occur:</w:t>
      </w:r>
    </w:p>
    <w:p>
      <w:pPr>
        <w:spacing w:after="0" w:line="36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40"/>
          </w:cols>
          <w:pgMar w:left="1320" w:top="517" w:right="239" w:bottom="1440" w:gutter="0" w:footer="0" w:header="0"/>
          <w:type w:val="continuous"/>
        </w:sectPr>
      </w:pPr>
    </w:p>
    <w:bookmarkStart w:id="9" w:name="page10"/>
    <w:bookmarkEnd w:id="9"/>
    <w:p>
      <w:pPr>
        <w:ind w:left="1500" w:hanging="712"/>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the annual meeting of holders of capital stock;</w:t>
      </w:r>
    </w:p>
    <w:p>
      <w:pPr>
        <w:spacing w:after="0" w:line="252" w:lineRule="exact"/>
        <w:rPr>
          <w:rFonts w:ascii="Arial" w:cs="Arial" w:eastAsia="Arial" w:hAnsi="Arial"/>
          <w:sz w:val="18"/>
          <w:szCs w:val="18"/>
          <w:color w:val="auto"/>
        </w:rPr>
      </w:pPr>
    </w:p>
    <w:p>
      <w:pPr>
        <w:ind w:left="2060" w:hanging="645"/>
        <w:spacing w:after="0"/>
        <w:tabs>
          <w:tab w:leader="none" w:pos="2060" w:val="left"/>
        </w:tabs>
        <w:numPr>
          <w:ilvl w:val="1"/>
          <w:numId w:val="7"/>
        </w:numPr>
        <w:rPr>
          <w:rFonts w:ascii="Arial" w:cs="Arial" w:eastAsia="Arial" w:hAnsi="Arial"/>
          <w:sz w:val="16"/>
          <w:szCs w:val="16"/>
          <w:color w:val="auto"/>
        </w:rPr>
      </w:pPr>
      <w:r>
        <w:rPr>
          <w:rFonts w:ascii="Arial" w:cs="Arial" w:eastAsia="Arial" w:hAnsi="Arial"/>
          <w:sz w:val="16"/>
          <w:szCs w:val="16"/>
          <w:color w:val="auto"/>
        </w:rPr>
        <w:t>at any special meeting of holders of capital stock if such meeting is called for the purpose of electing directors;</w:t>
      </w:r>
    </w:p>
    <w:p>
      <w:pPr>
        <w:spacing w:after="0" w:line="275" w:lineRule="exact"/>
        <w:rPr>
          <w:rFonts w:ascii="Arial" w:cs="Arial" w:eastAsia="Arial" w:hAnsi="Arial"/>
          <w:sz w:val="16"/>
          <w:szCs w:val="16"/>
          <w:color w:val="auto"/>
        </w:rPr>
      </w:pPr>
    </w:p>
    <w:p>
      <w:pPr>
        <w:ind w:left="2060" w:hanging="645"/>
        <w:spacing w:after="0" w:line="277" w:lineRule="auto"/>
        <w:tabs>
          <w:tab w:leader="none" w:pos="2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at any special meeting of holders of Series B Preferred Stock called by holders of not less than a majority of the outstanding shares of Series B Preferred Stock; or</w:t>
      </w:r>
    </w:p>
    <w:p>
      <w:pPr>
        <w:spacing w:after="0" w:line="197" w:lineRule="exact"/>
        <w:rPr>
          <w:rFonts w:ascii="Arial" w:cs="Arial" w:eastAsia="Arial" w:hAnsi="Arial"/>
          <w:sz w:val="18"/>
          <w:szCs w:val="18"/>
          <w:color w:val="auto"/>
        </w:rPr>
      </w:pPr>
    </w:p>
    <w:p>
      <w:pPr>
        <w:ind w:left="2060" w:hanging="645"/>
        <w:spacing w:after="0" w:line="277" w:lineRule="auto"/>
        <w:tabs>
          <w:tab w:leader="none" w:pos="2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by the written consent of holders of the outstanding shares of Series B Preferred Stock entitled to vote for a Series B Director in the manner and on the basis specified above.</w:t>
      </w:r>
    </w:p>
    <w:p>
      <w:pPr>
        <w:spacing w:after="0" w:line="197"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If, at any time when the holders of Series B Preferred Stock are entitled to elect Series B Directors, a Series B Director should cease to be a Director for any reason, the vacancy shall be filled only by the vote or written consent of the holders of the outstanding shares of Series B Preferred Stock, voting together as a separate class, in the manner and on the basis specified above or as otherwise provided by law. The holders of outstanding shares of Series B Preferred Stock, may, in their discretion, determine not to elect the full number of Series B Directors as provided herein from time to time, and during any such period the Board nonetheless shall be deemed duly constituted.</w:t>
      </w:r>
    </w:p>
    <w:p>
      <w:pPr>
        <w:spacing w:after="0" w:line="220" w:lineRule="exact"/>
        <w:rPr>
          <w:sz w:val="20"/>
          <w:szCs w:val="20"/>
          <w:color w:val="auto"/>
        </w:rPr>
      </w:pPr>
    </w:p>
    <w:p>
      <w:pPr>
        <w:jc w:val="both"/>
        <w:ind w:left="760" w:hanging="314"/>
        <w:spacing w:after="0" w:line="272" w:lineRule="auto"/>
        <w:rPr>
          <w:sz w:val="20"/>
          <w:szCs w:val="20"/>
          <w:color w:val="auto"/>
        </w:rPr>
      </w:pPr>
      <w:r>
        <w:rPr>
          <w:rFonts w:ascii="Arial" w:cs="Arial" w:eastAsia="Arial" w:hAnsi="Arial"/>
          <w:sz w:val="17"/>
          <w:szCs w:val="17"/>
          <w:color w:val="auto"/>
        </w:rPr>
        <w:t>6.3 Except as otherwise required by law, the Holders of shares of Series B Preferred Stock shall be entitled to vote on all matters submitted to a vote of the stockholders of the Corporation and shall have such number of votes equal to the number of shares of Common Stock into which such Holders’ shares of Series B Preferred Stock are convertible pursuant to the provisions hereof and subject to the limitations on conversion contained herein, at the record date for the determination of stockholders entitled to vote on such matters or, if no such record date is established, at the date such vote is taken or any written consent of stockholders is solicited. Except as otherwise required by law, the holders of shares of Series B Preferred Stock and Common Stock shall vote together as a single class, and not as separate classes.</w:t>
      </w:r>
    </w:p>
    <w:p>
      <w:pPr>
        <w:spacing w:after="0" w:line="205" w:lineRule="exact"/>
        <w:rPr>
          <w:sz w:val="20"/>
          <w:szCs w:val="20"/>
          <w:color w:val="auto"/>
        </w:rPr>
      </w:pPr>
    </w:p>
    <w:p>
      <w:pPr>
        <w:jc w:val="both"/>
        <w:ind w:left="760" w:hanging="314"/>
        <w:spacing w:after="0" w:line="259" w:lineRule="auto"/>
        <w:rPr>
          <w:sz w:val="20"/>
          <w:szCs w:val="20"/>
          <w:color w:val="auto"/>
        </w:rPr>
      </w:pPr>
      <w:r>
        <w:rPr>
          <w:rFonts w:ascii="Arial" w:cs="Arial" w:eastAsia="Arial" w:hAnsi="Arial"/>
          <w:sz w:val="18"/>
          <w:szCs w:val="18"/>
          <w:color w:val="auto"/>
        </w:rPr>
        <w:t>6.4 In the event that the Holders of the Series B Preferred Stock are required to vote separately as a class, the affirmative vote of holders of a majority of the outstanding shares of Series B Preferred Stock shall be required to approve each such matter to be voted upon, and if any matter is approved by such requisite percentage of holders of Series B Preferred Stock, such matter shall bind all Holders of Series B Preferred Stock.</w:t>
      </w:r>
    </w:p>
    <w:p>
      <w:pPr>
        <w:spacing w:after="0" w:line="36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7" w:right="239" w:bottom="1440" w:gutter="0" w:footer="0" w:header="0"/>
        </w:sectPr>
      </w:pPr>
    </w:p>
    <w:bookmarkStart w:id="10" w:name="page11"/>
    <w:bookmarkEnd w:id="10"/>
    <w:p>
      <w:pPr>
        <w:ind w:left="560" w:right="8600" w:hanging="560"/>
        <w:spacing w:after="0" w:line="598" w:lineRule="auto"/>
        <w:tabs>
          <w:tab w:leader="none" w:pos="227"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Conversion Rights</w:t>
      </w:r>
      <w:r>
        <w:rPr>
          <w:rFonts w:ascii="Arial" w:cs="Arial" w:eastAsia="Arial" w:hAnsi="Arial"/>
          <w:sz w:val="16"/>
          <w:szCs w:val="16"/>
          <w:color w:val="auto"/>
        </w:rPr>
        <w:t xml:space="preserve">. 7.1 </w:t>
      </w:r>
      <w:r>
        <w:rPr>
          <w:rFonts w:ascii="Arial" w:cs="Arial" w:eastAsia="Arial" w:hAnsi="Arial"/>
          <w:sz w:val="16"/>
          <w:szCs w:val="16"/>
          <w:u w:val="single" w:color="auto"/>
          <w:color w:val="auto"/>
        </w:rPr>
        <w:t>Conversion</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jc w:val="both"/>
        <w:ind w:left="1520" w:hanging="289"/>
        <w:spacing w:after="0" w:line="289" w:lineRule="auto"/>
        <w:tabs>
          <w:tab w:leader="none" w:pos="1520"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Optional Conversion</w:t>
      </w:r>
      <w:r>
        <w:rPr>
          <w:rFonts w:ascii="Arial" w:cs="Arial" w:eastAsia="Arial" w:hAnsi="Arial"/>
          <w:sz w:val="16"/>
          <w:szCs w:val="16"/>
          <w:color w:val="auto"/>
        </w:rPr>
        <w:t>. Each share of Series B Preferred Stock shall be convertible at the option of the Holder into that number of shares of Common Stock of the Corporation equal to (a) the Stated Value of such share of Series B Preferred Stock divided by (b) a per share price of the Common Stock of $1.50 per share (the “</w:t>
      </w:r>
      <w:r>
        <w:rPr>
          <w:rFonts w:ascii="Arial" w:cs="Arial" w:eastAsia="Arial" w:hAnsi="Arial"/>
          <w:sz w:val="16"/>
          <w:szCs w:val="16"/>
          <w:u w:val="single" w:color="auto"/>
          <w:color w:val="auto"/>
        </w:rPr>
        <w:t>Conversion Price</w:t>
      </w:r>
      <w:r>
        <w:rPr>
          <w:rFonts w:ascii="Arial" w:cs="Arial" w:eastAsia="Arial" w:hAnsi="Arial"/>
          <w:sz w:val="16"/>
          <w:szCs w:val="16"/>
          <w:color w:val="auto"/>
        </w:rPr>
        <w:t>”). A Holder may effect a conversion under this Section 7.1 at any time after the earlier of (x) the time that the United States Securities and Exchange Commission declares effective a registration statement registering the shares of Common Stock to be sold by the Holder that underlie the shares of Series B Preferred Stock held by such Holder (the “</w:t>
      </w:r>
      <w:r>
        <w:rPr>
          <w:rFonts w:ascii="Arial" w:cs="Arial" w:eastAsia="Arial" w:hAnsi="Arial"/>
          <w:sz w:val="16"/>
          <w:szCs w:val="16"/>
          <w:u w:val="single" w:color="auto"/>
          <w:color w:val="auto"/>
        </w:rPr>
        <w:t>Conversion Shares</w:t>
      </w:r>
      <w:r>
        <w:rPr>
          <w:rFonts w:ascii="Arial" w:cs="Arial" w:eastAsia="Arial" w:hAnsi="Arial"/>
          <w:sz w:val="16"/>
          <w:szCs w:val="16"/>
          <w:color w:val="auto"/>
        </w:rPr>
        <w:t>”) and (y) the time such Conversion Shares are eligible for resale by the Holder pursuant to Rule 144 under the Securities Act of 1933, as amended, (the “</w:t>
      </w:r>
      <w:r>
        <w:rPr>
          <w:rFonts w:ascii="Arial" w:cs="Arial" w:eastAsia="Arial" w:hAnsi="Arial"/>
          <w:sz w:val="16"/>
          <w:szCs w:val="16"/>
          <w:u w:val="single" w:color="auto"/>
          <w:color w:val="auto"/>
        </w:rPr>
        <w:t>Conversion Eligibility Date</w:t>
      </w:r>
      <w:r>
        <w:rPr>
          <w:rFonts w:ascii="Arial" w:cs="Arial" w:eastAsia="Arial" w:hAnsi="Arial"/>
          <w:sz w:val="16"/>
          <w:szCs w:val="16"/>
          <w:color w:val="auto"/>
        </w:rPr>
        <w:t>”) The Conversion Price is subject to adjustment as hereinafter provided, at any time or from time to time upon the terms and in the manner herein after set forth in Paragraph 7.3.</w:t>
      </w:r>
    </w:p>
    <w:p>
      <w:pPr>
        <w:spacing w:after="0" w:line="193" w:lineRule="exact"/>
        <w:rPr>
          <w:rFonts w:ascii="Arial" w:cs="Arial" w:eastAsia="Arial" w:hAnsi="Arial"/>
          <w:sz w:val="16"/>
          <w:szCs w:val="16"/>
          <w:color w:val="auto"/>
        </w:rPr>
      </w:pPr>
    </w:p>
    <w:p>
      <w:pPr>
        <w:ind w:left="1520" w:hanging="299"/>
        <w:spacing w:after="0"/>
        <w:tabs>
          <w:tab w:leader="none" w:pos="1520"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Forced Conversion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2160" w:hanging="250"/>
        <w:spacing w:after="0" w:line="269" w:lineRule="auto"/>
        <w:tabs>
          <w:tab w:leader="none" w:pos="2160" w:val="left"/>
        </w:tabs>
        <w:numPr>
          <w:ilvl w:val="2"/>
          <w:numId w:val="8"/>
        </w:numPr>
        <w:rPr>
          <w:rFonts w:ascii="Arial" w:cs="Arial" w:eastAsia="Arial" w:hAnsi="Arial"/>
          <w:sz w:val="17"/>
          <w:szCs w:val="17"/>
          <w:color w:val="auto"/>
        </w:rPr>
      </w:pPr>
      <w:r>
        <w:rPr>
          <w:rFonts w:ascii="Arial" w:cs="Arial" w:eastAsia="Arial" w:hAnsi="Arial"/>
          <w:sz w:val="17"/>
          <w:szCs w:val="17"/>
          <w:color w:val="auto"/>
        </w:rPr>
        <w:t>If after the Conversion Eligibility Date the Market Price for the Common Stock for any ten (10) consecutive Trading Days exceeds $2.00 (subject to adjustment for reverse and forward stock splits, stock combinations and other similar transactions of the Common Stock that occur after the date hereof) and the average daily trading volume for the Common Stock during such ten-(10) day period exceeds 100,000 shares (such period the “</w:t>
      </w:r>
      <w:r>
        <w:rPr>
          <w:rFonts w:ascii="Arial" w:cs="Arial" w:eastAsia="Arial" w:hAnsi="Arial"/>
          <w:sz w:val="17"/>
          <w:szCs w:val="17"/>
          <w:u w:val="single" w:color="auto"/>
          <w:color w:val="auto"/>
        </w:rPr>
        <w:t>Threshold Period</w:t>
      </w:r>
      <w:r>
        <w:rPr>
          <w:rFonts w:ascii="Arial" w:cs="Arial" w:eastAsia="Arial" w:hAnsi="Arial"/>
          <w:sz w:val="17"/>
          <w:szCs w:val="17"/>
          <w:color w:val="auto"/>
        </w:rPr>
        <w:t>”), the Corporation may, at any time after the fifth (5th) Trading Day after the end of any such period, deliver a notice to the Holder (a “</w:t>
      </w:r>
      <w:r>
        <w:rPr>
          <w:rFonts w:ascii="Arial" w:cs="Arial" w:eastAsia="Arial" w:hAnsi="Arial"/>
          <w:sz w:val="17"/>
          <w:szCs w:val="17"/>
          <w:u w:val="single" w:color="auto"/>
          <w:color w:val="auto"/>
        </w:rPr>
        <w:t>Forced Conversion Notice</w:t>
      </w:r>
      <w:r>
        <w:rPr>
          <w:rFonts w:ascii="Arial" w:cs="Arial" w:eastAsia="Arial" w:hAnsi="Arial"/>
          <w:sz w:val="17"/>
          <w:szCs w:val="17"/>
          <w:color w:val="auto"/>
        </w:rPr>
        <w:t>” and the date such notice is received by the Holder, the “Forced Conversion Notice Date”) to cause the Holder to immediately convert all and not less than all of the Stated Value of the shares Held by such Holder plus accumulated and unpaid dividends at the then current Conversion Price (a “</w:t>
      </w:r>
      <w:r>
        <w:rPr>
          <w:rFonts w:ascii="Arial" w:cs="Arial" w:eastAsia="Arial" w:hAnsi="Arial"/>
          <w:sz w:val="17"/>
          <w:szCs w:val="17"/>
          <w:u w:val="single" w:color="auto"/>
          <w:color w:val="auto"/>
        </w:rPr>
        <w:t>Forced Conversion</w:t>
      </w:r>
      <w:r>
        <w:rPr>
          <w:rFonts w:ascii="Arial" w:cs="Arial" w:eastAsia="Arial" w:hAnsi="Arial"/>
          <w:sz w:val="17"/>
          <w:szCs w:val="17"/>
          <w:color w:val="auto"/>
        </w:rPr>
        <w:t>”). The Corporation may only effect a Forced Conversion Notice if all of the conditions specified in Subsection (b)(i) below are met through the applicable Threshold Period until the date of the applicable Forced Conversion and through and including the date such shares of Common Stock are issued to the Holder.</w:t>
      </w:r>
    </w:p>
    <w:p>
      <w:pPr>
        <w:spacing w:after="0" w:line="206" w:lineRule="exact"/>
        <w:rPr>
          <w:rFonts w:ascii="Arial" w:cs="Arial" w:eastAsia="Arial" w:hAnsi="Arial"/>
          <w:sz w:val="17"/>
          <w:szCs w:val="17"/>
          <w:color w:val="auto"/>
        </w:rPr>
      </w:pPr>
    </w:p>
    <w:p>
      <w:pPr>
        <w:jc w:val="both"/>
        <w:ind w:left="2160" w:hanging="300"/>
        <w:spacing w:after="0" w:line="253" w:lineRule="auto"/>
        <w:tabs>
          <w:tab w:leader="none" w:pos="2160" w:val="left"/>
        </w:tabs>
        <w:numPr>
          <w:ilvl w:val="2"/>
          <w:numId w:val="8"/>
        </w:numPr>
        <w:rPr>
          <w:rFonts w:ascii="Arial" w:cs="Arial" w:eastAsia="Arial" w:hAnsi="Arial"/>
          <w:sz w:val="18"/>
          <w:szCs w:val="18"/>
          <w:color w:val="auto"/>
        </w:rPr>
      </w:pPr>
      <w:r>
        <w:rPr>
          <w:rFonts w:ascii="Arial" w:cs="Arial" w:eastAsia="Arial" w:hAnsi="Arial"/>
          <w:sz w:val="18"/>
          <w:szCs w:val="18"/>
          <w:color w:val="auto"/>
        </w:rPr>
        <w:t>The Corporation may effect a Forced Conversion if at such time the conditions below are satisfied: (A) there is an effective registration statement covering the resale of the shares of Common Stock issuable on conversion of the shares of Series B Preferred Stock held by the Holder, or, alternatively, such shares are saleable by the Holder under the provisions of Rule 144 promulgated under the Securities Act of 1933, as amended (“Rule 144”), without regard to the volume or manner of sale limitations contained therein (and, if requested by the Holder, legal counsel to the Corporation provides a legal opinion to the Holder that such shares may be so resold by the Holder under Rule 144), and (B) the Common Stock of the Corporation, including the Conversion Shares to be issued on the Forced Conversion Date, are eligible for trading on a market tier of the OTC or other Eligible Market.</w:t>
      </w:r>
    </w:p>
    <w:p>
      <w:pPr>
        <w:spacing w:after="0" w:line="37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40"/>
          </w:cols>
          <w:pgMar w:left="1320" w:top="517" w:right="239" w:bottom="1440" w:gutter="0" w:footer="0" w:header="0"/>
        </w:sectPr>
      </w:pPr>
    </w:p>
    <w:bookmarkStart w:id="11" w:name="page12"/>
    <w:bookmarkEnd w:id="11"/>
    <w:p>
      <w:pPr>
        <w:ind w:left="44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Conversion Procedures</w:t>
      </w:r>
      <w:r>
        <w:rPr>
          <w:rFonts w:ascii="Arial" w:cs="Arial" w:eastAsia="Arial" w:hAnsi="Arial"/>
          <w:sz w:val="18"/>
          <w:szCs w:val="18"/>
          <w:color w:val="auto"/>
        </w:rPr>
        <w:t>.</w:t>
      </w:r>
    </w:p>
    <w:p>
      <w:pPr>
        <w:spacing w:after="0" w:line="252" w:lineRule="exact"/>
        <w:rPr>
          <w:sz w:val="20"/>
          <w:szCs w:val="20"/>
          <w:color w:val="auto"/>
        </w:rPr>
      </w:pPr>
    </w:p>
    <w:p>
      <w:pPr>
        <w:jc w:val="both"/>
        <w:ind w:left="1400" w:hanging="289"/>
        <w:spacing w:after="0" w:line="268" w:lineRule="auto"/>
        <w:tabs>
          <w:tab w:leader="none" w:pos="1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In order to convert any share of Series B Preferred Stock into Common Stock, the holder thereof shall (i) surrender the certificate or certificates for such shares of Series B Preferred Stock, duly endorsed to the Corporation or in blank, to the Corporation at its principal office or at the office of the transfer agent maintained for such purposes, (ii) give written notice to the Corporation at such office that such Holder elects to convert such shares of Series B Preferred Stock, in the same form as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Conversion Notice</w:t>
      </w:r>
      <w:r>
        <w:rPr>
          <w:rFonts w:ascii="Arial" w:cs="Arial" w:eastAsia="Arial" w:hAnsi="Arial"/>
          <w:sz w:val="17"/>
          <w:szCs w:val="17"/>
          <w:color w:val="auto"/>
        </w:rPr>
        <w:t>”) and (iii) state in writing therein the name or names in which such holder wishes the certificate or certificates for shares of Common Stock to be issued. Each conversion shall be deemed to have been effected at the close of business on the date on which the Corporation or such transfer agent shall have received such surrendered Series B Preferred Stock certificate(s), and the person or persons in whose name or names any certificate or certificates for shares of Common Stock shall be issuable upon such conversion shall be deemed to have become the record holder or holders of the shares represented thereby on such date (the “</w:t>
      </w:r>
      <w:r>
        <w:rPr>
          <w:rFonts w:ascii="Arial" w:cs="Arial" w:eastAsia="Arial" w:hAnsi="Arial"/>
          <w:sz w:val="17"/>
          <w:szCs w:val="17"/>
          <w:u w:val="single" w:color="auto"/>
          <w:color w:val="auto"/>
        </w:rPr>
        <w:t>Conversion Date</w:t>
      </w:r>
      <w:r>
        <w:rPr>
          <w:rFonts w:ascii="Arial" w:cs="Arial" w:eastAsia="Arial" w:hAnsi="Arial"/>
          <w:sz w:val="17"/>
          <w:szCs w:val="17"/>
          <w:color w:val="auto"/>
        </w:rPr>
        <w:t>”). No fractional shares or scrip representing fractional shares will be issued upon any conversion, but an adjustment in cash will be made, in respect of any fraction of a share which would otherwise be issuable upon the conversion of the Series B Preferred Stock.</w:t>
      </w:r>
    </w:p>
    <w:p>
      <w:pPr>
        <w:spacing w:after="0" w:line="214" w:lineRule="exact"/>
        <w:rPr>
          <w:rFonts w:ascii="Arial" w:cs="Arial" w:eastAsia="Arial" w:hAnsi="Arial"/>
          <w:sz w:val="17"/>
          <w:szCs w:val="17"/>
          <w:color w:val="auto"/>
        </w:rPr>
      </w:pPr>
    </w:p>
    <w:p>
      <w:pPr>
        <w:jc w:val="both"/>
        <w:ind w:left="1400" w:hanging="299"/>
        <w:spacing w:after="0" w:line="284" w:lineRule="auto"/>
        <w:tabs>
          <w:tab w:leader="none" w:pos="140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Upon receipt by the Corporation of copy of a Conversion Notice, as shown in </w:t>
      </w:r>
      <w:r>
        <w:rPr>
          <w:rFonts w:ascii="Arial" w:cs="Arial" w:eastAsia="Arial" w:hAnsi="Arial"/>
          <w:sz w:val="16"/>
          <w:szCs w:val="16"/>
          <w:u w:val="single" w:color="auto"/>
          <w:color w:val="auto"/>
        </w:rPr>
        <w:t>Exhibit I</w:t>
      </w:r>
      <w:r>
        <w:rPr>
          <w:rFonts w:ascii="Arial" w:cs="Arial" w:eastAsia="Arial" w:hAnsi="Arial"/>
          <w:sz w:val="16"/>
          <w:szCs w:val="16"/>
          <w:color w:val="auto"/>
        </w:rPr>
        <w:t>, the Corporation shall (i) as soon as practicable, but in any event within one (1) Trading Day after receipt of such Conversion Notice, send, via facsimile, a confirmation of receipt of such Conversion Notice to such Holder and the Corporation’s transfer agent, which confirmation shall constitute an instruction to the transfer agent to process such Conversion Notice in accordance with the terms herein. Not later than three (3) Trading Days after any Conversion Date (the “</w:t>
      </w:r>
      <w:r>
        <w:rPr>
          <w:rFonts w:ascii="Arial" w:cs="Arial" w:eastAsia="Arial" w:hAnsi="Arial"/>
          <w:sz w:val="16"/>
          <w:szCs w:val="16"/>
          <w:u w:val="single" w:color="auto"/>
          <w:color w:val="auto"/>
        </w:rPr>
        <w:t>Delivery Date</w:t>
      </w:r>
      <w:r>
        <w:rPr>
          <w:rFonts w:ascii="Arial" w:cs="Arial" w:eastAsia="Arial" w:hAnsi="Arial"/>
          <w:sz w:val="16"/>
          <w:szCs w:val="16"/>
          <w:color w:val="auto"/>
        </w:rPr>
        <w:t>”), the Corporation or its designated transfer agent, as applicable, shall (A) issue and deliver to the address as specified in the Conversi on Notice, a certificate, registered in the name of the holder or its designee, for the number of shares of Common Stock to which the holder shall be entitled, or (B) provided the transfer agent is participating in The Depository Trust Corporation (“</w:t>
      </w:r>
      <w:r>
        <w:rPr>
          <w:rFonts w:ascii="Arial" w:cs="Arial" w:eastAsia="Arial" w:hAnsi="Arial"/>
          <w:sz w:val="16"/>
          <w:szCs w:val="16"/>
          <w:u w:val="single" w:color="auto"/>
          <w:color w:val="auto"/>
        </w:rPr>
        <w:t>DTC</w:t>
      </w:r>
      <w:r>
        <w:rPr>
          <w:rFonts w:ascii="Arial" w:cs="Arial" w:eastAsia="Arial" w:hAnsi="Arial"/>
          <w:sz w:val="16"/>
          <w:szCs w:val="16"/>
          <w:color w:val="auto"/>
        </w:rPr>
        <w:t>”) Fast Automated Securities Transfer Program, upon the request of the Holder, credit such aggregate number of shares of Common Stock to which the Holder shall be entitled to the Holder’s or its designee’s balance account with DTC through its Deposit Withdrawal Agent Commission system. If the number of shares of Series B Preferred Stock represented by the Series B Preferred Stock Certificate(s) submitted for conversion, is greater than the number of shares of Series B Preferred Stock being converted, then the Corporation shall, as soon as practicable and in no event later than three (3) Trading Days after receipt of the Series Preferred Stock Certificate(s) (the “</w:t>
      </w:r>
      <w:r>
        <w:rPr>
          <w:rFonts w:ascii="Arial" w:cs="Arial" w:eastAsia="Arial" w:hAnsi="Arial"/>
          <w:sz w:val="16"/>
          <w:szCs w:val="16"/>
          <w:u w:val="single" w:color="auto"/>
          <w:color w:val="auto"/>
        </w:rPr>
        <w:t>Preferred Stock Delivery Date</w:t>
      </w:r>
      <w:r>
        <w:rPr>
          <w:rFonts w:ascii="Arial" w:cs="Arial" w:eastAsia="Arial" w:hAnsi="Arial"/>
          <w:sz w:val="16"/>
          <w:szCs w:val="16"/>
          <w:color w:val="auto"/>
        </w:rPr>
        <w:t>”) and at its own expense, issue and deliver to the holder a new Series B Preferred Stock Certificate representing the number of shares of Series B Preferred Stock not converted. If in the case of any Conversion Notice such certificate or certificates are not delivered to or as directed by the applicable Holder by the Delivery Date, the Holder shall be entitled by written notice to the Corporation at any time on or before its receipt of such certificate or certificates thereafter, to rescind such conversion, in which event the Corporation shall immediately return the Series B Preferred Stock Certificate(s) tendered for conversion, whereupon the Corporation and the Holder shall each be restored to their respective positions immediately prior to the delivery of such notice of revocation, except that any amounts described in Sections 7.2(c) and (d) shall be payable through the date notice of re scission is given to the Corporation.</w:t>
      </w:r>
    </w:p>
    <w:p>
      <w:pPr>
        <w:spacing w:after="0" w:line="35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7" w:right="239" w:bottom="1440" w:gutter="0" w:footer="0" w:header="0"/>
        </w:sectPr>
      </w:pPr>
    </w:p>
    <w:bookmarkStart w:id="12" w:name="page13"/>
    <w:bookmarkEnd w:id="12"/>
    <w:p>
      <w:pPr>
        <w:jc w:val="both"/>
        <w:ind w:left="1400" w:hanging="289"/>
        <w:spacing w:after="0" w:line="285" w:lineRule="auto"/>
        <w:tabs>
          <w:tab w:leader="none" w:pos="14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Corporation understands that a delay in the delivery of the shares of Common Stock upon conversion of Series B Preferred Stock beyond the Delivery Date could result in economic loss to the Holder. If the Corporation fails to deliver to the Holder such shares via DWAC or a certificate or certificates pursuant to this Section by the Delivery Date, the Corporation shall pay to the Holder, in cash, as partial liquidated damages and not as a penalty, for each $500 of Series B Preferred Stock to be converted (based on the Stated Value), $10 per Trading Day (increasing to $15 per Trading Day five (5) Trading Days after such damages have begun to accrue and increasing to $20 per Trading Day ten (10) Trading Days after such damages have begun to accrue) for each Trading Day after the Delivery Date until such Common Stock certificate i s delivered. Notwithstanding the foregoing, the Holder shall not be entitled to the damages set forth herein for the delay in the delivery of the shares of Common Stock upon conversion of the Series B Preferred stock, if such delay is due to causes which are beyond the reasonable control of the Corporation, including, but not limited to, acts of God, acts of civil or military authority, fire, flood, earthquake, hurricane, riot, war, terrorism, sabotage and/or governmental action, provided that the Corporation: (i) gives the Holder prompt notice of each such cause; and (ii) uses reasonable efforts to correct such failure or delay in its performance. Nothing herein shall limit a Holder’s right to pursue actual damages for the Corporation’s failure to deliver certificates, and the Holder shall have the right to pursue all remedies available to it at law or in equity including, without limitation, a decree of specific performance and/or injunctive relief. Notwithstanding anythin g to the contrary contained herein, the Holder shall be entitled to withdraw a Conversion Notice, and upon such withdrawal the Corporation shall only be obligated to pay the liquidated damages accrued in accordance with this Section through the date the Conversion Notice is withdrawn.</w:t>
      </w:r>
    </w:p>
    <w:p>
      <w:pPr>
        <w:spacing w:after="0" w:line="199" w:lineRule="exact"/>
        <w:rPr>
          <w:rFonts w:ascii="Arial" w:cs="Arial" w:eastAsia="Arial" w:hAnsi="Arial"/>
          <w:sz w:val="16"/>
          <w:szCs w:val="16"/>
          <w:color w:val="auto"/>
        </w:rPr>
      </w:pPr>
    </w:p>
    <w:p>
      <w:pPr>
        <w:jc w:val="both"/>
        <w:ind w:left="1400" w:hanging="299"/>
        <w:spacing w:after="0" w:line="284" w:lineRule="auto"/>
        <w:tabs>
          <w:tab w:leader="none" w:pos="14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addition to any other rights available to the Holder, if the Corporation fails to cause its transfer agent to transmit to the Holder a certificate or certificates representing the shares of Common Stock issuable upon conversion of the Series B Preferred Stock on or before the Delivery Date, and if after such date the Holder is required by its broker to purchase (in an open market transaction or otherwise) shares of Common Stock to deliver in satisfaction of a sale by the Holder of the shares of Common Stock issuable upon conversion of the Series B Preferred Stock which the Holder anticipated receiving upon such conversion (a “</w:t>
      </w:r>
      <w:r>
        <w:rPr>
          <w:rFonts w:ascii="Arial" w:cs="Arial" w:eastAsia="Arial" w:hAnsi="Arial"/>
          <w:sz w:val="16"/>
          <w:szCs w:val="16"/>
          <w:u w:val="single" w:color="auto"/>
          <w:color w:val="auto"/>
        </w:rPr>
        <w:t>Buy-In”</w:t>
      </w:r>
      <w:r>
        <w:rPr>
          <w:rFonts w:ascii="Arial" w:cs="Arial" w:eastAsia="Arial" w:hAnsi="Arial"/>
          <w:sz w:val="16"/>
          <w:szCs w:val="16"/>
          <w:color w:val="auto"/>
        </w:rPr>
        <w:t>), then the Corporation shall (1) pay in cash to the Holder the amount by which (x) the Holder’s total purchase price (including brokera ge commissions, if any) for the shares of Common Stock so purchased exceeds (y) the amount obtained by multiplying (A) the number of shares of Common Stock issuable upon conversion of the Series B Preferred Stock that the Corporation was required to deliver to the Holder in connection with the conversion at issue times (B) the price at which the sell order giving rise to such purchase obligation was executed, and (2) at the option of the Holder, either reinstate the portion of the Series B Preferred Stock and equivalent number of shares of Common Stock for which such conversion was not honored or deliver to the Holder the number of shares of Common Stock that would have been issued had the Corporation timely complied with its conversion and delivery obligations hereunder. For example, if the Holder purchases Common Stock having a total purchase price of $11,000 to cover a Buy-In with respect to an attempted conversion of shares of Common Stock with an aggregate sale price giving rise to such purch ase obligation of $10,000, under clause (1) of the immediately preceding sentence the Corporation shall be required to pay the Holder $1,000. The Holder shall provide the Corporation written notice indicating the amounts payable to the Holder in respect of the Buy-In, together with applicable confirmations and other evidence reasonably requested by the Corporation.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Series B Preferred Stock as required pursuant to the terms hereof.</w:t>
      </w:r>
    </w:p>
    <w:p>
      <w:pPr>
        <w:spacing w:after="0" w:line="35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7" w:right="239" w:bottom="1440" w:gutter="0" w:footer="0" w:header="0"/>
        </w:sectPr>
      </w:pPr>
    </w:p>
    <w:bookmarkStart w:id="13" w:name="page14"/>
    <w:bookmarkEnd w:id="13"/>
    <w:p>
      <w:pPr>
        <w:ind w:left="44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Adjustment of Conversion Price</w:t>
      </w:r>
      <w:r>
        <w:rPr>
          <w:rFonts w:ascii="Arial" w:cs="Arial" w:eastAsia="Arial" w:hAnsi="Arial"/>
          <w:sz w:val="18"/>
          <w:szCs w:val="18"/>
          <w:color w:val="auto"/>
        </w:rPr>
        <w:t>. The Conversion Price shall be subject to adjustment from time to time as follows:</w:t>
      </w:r>
    </w:p>
    <w:p>
      <w:pPr>
        <w:spacing w:after="0" w:line="252" w:lineRule="exact"/>
        <w:rPr>
          <w:sz w:val="20"/>
          <w:szCs w:val="20"/>
          <w:color w:val="auto"/>
        </w:rPr>
      </w:pPr>
    </w:p>
    <w:p>
      <w:pPr>
        <w:jc w:val="both"/>
        <w:ind w:left="1400" w:hanging="289"/>
        <w:spacing w:after="0" w:line="254"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Adjustment of Conversion Price upon Issuance of Common Stock</w:t>
      </w:r>
      <w:r>
        <w:rPr>
          <w:rFonts w:ascii="Arial" w:cs="Arial" w:eastAsia="Arial" w:hAnsi="Arial"/>
          <w:sz w:val="18"/>
          <w:szCs w:val="18"/>
          <w:color w:val="auto"/>
        </w:rPr>
        <w:t>. Except with respect to an Permitted Issuance (defined below) the Corporation issues or sells, or in accordance with this Section 7.3(a) is deemed to have issued or sold, any shares of Common Stock (including the issuance or sale of shares of Common Stock owned or held by or for the account of the Corporation) for a consideration per share (the “</w:t>
      </w:r>
      <w:r>
        <w:rPr>
          <w:rFonts w:ascii="Arial" w:cs="Arial" w:eastAsia="Arial" w:hAnsi="Arial"/>
          <w:sz w:val="18"/>
          <w:szCs w:val="18"/>
          <w:u w:val="single" w:color="auto"/>
          <w:color w:val="auto"/>
        </w:rPr>
        <w:t>New Issuance Price</w:t>
      </w:r>
      <w:r>
        <w:rPr>
          <w:rFonts w:ascii="Arial" w:cs="Arial" w:eastAsia="Arial" w:hAnsi="Arial"/>
          <w:sz w:val="18"/>
          <w:szCs w:val="18"/>
          <w:color w:val="auto"/>
        </w:rPr>
        <w:t>”) less than a price (the “</w:t>
      </w:r>
      <w:r>
        <w:rPr>
          <w:rFonts w:ascii="Arial" w:cs="Arial" w:eastAsia="Arial" w:hAnsi="Arial"/>
          <w:sz w:val="18"/>
          <w:szCs w:val="18"/>
          <w:u w:val="single" w:color="auto"/>
          <w:color w:val="auto"/>
        </w:rPr>
        <w:t>Applicable Price</w:t>
      </w:r>
      <w:r>
        <w:rPr>
          <w:rFonts w:ascii="Arial" w:cs="Arial" w:eastAsia="Arial" w:hAnsi="Arial"/>
          <w:sz w:val="18"/>
          <w:szCs w:val="18"/>
          <w:color w:val="auto"/>
        </w:rPr>
        <w:t>”) equal to the Conversion Price in effect immediately prior to such issue or sale (the foregoing a “Dilutive Issuance”), then immediately after such Dilutive Issuance, the Conversion Price then in effect shall be reduced to the New Issuance Price. For purposes of determining the adjusted Conversion Price under this Section 7(a), the following shall be applicable:</w:t>
      </w:r>
    </w:p>
    <w:p>
      <w:pPr>
        <w:spacing w:after="0" w:line="219" w:lineRule="exact"/>
        <w:rPr>
          <w:rFonts w:ascii="Arial" w:cs="Arial" w:eastAsia="Arial" w:hAnsi="Arial"/>
          <w:sz w:val="18"/>
          <w:szCs w:val="18"/>
          <w:color w:val="auto"/>
        </w:rPr>
      </w:pPr>
    </w:p>
    <w:p>
      <w:pPr>
        <w:jc w:val="both"/>
        <w:ind w:left="2040" w:hanging="250"/>
        <w:spacing w:after="0" w:line="286" w:lineRule="auto"/>
        <w:tabs>
          <w:tab w:leader="none" w:pos="2040"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Issuance of Options</w:t>
      </w:r>
      <w:r>
        <w:rPr>
          <w:rFonts w:ascii="Arial" w:cs="Arial" w:eastAsia="Arial" w:hAnsi="Arial"/>
          <w:sz w:val="16"/>
          <w:szCs w:val="16"/>
          <w:color w:val="auto"/>
        </w:rPr>
        <w:t>. If the Corporation in any manner grants or sells any Options (defined below) and the lowest price per share for which one share of Common Stock is issuable upon the exercise of any such Option or upon conversion or exchange or exercise of any Convertible Securities (defined below) issuable upon exercise of such Option is less than the Applicable Price, then all of such shares of Common Stock underlying such Option shall be deemed to be outstanding and to have been issued and sold by the Corporation at the time of the granting or sale of such Option for such price per share. For purposes of this Section 7.3(a)(i), the “lowest price per share for which one share of Common Stock is issuable upon the exercise of any such Option or upon co nversion or exchange or exercise of any Convertible Securities issuable upon exercise of such Option” shall be equal to the sum of the lowest amounts of consideration (if any) received or receivable by the Corporation with respect to any one share of Common Stock upon granting or sale of the Option, upon exercise of the Option and upon conversion or exchange or exercise of any Convertible Security issuable upon exercise of such Option. No further adjustment of the Conversion Price shall be made upon the actual issuance of such share of Common Stock or of such Convertible Securities upon the exercise of such Options or upon the actual issuance of such Common Stock upon conversion or exchange or exercise of such Convertible Securities.</w:t>
      </w:r>
    </w:p>
    <w:p>
      <w:pPr>
        <w:spacing w:after="0" w:line="34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7" w:right="239" w:bottom="1440" w:gutter="0" w:footer="0" w:header="0"/>
        </w:sectPr>
      </w:pPr>
    </w:p>
    <w:bookmarkStart w:id="14" w:name="page15"/>
    <w:bookmarkEnd w:id="14"/>
    <w:p>
      <w:pPr>
        <w:jc w:val="both"/>
        <w:ind w:left="2040" w:hanging="300"/>
        <w:spacing w:after="0" w:line="286" w:lineRule="auto"/>
        <w:tabs>
          <w:tab w:leader="none" w:pos="204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Issuance of Convertible Securities</w:t>
      </w:r>
      <w:r>
        <w:rPr>
          <w:rFonts w:ascii="Arial" w:cs="Arial" w:eastAsia="Arial" w:hAnsi="Arial"/>
          <w:sz w:val="16"/>
          <w:szCs w:val="16"/>
          <w:color w:val="auto"/>
        </w:rPr>
        <w:t>. If the Corporation in any manner issues or sells any Convertible Securities and the lowest price per share for which one share of Common Stock is issuable upon such conversion or exchange or exercise thereof is less than the Applicable Price, then all shares of Common Stock issuable upon conversion of such Convertible Securities shall be deemed to be outstanding and to have been issued and sold by the Corporation at the time of the issuance or sale of such Convertible Securities for such price per share. For the purposes of this Section 7.3(a)(ii), the “lowest price per share for which one share of Common Stock is issuable upon such conversion or exchange or exercise” shall be equal to the sum of the lowest amount s of consideration (if any) received or receivable by the Corporation with respect to any one share of Common Stock upon the issuance or sale of the Convertible Security and upon the conversion or exchange or exercise of such Convertible Security. No further adjustment of the Conversion Price shall be made upon the actual issuance of such share of Common Stock upon conversion or exchange or exercise of such Convertible Securities, and if any such issue or sale of such Convertible Securities is made upon exercise of any Options for which adjustment of the Conversion Price had been or are to be made pursuant to other provisions of this Section 7(a), no further adjustment of the Conversion Price shall be made by reason of such issue or sale.</w:t>
      </w:r>
    </w:p>
    <w:p>
      <w:pPr>
        <w:spacing w:after="0" w:line="198" w:lineRule="exact"/>
        <w:rPr>
          <w:rFonts w:ascii="Arial" w:cs="Arial" w:eastAsia="Arial" w:hAnsi="Arial"/>
          <w:sz w:val="16"/>
          <w:szCs w:val="16"/>
          <w:color w:val="auto"/>
        </w:rPr>
      </w:pPr>
    </w:p>
    <w:p>
      <w:pPr>
        <w:jc w:val="both"/>
        <w:ind w:left="2040" w:hanging="350"/>
        <w:spacing w:after="0" w:line="269" w:lineRule="auto"/>
        <w:tabs>
          <w:tab w:leader="none" w:pos="204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Change in Option Price or Rate of Conversion</w:t>
      </w:r>
      <w:r>
        <w:rPr>
          <w:rFonts w:ascii="Arial" w:cs="Arial" w:eastAsia="Arial" w:hAnsi="Arial"/>
          <w:sz w:val="17"/>
          <w:szCs w:val="17"/>
          <w:color w:val="auto"/>
        </w:rPr>
        <w:t>. If the purchase price provided for in any Options, the additional consideration, if any, payable upon the issue, conversion, exchange or exercise of any Convertible Securities, or the rate at which any Convertible Securities are convertible into or exchangeable or exercisable for Common Stock changes at any time, the Conversion Price in effect at the time of such change shall be adjusted to the Conversion Price which would have been in effect at such time had such Options or Convertible Securities provided for such changed purchase price, additional consideration or changed conversion rate, as the case may be, at the time initially granted, issued or sold. For purposes of this Section 7.3(a)(iii), if the terms of an y Option or Convertible Security that was outstanding as of the Subscription Date are changed in the manner described in the immediately preceding sentence, then such Option or Convertible Security and the Common Stock deemed issuable upon exercise, conversion or exchange thereof shall be deemed to have been issued as of the date of such change. No adjustment shall be made if such adjustment would result in an increase of the Conversion Price then in effect.</w:t>
      </w:r>
    </w:p>
    <w:p>
      <w:pPr>
        <w:spacing w:after="0" w:line="35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7" w:right="239" w:bottom="1440" w:gutter="0" w:footer="0" w:header="0"/>
        </w:sectPr>
      </w:pPr>
    </w:p>
    <w:bookmarkStart w:id="15" w:name="page16"/>
    <w:bookmarkEnd w:id="15"/>
    <w:p>
      <w:pPr>
        <w:jc w:val="both"/>
        <w:ind w:left="2040" w:hanging="341"/>
        <w:spacing w:after="0" w:line="268" w:lineRule="auto"/>
        <w:tabs>
          <w:tab w:leader="none" w:pos="204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Calculation of Consideration Received</w:t>
      </w:r>
      <w:r>
        <w:rPr>
          <w:rFonts w:ascii="Arial" w:cs="Arial" w:eastAsia="Arial" w:hAnsi="Arial"/>
          <w:sz w:val="17"/>
          <w:szCs w:val="17"/>
          <w:color w:val="auto"/>
        </w:rPr>
        <w:t>. If any Option is issued in connection with the issue or sale of other securities of the Corporation, together comprising one integrated transaction in which no specific consideration is allocated to such Options by the parties thereto, the Options will be deemed to have been issued for a consideration of $0.01. If any Common Stock, Options or Convertible Securities are issued or sold or deemed to have been issued or sold for cash, the consideration received therefor will be deemed to be the gross amount paid by the purchaser of such Common Stock, Options, or Convertible Securities, before any commissions, discounts, fees or expenses. If any Common Stock, Options or Convertible Securities are issued to the owners of the non-surviving entit y in connection with any merger in which the Corporation is the surviving entity, the amount of consideration therefor will be deemed to be the fair value of such portion of the net assets and business (including goodwill) of the non-surviving entity as is attributable to such Common Stock, Options or Convertible Securities, as the case may be. If any Common Stock, Options or Convertible Securities are issued or sold or deemed to have been issued or sold for non-cash consideration, the consideration received therefore will be deemed to be the fair value of such non-cash consideration as determined in good faith by the Board of Directors of the Corporation.</w:t>
      </w:r>
    </w:p>
    <w:p>
      <w:pPr>
        <w:spacing w:after="0" w:line="212" w:lineRule="exact"/>
        <w:rPr>
          <w:rFonts w:ascii="Arial" w:cs="Arial" w:eastAsia="Arial" w:hAnsi="Arial"/>
          <w:sz w:val="17"/>
          <w:szCs w:val="17"/>
          <w:color w:val="auto"/>
        </w:rPr>
      </w:pPr>
    </w:p>
    <w:p>
      <w:pPr>
        <w:ind w:left="2040" w:hanging="291"/>
        <w:spacing w:after="0"/>
        <w:tabs>
          <w:tab w:leader="none" w:pos="204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Record Date</w:t>
      </w:r>
      <w:r>
        <w:rPr>
          <w:rFonts w:ascii="Arial" w:cs="Arial" w:eastAsia="Arial" w:hAnsi="Arial"/>
          <w:sz w:val="16"/>
          <w:szCs w:val="16"/>
          <w:color w:val="auto"/>
        </w:rPr>
        <w:t>. If the Corporation takes a record of the holders of Common Stock for the purpose of entitling them</w:t>
      </w:r>
    </w:p>
    <w:p>
      <w:pPr>
        <w:spacing w:after="0" w:line="46" w:lineRule="exact"/>
        <w:rPr>
          <w:rFonts w:ascii="Arial" w:cs="Arial" w:eastAsia="Arial" w:hAnsi="Arial"/>
          <w:sz w:val="16"/>
          <w:szCs w:val="16"/>
          <w:color w:val="auto"/>
        </w:rPr>
      </w:pPr>
    </w:p>
    <w:p>
      <w:pPr>
        <w:ind w:left="2340" w:hanging="291"/>
        <w:spacing w:after="0"/>
        <w:tabs>
          <w:tab w:leader="none" w:pos="23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to receive a dividend or other distribution payable in Common Stock, Options or in Convertible Securities or</w:t>
      </w:r>
    </w:p>
    <w:p>
      <w:pPr>
        <w:spacing w:after="0" w:line="32" w:lineRule="exact"/>
        <w:rPr>
          <w:rFonts w:ascii="Arial" w:cs="Arial" w:eastAsia="Arial" w:hAnsi="Arial"/>
          <w:sz w:val="16"/>
          <w:szCs w:val="16"/>
          <w:color w:val="auto"/>
        </w:rPr>
      </w:pPr>
    </w:p>
    <w:p>
      <w:pPr>
        <w:jc w:val="both"/>
        <w:ind w:left="2040" w:firstLine="9"/>
        <w:spacing w:after="0" w:line="254" w:lineRule="auto"/>
        <w:tabs>
          <w:tab w:leader="none" w:pos="2327"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subscribe for or purchase Common Stock, Options or Convertible Securities, then such record date will be deemed to be the date of the issue or sale of the Common Stock deemed to have been issued or sold upon the declaration of such dividend or the making of such other distribution or the date of the granting of such right of subscription or purchase, as the case may be.</w:t>
      </w:r>
    </w:p>
    <w:p>
      <w:pPr>
        <w:spacing w:after="0" w:line="36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7" w:right="239" w:bottom="1440" w:gutter="0" w:footer="0" w:header="0"/>
        </w:sectPr>
      </w:pPr>
    </w:p>
    <w:bookmarkStart w:id="16" w:name="page17"/>
    <w:bookmarkEnd w:id="16"/>
    <w:p>
      <w:pPr>
        <w:jc w:val="both"/>
        <w:ind w:left="1400" w:hanging="299"/>
        <w:spacing w:after="0" w:line="270" w:lineRule="auto"/>
        <w:tabs>
          <w:tab w:leader="none" w:pos="140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Stock Dividends and Splits</w:t>
      </w:r>
      <w:r>
        <w:rPr>
          <w:rFonts w:ascii="Arial" w:cs="Arial" w:eastAsia="Arial" w:hAnsi="Arial"/>
          <w:sz w:val="17"/>
          <w:szCs w:val="17"/>
          <w:color w:val="auto"/>
        </w:rPr>
        <w:t>. If the Corporation, at any time while any Series B Preferred Stock is outstanding, (i) pays a stock dividend on its Common Stock or otherwise makes a distribution on any class of capital stock that is payable in shares of Common Stock, (ii) subdivides outstanding shares of Common Stock into a larger number of shares, or (iii) combines outstanding shares of Common Stock into a smaller number of shares, then in each such case the Conversion Price shall be multiplied by a fraction of which the numerator shall be the number of shares of Common Stock outstanding immediately before such event and of which the denominator shall be the number of shares of Common Stock outstanding immediately after such event. Any adjustment made pursuant to clause (i) of this paragrap h shall become effective immediately after the record date for the determination of stockholders entitled to receive such dividend or distribution, and any adjustment pursuant to clause (ii) or (iii) of this paragraph shall become effective immediately after the effective date of such subdivision or combination.</w:t>
      </w:r>
    </w:p>
    <w:p>
      <w:pPr>
        <w:spacing w:after="0" w:line="204" w:lineRule="exact"/>
        <w:rPr>
          <w:rFonts w:ascii="Arial" w:cs="Arial" w:eastAsia="Arial" w:hAnsi="Arial"/>
          <w:sz w:val="17"/>
          <w:szCs w:val="17"/>
          <w:color w:val="auto"/>
        </w:rPr>
      </w:pPr>
    </w:p>
    <w:p>
      <w:pPr>
        <w:jc w:val="both"/>
        <w:ind w:left="1400" w:hanging="289"/>
        <w:spacing w:after="0" w:line="285" w:lineRule="auto"/>
        <w:tabs>
          <w:tab w:leader="none" w:pos="140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If, at any time while Series B Preferred Stock is outstanding there is a Fundamental Transaction (defined below), then the Holder shall have the right thereafter to receive, upon conversion of Series B Preferred Stock, the same amount and kind of securities, cash or property as it would have been entitled to receive upon the occurrence of such Fundamental Transaction if it had been, immediately prior to such Fundamental Transaction, the holder of the number of shares of Common Stock then issuable upon conversion in full of Series B Preferred Stock held by such Holder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For purposes of any such conversion, the determination of the Conversion Price shall be appropriately adjusted to apply to such Alternate Consideration based on the amount of Alternate Consideration issuable in respect of one share of Common Stock in such Fundamental Transaction, and the Corporation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conversion of Series B Preferred Stock following such Fundamental Transaction. The terms of any agreement pursuant to which a Fundamental Transaction is effected shall include terms requiring any such successor or surviving entity to comply with the provisions of this paragraph (c) and insuring that the Series B Preferred Stock (or any such replacement security) will be similarly adjusted upon any subsequent transaction analogous to a Fundamental Transaction.</w:t>
      </w:r>
    </w:p>
    <w:p>
      <w:pPr>
        <w:spacing w:after="0" w:line="35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7" w:right="239" w:bottom="1440" w:gutter="0" w:footer="0" w:header="0"/>
        </w:sectPr>
      </w:pPr>
    </w:p>
    <w:bookmarkStart w:id="17" w:name="page18"/>
    <w:bookmarkEnd w:id="17"/>
    <w:p>
      <w:pPr>
        <w:jc w:val="both"/>
        <w:ind w:left="1400" w:hanging="299"/>
        <w:spacing w:after="0" w:line="255" w:lineRule="auto"/>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If any event occurs of the type contemplated by the provisions of this Section 7.3 but not expressly provided for by such provisions (including, without limitation, the granting of stock appreciation rights, phantom stock rights or other rights with equity features), then the Corporation’s Board of Directors in good faith will make an appropriate adjustment in the Conversion Price so as to be equitable under the circumstances and otherwise protect the rights of the Holders; provided that no such adjustment will increase the Conversion Price as otherwise determined pursuant to this Section 7.3.</w:t>
      </w:r>
    </w:p>
    <w:p>
      <w:pPr>
        <w:spacing w:after="0" w:line="220" w:lineRule="exact"/>
        <w:rPr>
          <w:sz w:val="20"/>
          <w:szCs w:val="20"/>
          <w:color w:val="auto"/>
        </w:rPr>
      </w:pPr>
    </w:p>
    <w:p>
      <w:pPr>
        <w:jc w:val="both"/>
        <w:ind w:left="760" w:hanging="314"/>
        <w:spacing w:after="0" w:line="25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Written Instrument as to Adjustments</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Whenever the Conversion Price is adjusted as herein provided, an officer of the Corporation shall compute the adjusted Conversion Price in accordance with the foregoing provisions and shall prepare a written instrument setting forth such adjusted Conversion Price and showing in detail the facts upon which such adjustment is based, and a copy of such written instrument shall forthwith be mailed to each Holder of record of the Series B Preferred Stock, and made available for inspection by the stockholders of the Corporation.</w:t>
      </w:r>
    </w:p>
    <w:p>
      <w:pPr>
        <w:spacing w:after="0" w:line="215" w:lineRule="exact"/>
        <w:rPr>
          <w:sz w:val="20"/>
          <w:szCs w:val="20"/>
          <w:color w:val="auto"/>
        </w:rPr>
      </w:pPr>
    </w:p>
    <w:p>
      <w:pPr>
        <w:jc w:val="both"/>
        <w:ind w:left="760" w:hanging="314"/>
        <w:spacing w:after="0" w:line="297"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Reservation of Common Stock</w:t>
      </w:r>
      <w:r>
        <w:rPr>
          <w:rFonts w:ascii="Arial" w:cs="Arial" w:eastAsia="Arial" w:hAnsi="Arial"/>
          <w:sz w:val="16"/>
          <w:szCs w:val="16"/>
          <w:color w:val="auto"/>
        </w:rPr>
        <w:t>. The Corporation shall at all times reserve and keep available, free from preemptive rights, out of its authorized but unissued Common Stock, for the purpose of effecting the conversion of the shares of Series B Preferred Stock, an amount of Common Stock equal to one hundred percent (100%) of the aggregate number of shares of Common Stock then deliverable upon the conversion of all shares of Series B Preferred Stock then outstanding, and such shares shall be listed, subject to notice of issuance, on any stock exchange(s) on which outstanding shares of Common Stock may then be listed.</w:t>
      </w:r>
    </w:p>
    <w:p>
      <w:pPr>
        <w:spacing w:after="0" w:line="185" w:lineRule="exact"/>
        <w:rPr>
          <w:sz w:val="20"/>
          <w:szCs w:val="20"/>
          <w:color w:val="auto"/>
        </w:rPr>
      </w:pPr>
    </w:p>
    <w:p>
      <w:pPr>
        <w:jc w:val="both"/>
        <w:ind w:left="760" w:hanging="314"/>
        <w:spacing w:after="0" w:line="293"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Payment of Taxes</w:t>
      </w:r>
      <w:r>
        <w:rPr>
          <w:rFonts w:ascii="Arial" w:cs="Arial" w:eastAsia="Arial" w:hAnsi="Arial"/>
          <w:sz w:val="16"/>
          <w:szCs w:val="16"/>
          <w:color w:val="auto"/>
        </w:rPr>
        <w:t>. The Corporation will pay any and all taxes that may be payable in respect of the issuance or delivery of shares of Common Stock on conversion of shares of Series B Preferred Stock pursuant hereto. The Corporation shall not, however, be required to pay any tax which may be payable in respect of any transfer involved in the issue and delivery of shares of Common Stock in a name other than that in which the shares of Series B Preferred Stock so converted were registered, and no such issue or delivery shall be made unless and until the person requesting such issue has paid to the Corporation the amount of any such tax, or has established, to the satisfaction of the Corporation, that such tax has been paid or is not payable.</w:t>
      </w:r>
    </w:p>
    <w:p>
      <w:pPr>
        <w:spacing w:after="0" w:line="34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7" w:right="23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Ownership Cap and Certain Exercise Restrictions</w:t>
      </w:r>
      <w:r>
        <w:rPr>
          <w:rFonts w:ascii="Arial" w:cs="Arial" w:eastAsia="Arial" w:hAnsi="Arial"/>
          <w:sz w:val="18"/>
          <w:szCs w:val="18"/>
          <w:color w:val="auto"/>
        </w:rPr>
        <w:t>.</w:t>
      </w:r>
    </w:p>
    <w:p>
      <w:pPr>
        <w:spacing w:after="0" w:line="252" w:lineRule="exact"/>
        <w:rPr>
          <w:sz w:val="20"/>
          <w:szCs w:val="20"/>
          <w:color w:val="auto"/>
        </w:rPr>
      </w:pPr>
    </w:p>
    <w:p>
      <w:pPr>
        <w:jc w:val="both"/>
        <w:ind w:left="1400" w:hanging="289"/>
        <w:spacing w:after="0" w:line="270" w:lineRule="auto"/>
        <w:tabs>
          <w:tab w:leader="none" w:pos="14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in this Certification of Designations, at no time may a Holder of this Series B Preferred Stock convert this Series B Preferred Stock to the extent that after giving effect to such conversion, the Holder (together with the Holder’s affiliates) would beneficially own (as determined in accordance with Section 13(d) of the Securities Exchange Act of 1934, as amended, and the rules thereunder) in excess of 4.99% of the number of shares of Common Stock outstanding immediately after giving effect to such conversion; provided, however, that upon a Holder of this Series B Preferred Stock providing the Corporation with sixty-one (61) days notice (the “</w:t>
      </w:r>
      <w:r>
        <w:rPr>
          <w:rFonts w:ascii="Arial" w:cs="Arial" w:eastAsia="Arial" w:hAnsi="Arial"/>
          <w:sz w:val="17"/>
          <w:szCs w:val="17"/>
          <w:u w:val="single" w:color="auto"/>
          <w:color w:val="auto"/>
        </w:rPr>
        <w:t>Waiver Notice</w:t>
      </w:r>
      <w:r>
        <w:rPr>
          <w:rFonts w:ascii="Arial" w:cs="Arial" w:eastAsia="Arial" w:hAnsi="Arial"/>
          <w:sz w:val="17"/>
          <w:szCs w:val="17"/>
          <w:color w:val="auto"/>
        </w:rPr>
        <w:t>”) that such Holder would like to waive this Section 7.7(a) with regard to any or all shares of Common Stock issuable upon conversion of this Series B Preferred Stock, this Section 7.7(a) will be of no force or effect with regard to all or a portion of the Series B Preferred Stock referenced in the Waiver Notice.</w:t>
      </w:r>
    </w:p>
    <w:p>
      <w:pPr>
        <w:spacing w:after="0" w:line="208" w:lineRule="exact"/>
        <w:rPr>
          <w:rFonts w:ascii="Arial" w:cs="Arial" w:eastAsia="Arial" w:hAnsi="Arial"/>
          <w:sz w:val="17"/>
          <w:szCs w:val="17"/>
          <w:color w:val="auto"/>
        </w:rPr>
      </w:pPr>
    </w:p>
    <w:p>
      <w:pPr>
        <w:jc w:val="both"/>
        <w:ind w:left="1400" w:hanging="299"/>
        <w:spacing w:after="0" w:line="270" w:lineRule="auto"/>
        <w:tabs>
          <w:tab w:leader="none" w:pos="14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in this Certificate of Designations, at no time may a Holder of this Series B Preferred Stock convert this Series B Preferred Stock to the extent that after giving effect to such conversion, the Holder (together with the Holder’s affiliates) would beneficially own (as determined in accordance with Section 13(d) of the Securities Exchange Act of 1934, as amended, and the rules thereunder) in excess of 9.99% of the number of shares of Common Stock outstanding immediately after giving effect to such conversion; provided, however that upon a Holder of this Series B Preferred Stock providing the Corporation with a Waiver Notice that such Holder would like to waive this Section 7.7(b) with regard to any or all shares of Common Stock issuable upon conversion of the Series B Preferred St ock, this Section 7.7(b) shall be of no force or effect with regard to those shares of Series B Preferred Stock referenced in the Waiver Notice.</w:t>
      </w:r>
    </w:p>
    <w:p>
      <w:pPr>
        <w:spacing w:after="0" w:line="209" w:lineRule="exact"/>
        <w:rPr>
          <w:sz w:val="20"/>
          <w:szCs w:val="20"/>
          <w:color w:val="auto"/>
        </w:rPr>
      </w:pPr>
    </w:p>
    <w:p>
      <w:pPr>
        <w:jc w:val="both"/>
        <w:ind w:left="760" w:hanging="314"/>
        <w:spacing w:after="0" w:line="276"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No Impairment</w:t>
      </w:r>
      <w:r>
        <w:rPr>
          <w:rFonts w:ascii="Arial" w:cs="Arial" w:eastAsia="Arial" w:hAnsi="Arial"/>
          <w:sz w:val="17"/>
          <w:szCs w:val="17"/>
          <w:color w:val="auto"/>
        </w:rPr>
        <w:t>. The Corporation will not, by amendment of its Certificate of Incorporation or through any reorganization, transfer of assets, consolidation, merger, dissolution, issue or sale of securities or any other voluntary action, avoid or seek to avoid the observance or performance of any of the terms to be observed or performed hereunder by the Corporation, but will at all times in good faith assist in the carrying out of all the provisions of Sections 7.1 through 7.7 and in the taking of all such actions as may be necessary or appropriate in order to protect the conversion rights of the Holders against impairment.</w:t>
      </w:r>
    </w:p>
    <w:p>
      <w:pPr>
        <w:spacing w:after="0" w:line="34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7" w:right="239" w:bottom="1440" w:gutter="0" w:footer="0" w:header="0"/>
        </w:sectPr>
      </w:pPr>
    </w:p>
    <w:bookmarkStart w:id="19" w:name="page20"/>
    <w:bookmarkEnd w:id="19"/>
    <w:p>
      <w:pPr>
        <w:ind w:left="220" w:hanging="220"/>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Other Rights</w:t>
      </w:r>
      <w:r>
        <w:rPr>
          <w:rFonts w:ascii="Arial" w:cs="Arial" w:eastAsia="Arial" w:hAnsi="Arial"/>
          <w:sz w:val="18"/>
          <w:szCs w:val="18"/>
          <w:color w:val="auto"/>
        </w:rPr>
        <w:t>.</w:t>
      </w:r>
    </w:p>
    <w:p>
      <w:pPr>
        <w:spacing w:after="0" w:line="252" w:lineRule="exact"/>
        <w:rPr>
          <w:sz w:val="20"/>
          <w:szCs w:val="20"/>
          <w:color w:val="auto"/>
        </w:rPr>
      </w:pPr>
    </w:p>
    <w:p>
      <w:pPr>
        <w:jc w:val="both"/>
        <w:ind w:left="880" w:hanging="314"/>
        <w:spacing w:after="0" w:line="28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Redemption Right</w:t>
      </w:r>
      <w:r>
        <w:rPr>
          <w:rFonts w:ascii="Arial" w:cs="Arial" w:eastAsia="Arial" w:hAnsi="Arial"/>
          <w:sz w:val="18"/>
          <w:szCs w:val="18"/>
          <w:color w:val="auto"/>
        </w:rPr>
        <w:t>.</w:t>
      </w:r>
      <w:r>
        <w:rPr>
          <w:sz w:val="20"/>
          <w:szCs w:val="20"/>
          <w:color w:val="auto"/>
        </w:rPr>
        <w:t xml:space="preserve"> </w:t>
      </w:r>
      <w:r>
        <w:rPr>
          <w:rFonts w:ascii="Arial" w:cs="Arial" w:eastAsia="Arial" w:hAnsi="Arial"/>
          <w:sz w:val="16"/>
          <w:szCs w:val="16"/>
          <w:color w:val="auto"/>
        </w:rPr>
        <w:t>No sooner than fifteen (15) days nor later than ten (10) days prior to the consummation of a Change of Control, but not prior to the public announcement of such Change of Control, the Corporation shall deliver written notice thereof via facsimile and overnight courier to the Holder (a “</w:t>
      </w:r>
      <w:r>
        <w:rPr>
          <w:rFonts w:ascii="Arial" w:cs="Arial" w:eastAsia="Arial" w:hAnsi="Arial"/>
          <w:sz w:val="16"/>
          <w:szCs w:val="16"/>
          <w:u w:val="single" w:color="auto"/>
          <w:color w:val="auto"/>
        </w:rPr>
        <w:t>Change in Control Notice</w:t>
      </w:r>
      <w:r>
        <w:rPr>
          <w:rFonts w:ascii="Arial" w:cs="Arial" w:eastAsia="Arial" w:hAnsi="Arial"/>
          <w:sz w:val="16"/>
          <w:szCs w:val="16"/>
          <w:color w:val="auto"/>
        </w:rPr>
        <w:t>”). At any time during the period beginning after the Holder’s receipt of a Change of Control Notice and ending ten (10) Trading Days after the consummation of such Change of Control, the Holder may require the Corporation to redeem all or any portion of Series B Preferred Stock held by such Holder by delivering written notice thereof (“</w:t>
      </w:r>
      <w:r>
        <w:rPr>
          <w:rFonts w:ascii="Arial" w:cs="Arial" w:eastAsia="Arial" w:hAnsi="Arial"/>
          <w:sz w:val="16"/>
          <w:szCs w:val="16"/>
          <w:u w:val="single" w:color="auto"/>
          <w:color w:val="auto"/>
        </w:rPr>
        <w:t>Change in Control Redemption Notice</w:t>
      </w:r>
      <w:r>
        <w:rPr>
          <w:rFonts w:ascii="Arial" w:cs="Arial" w:eastAsia="Arial" w:hAnsi="Arial"/>
          <w:sz w:val="16"/>
          <w:szCs w:val="16"/>
          <w:color w:val="auto"/>
        </w:rPr>
        <w:t>”) to the Corporation, which Change of Control Redemption Notice shall indicate the amount the Holder is electing to be redeemed. Each share of Series B Preferred Stock subject to redemption pursuant to this Section 8.1 shall be redeemed by the Corporation in cash at a price equal to one hundred twenty percent (120%) of the Stated Value of the Series B Preferred Stock plus all accrued and unpaid dividends thereon at the time of such request. Redemption of the Series B Preferred Stock under this Section may be made, at the Corporation’s option in</w:t>
      </w:r>
    </w:p>
    <w:p>
      <w:pPr>
        <w:spacing w:after="0" w:line="6" w:lineRule="exact"/>
        <w:rPr>
          <w:sz w:val="20"/>
          <w:szCs w:val="20"/>
          <w:color w:val="auto"/>
        </w:rPr>
      </w:pPr>
    </w:p>
    <w:p>
      <w:pPr>
        <w:jc w:val="both"/>
        <w:ind w:left="880" w:hanging="7"/>
        <w:spacing w:after="0" w:line="270" w:lineRule="auto"/>
        <w:tabs>
          <w:tab w:leader="none" w:pos="1147" w:val="left"/>
        </w:tabs>
        <w:numPr>
          <w:ilvl w:val="0"/>
          <w:numId w:val="18"/>
        </w:numPr>
        <w:rPr>
          <w:rFonts w:ascii="Arial" w:cs="Arial" w:eastAsia="Arial" w:hAnsi="Arial"/>
          <w:sz w:val="17"/>
          <w:szCs w:val="17"/>
          <w:color w:val="auto"/>
        </w:rPr>
      </w:pPr>
      <w:r>
        <w:rPr>
          <w:rFonts w:ascii="Arial" w:cs="Arial" w:eastAsia="Arial" w:hAnsi="Arial"/>
          <w:sz w:val="17"/>
          <w:szCs w:val="17"/>
          <w:color w:val="auto"/>
        </w:rPr>
        <w:t>cash or (b) shares of the Corporation’s Common Stock that are eligible for public resale by the Holder under an effective registration statement covering such shares; provided, however, the Corporation shall not be permitted to issue registered shares of Common Stock as dividend payments in the event that the Market Price is les s than $0.50. The number of shares of Common Stock to be issued as payment in redemption under this Section shall be determined by dividing (i) the total amount of the dividend to be paid in Common Stock by (ii) ninety percent (90%) of the Market Price of the Corporation’s Common Stock for the five (5) days immediately preceding the date of redemption.</w:t>
      </w:r>
    </w:p>
    <w:p>
      <w:pPr>
        <w:spacing w:after="0" w:line="206" w:lineRule="exact"/>
        <w:rPr>
          <w:sz w:val="20"/>
          <w:szCs w:val="20"/>
          <w:color w:val="auto"/>
        </w:rPr>
      </w:pPr>
    </w:p>
    <w:p>
      <w:pPr>
        <w:jc w:val="both"/>
        <w:ind w:left="880" w:hanging="314"/>
        <w:spacing w:after="0" w:line="25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Purchase Rights</w:t>
      </w:r>
      <w:r>
        <w:rPr>
          <w:rFonts w:ascii="Arial" w:cs="Arial" w:eastAsia="Arial" w:hAnsi="Arial"/>
          <w:sz w:val="18"/>
          <w:szCs w:val="18"/>
          <w:color w:val="auto"/>
        </w:rPr>
        <w:t>. If at any time the Corporation grants, issues or sells any Options, Convertible Securities or rights to purchase stock, warrants, securities or other property pro rata to the record holders of any class of Common Stock (the “</w:t>
      </w:r>
      <w:r>
        <w:rPr>
          <w:rFonts w:ascii="Arial" w:cs="Arial" w:eastAsia="Arial" w:hAnsi="Arial"/>
          <w:sz w:val="18"/>
          <w:szCs w:val="18"/>
          <w:u w:val="single" w:color="auto"/>
          <w:color w:val="auto"/>
        </w:rPr>
        <w:t>Purchase Rights</w:t>
      </w:r>
      <w:r>
        <w:rPr>
          <w:rFonts w:ascii="Arial" w:cs="Arial" w:eastAsia="Arial" w:hAnsi="Arial"/>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Series B Preferred Stock (without taking into account any limitations or restrictions on the convertibility of Series B Preferred Stock) immediately before the date on which a record is t aken for the grant, issuance or sale of such Purchase Rights, or, if no such record is taken, the date as of which the record holders of Common Stock are to be determined for the grant, issue or sale of such Purchase Rights.</w:t>
      </w:r>
    </w:p>
    <w:p>
      <w:pPr>
        <w:spacing w:after="0" w:line="219" w:lineRule="exact"/>
        <w:rPr>
          <w:sz w:val="20"/>
          <w:szCs w:val="20"/>
          <w:color w:val="auto"/>
        </w:rPr>
      </w:pPr>
    </w:p>
    <w:p>
      <w:pPr>
        <w:jc w:val="both"/>
        <w:ind w:left="220" w:hanging="220"/>
        <w:spacing w:after="0" w:line="279" w:lineRule="auto"/>
        <w:tabs>
          <w:tab w:leader="none" w:pos="22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Mandatory Conversion or Redemption at Maturity</w:t>
      </w:r>
      <w:r>
        <w:rPr>
          <w:rFonts w:ascii="Arial" w:cs="Arial" w:eastAsia="Arial" w:hAnsi="Arial"/>
          <w:sz w:val="17"/>
          <w:szCs w:val="17"/>
          <w:color w:val="auto"/>
        </w:rPr>
        <w:t>. If any share of Series B Preferred Stock remains outstanding on Maturity Date, then the Corporation shall either, at the option of the Holder: (y) convert each such share at the Conversion Price as of the Maturity Date share without the Holder of such share being required to give a Conversion Notice on such Maturity Date; or (z) redeem each such share of Series B Preferred Stock for an amount in cash equal to its Stated Value plus all accrued and unpaid dividends thereon.</w:t>
      </w:r>
    </w:p>
    <w:p>
      <w:pPr>
        <w:spacing w:after="0" w:line="34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40"/>
          </w:cols>
          <w:pgMar w:left="1320" w:top="517" w:right="239" w:bottom="1440" w:gutter="0" w:footer="0" w:header="0"/>
        </w:sectPr>
      </w:pPr>
    </w:p>
    <w:bookmarkStart w:id="20" w:name="page21"/>
    <w:bookmarkEnd w:id="20"/>
    <w:p>
      <w:pPr>
        <w:jc w:val="both"/>
        <w:ind w:left="310" w:hanging="310"/>
        <w:spacing w:after="0" w:line="291" w:lineRule="auto"/>
        <w:tabs>
          <w:tab w:leader="none" w:pos="31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Required Holder Approvals</w:t>
      </w:r>
      <w:r>
        <w:rPr>
          <w:rFonts w:ascii="Arial" w:cs="Arial" w:eastAsia="Arial" w:hAnsi="Arial"/>
          <w:sz w:val="16"/>
          <w:szCs w:val="16"/>
          <w:color w:val="auto"/>
        </w:rPr>
        <w:t>. So long as any shares of Series B Preferred Stock are outstanding, the Corporation shall not, without first obtaining the approval (by vote or written consent) of the Holders of a majority of the then outstanding shares of Series B Preferred Stock:</w:t>
      </w:r>
    </w:p>
    <w:p>
      <w:pPr>
        <w:jc w:val="both"/>
        <w:ind w:left="310"/>
        <w:spacing w:after="0" w:line="254" w:lineRule="auto"/>
        <w:rPr>
          <w:rFonts w:ascii="Arial" w:cs="Arial" w:eastAsia="Arial" w:hAnsi="Arial"/>
          <w:sz w:val="16"/>
          <w:szCs w:val="16"/>
          <w:color w:val="auto"/>
        </w:rPr>
      </w:pPr>
      <w:r>
        <w:rPr>
          <w:rFonts w:ascii="Arial" w:cs="Arial" w:eastAsia="Arial" w:hAnsi="Arial"/>
          <w:sz w:val="18"/>
          <w:szCs w:val="18"/>
          <w:color w:val="auto"/>
        </w:rPr>
        <w:t>(a) amend the rights, preferences or privileges of the Series B Preferred Stock set forth in this Certificate of Designation, (b), amend or waive any provision of its Certificate of Incorporation in a manner that would alter the rights, preferences or privileges of the Series B Preferred Stock, (c) create or issue any Senior Securities or Pari Passu Securities, or (d) enter into any agreement with respect to the foregoing clauses (a) through (c).</w:t>
      </w:r>
    </w:p>
    <w:p>
      <w:pPr>
        <w:spacing w:after="0" w:line="216" w:lineRule="exact"/>
        <w:rPr>
          <w:rFonts w:ascii="Arial" w:cs="Arial" w:eastAsia="Arial" w:hAnsi="Arial"/>
          <w:sz w:val="16"/>
          <w:szCs w:val="16"/>
          <w:color w:val="auto"/>
        </w:rPr>
      </w:pPr>
    </w:p>
    <w:p>
      <w:pPr>
        <w:jc w:val="both"/>
        <w:ind w:left="310" w:hanging="304"/>
        <w:spacing w:after="0" w:line="271" w:lineRule="auto"/>
        <w:tabs>
          <w:tab w:leader="none" w:pos="31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Notice of Corporate Events</w:t>
      </w:r>
      <w:r>
        <w:rPr>
          <w:rFonts w:ascii="Arial" w:cs="Arial" w:eastAsia="Arial" w:hAnsi="Arial"/>
          <w:sz w:val="17"/>
          <w:szCs w:val="17"/>
          <w:color w:val="auto"/>
        </w:rPr>
        <w:t>. If the Corporation (i) declares a dividend or any other distribution of cash, securities or other property in respect of its Common Stock, including without limitation any granting of rights or warrants to subscribe for or purchase any capital stock of the Corporation, (ii) authorizes or approves, enters into any agreement contemplating or solicits stockholder approval for any transaction or (iii) authorizes the voluntary dissolution, liquidation or winding up of the affairs of the Corporation, then the Corporation shall deliver to the Holders a notice describing the material terms and conditions of such transaction, at least 10 calendar days prior to the applicable record or effective date on which Common Stock would need to be owned in order to pa rticipate in or vote with respect to such transaction, and the Corporation will take all steps reasonably necessary in order to insure that the Holder is given the practical opportunity to convert its Series B Preferred Stock prior to such time so as to participate in or vote with respect to such transaction.</w:t>
      </w:r>
    </w:p>
    <w:p>
      <w:pPr>
        <w:spacing w:after="0" w:line="205" w:lineRule="exact"/>
        <w:rPr>
          <w:rFonts w:ascii="Arial" w:cs="Arial" w:eastAsia="Arial" w:hAnsi="Arial"/>
          <w:sz w:val="17"/>
          <w:szCs w:val="17"/>
          <w:color w:val="auto"/>
        </w:rPr>
      </w:pPr>
    </w:p>
    <w:p>
      <w:pPr>
        <w:jc w:val="both"/>
        <w:ind w:left="310" w:hanging="310"/>
        <w:spacing w:after="0" w:line="264" w:lineRule="auto"/>
        <w:tabs>
          <w:tab w:leader="none" w:pos="31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Exclusion of Other Rights</w:t>
      </w:r>
      <w:r>
        <w:rPr>
          <w:rFonts w:ascii="Arial" w:cs="Arial" w:eastAsia="Arial" w:hAnsi="Arial"/>
          <w:sz w:val="18"/>
          <w:szCs w:val="18"/>
          <w:color w:val="auto"/>
        </w:rPr>
        <w:t>. Except as may otherwise be required by law, the shares of Series B Preferred Stock shall not have any preferences or relative, participating, optional or other special rights other than those specifically set forth in this resolution and in the Certificate of Incorporation, as amended.</w:t>
      </w:r>
    </w:p>
    <w:p>
      <w:pPr>
        <w:spacing w:after="0" w:line="208" w:lineRule="exact"/>
        <w:rPr>
          <w:rFonts w:ascii="Arial" w:cs="Arial" w:eastAsia="Arial" w:hAnsi="Arial"/>
          <w:sz w:val="18"/>
          <w:szCs w:val="18"/>
          <w:color w:val="auto"/>
        </w:rPr>
      </w:pPr>
    </w:p>
    <w:p>
      <w:pPr>
        <w:jc w:val="both"/>
        <w:ind w:left="310" w:hanging="310"/>
        <w:spacing w:after="0" w:line="259" w:lineRule="auto"/>
        <w:tabs>
          <w:tab w:leader="none" w:pos="31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Status of Series B Preferred Stock Reacquired</w:t>
      </w:r>
      <w:r>
        <w:rPr>
          <w:rFonts w:ascii="Arial" w:cs="Arial" w:eastAsia="Arial" w:hAnsi="Arial"/>
          <w:sz w:val="18"/>
          <w:szCs w:val="18"/>
          <w:color w:val="auto"/>
        </w:rPr>
        <w:t>. Shares of Series B Preferred Stock, which have been issued and reacquired in any manner shall (upon compliance with applicable provisions of the laws of the State of Nevada), be deemed to be canceled and have the status of authorized and unissued shares of the class of Preferred Stock issuable in series undesignated as to series and may be redesignated and reissued.</w:t>
      </w:r>
    </w:p>
    <w:p>
      <w:pPr>
        <w:spacing w:after="0" w:line="213" w:lineRule="exact"/>
        <w:rPr>
          <w:rFonts w:ascii="Arial" w:cs="Arial" w:eastAsia="Arial" w:hAnsi="Arial"/>
          <w:sz w:val="18"/>
          <w:szCs w:val="18"/>
          <w:color w:val="auto"/>
        </w:rPr>
      </w:pPr>
    </w:p>
    <w:p>
      <w:pPr>
        <w:jc w:val="both"/>
        <w:ind w:left="310" w:hanging="310"/>
        <w:spacing w:after="0" w:line="257" w:lineRule="auto"/>
        <w:tabs>
          <w:tab w:leader="none" w:pos="31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 If any right, preference or limitation of the Series B Preferred Stock set forth in this resolution is invalid, unlawful, or incapable of being enforced by reason of any rule of law or public policy, all other rights, preferences and limitations set forth in this resolution which can be given effect without the invalid, unlawful or unenforceable right, preference or limitation shall, nevertheless, remain in full force and effect, and no right, preference or limitation herein set forth shall be deemed dependent upon any other such right, preference or limitation unless so expressed herein.</w:t>
      </w:r>
    </w:p>
    <w:p>
      <w:pPr>
        <w:spacing w:after="0" w:line="364" w:lineRule="exact"/>
        <w:rPr>
          <w:sz w:val="20"/>
          <w:szCs w:val="20"/>
          <w:color w:val="auto"/>
        </w:rPr>
      </w:pPr>
    </w:p>
    <w:p>
      <w:pPr>
        <w:ind w:left="463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30"/>
          </w:cols>
          <w:pgMar w:left="1230" w:top="517" w:right="239" w:bottom="1440" w:gutter="0" w:footer="0" w:header="0"/>
        </w:sectPr>
      </w:pPr>
    </w:p>
    <w:bookmarkStart w:id="21" w:name="page22"/>
    <w:bookmarkEnd w:id="21"/>
    <w:p>
      <w:pPr>
        <w:ind w:left="310" w:hanging="310"/>
        <w:spacing w:after="0" w:line="277" w:lineRule="auto"/>
        <w:tabs>
          <w:tab w:leader="none" w:pos="31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Headings of Subdivisions</w:t>
      </w:r>
      <w:r>
        <w:rPr>
          <w:rFonts w:ascii="Arial" w:cs="Arial" w:eastAsia="Arial" w:hAnsi="Arial"/>
          <w:sz w:val="18"/>
          <w:szCs w:val="18"/>
          <w:color w:val="auto"/>
        </w:rPr>
        <w:t>. The headings of the various subdivisions hereof are for convenience of reference only and shall not affect the interpretation of any of the provisions hereof.</w:t>
      </w:r>
    </w:p>
    <w:p>
      <w:pPr>
        <w:spacing w:after="0" w:line="197" w:lineRule="exact"/>
        <w:rPr>
          <w:rFonts w:ascii="Arial" w:cs="Arial" w:eastAsia="Arial" w:hAnsi="Arial"/>
          <w:sz w:val="18"/>
          <w:szCs w:val="18"/>
          <w:color w:val="auto"/>
        </w:rPr>
      </w:pPr>
    </w:p>
    <w:p>
      <w:pPr>
        <w:ind w:left="310" w:hanging="310"/>
        <w:spacing w:after="0"/>
        <w:tabs>
          <w:tab w:leader="none" w:pos="31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the following terms shall have the following meanings:</w:t>
      </w:r>
    </w:p>
    <w:p>
      <w:pPr>
        <w:spacing w:after="0" w:line="252" w:lineRule="exact"/>
        <w:rPr>
          <w:sz w:val="20"/>
          <w:szCs w:val="20"/>
          <w:color w:val="auto"/>
        </w:rPr>
      </w:pPr>
    </w:p>
    <w:p>
      <w:pPr>
        <w:jc w:val="both"/>
        <w:ind w:left="47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Stock Plan</w:t>
      </w:r>
      <w:r>
        <w:rPr>
          <w:rFonts w:ascii="Arial" w:cs="Arial" w:eastAsia="Arial" w:hAnsi="Arial"/>
          <w:sz w:val="18"/>
          <w:szCs w:val="18"/>
          <w:color w:val="auto"/>
        </w:rPr>
        <w:t>” means any employee benefit plan which has been approved by the Board of Directors of the Corporation, pursuant to which the Corporation’s securities may be issued to any employee, consultant, officer or director for services provided to the Corporation.</w:t>
      </w:r>
    </w:p>
    <w:p>
      <w:pPr>
        <w:spacing w:after="0" w:line="208" w:lineRule="exact"/>
        <w:rPr>
          <w:sz w:val="20"/>
          <w:szCs w:val="20"/>
          <w:color w:val="auto"/>
        </w:rPr>
      </w:pPr>
    </w:p>
    <w:p>
      <w:pPr>
        <w:jc w:val="both"/>
        <w:ind w:left="47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any Fundamental Transaction other than (i) any reorganization, recapitalization or reclassification of the Common Stock in which holders of the Corporation’s voting power immediately prior to such reorganization, recapitalization or reclassification continue after such reorganization, recapitalization or reclassification to hold publicly traded securities and, directly or indirectly, the voting power of the surviving entity or entities necessary to elect a majority of the members of the board of directors (or their equivalent if other than a corporation) of such entity or entities, or (ii) pursuant to a migratory merger effected solely for the purpose of changing the jurisdiction of incorporation of the Corporation.&lt; /font&gt;</w:t>
      </w:r>
    </w:p>
    <w:p>
      <w:pPr>
        <w:spacing w:after="0" w:line="178" w:lineRule="exact"/>
        <w:rPr>
          <w:sz w:val="20"/>
          <w:szCs w:val="20"/>
          <w:color w:val="auto"/>
        </w:rPr>
      </w:pPr>
    </w:p>
    <w:p>
      <w:pPr>
        <w:jc w:val="both"/>
        <w:ind w:left="47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Securities</w:t>
      </w:r>
      <w:r>
        <w:rPr>
          <w:rFonts w:ascii="Arial" w:cs="Arial" w:eastAsia="Arial" w:hAnsi="Arial"/>
          <w:sz w:val="18"/>
          <w:szCs w:val="18"/>
          <w:color w:val="auto"/>
        </w:rPr>
        <w:t>” means any stock or other securities (other than Options) directly or indirectly convertible into or exercisable or exchangeable for shares of Common Stock.</w:t>
      </w:r>
    </w:p>
    <w:p>
      <w:pPr>
        <w:spacing w:after="0" w:line="170" w:lineRule="exact"/>
        <w:rPr>
          <w:sz w:val="20"/>
          <w:szCs w:val="20"/>
          <w:color w:val="auto"/>
        </w:rPr>
      </w:pPr>
    </w:p>
    <w:p>
      <w:pPr>
        <w:jc w:val="both"/>
        <w:ind w:left="47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Market</w:t>
      </w:r>
      <w:r>
        <w:rPr>
          <w:rFonts w:ascii="Arial" w:cs="Arial" w:eastAsia="Arial" w:hAnsi="Arial"/>
          <w:sz w:val="18"/>
          <w:szCs w:val="18"/>
          <w:color w:val="auto"/>
        </w:rPr>
        <w:t>” means, The New York Stock Exchange, Inc., the Nasdaq Capital Market, the Nasdaq Global Market or the American Stock Exchange.</w:t>
      </w:r>
    </w:p>
    <w:p>
      <w:pPr>
        <w:spacing w:after="0" w:line="170" w:lineRule="exact"/>
        <w:rPr>
          <w:sz w:val="20"/>
          <w:szCs w:val="20"/>
          <w:color w:val="auto"/>
        </w:rPr>
      </w:pPr>
    </w:p>
    <w:p>
      <w:pPr>
        <w:jc w:val="both"/>
        <w:ind w:left="47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Issuance</w:t>
      </w:r>
      <w:r>
        <w:rPr>
          <w:rFonts w:ascii="Arial" w:cs="Arial" w:eastAsia="Arial" w:hAnsi="Arial"/>
          <w:sz w:val="16"/>
          <w:szCs w:val="16"/>
          <w:color w:val="auto"/>
        </w:rPr>
        <w:t>” means the issuance by the Corporation of the following: (i) shares of Common Stock or Options issued or issuable in connection with any Approved Stock Plan, provided that the aggregate amount of Common Stock and Options issued and issuable under all such plans does not exceed ten percent (10%) of the then outstanding shares of Common Stock of the Corporation; (ii) shares of Common Stock issued upon conversion or exercise of any Options or Convertible Securities that are outstanding on the day immediately preceding the Issuance Date, provided that the terms of such Options or Convertible Securities are not amended, modified or changed on or after the Issuance Date to lower the conversion or exercise price thereof and so long as the n umber of shares of Common Stock underlying such securities is not otherwise increased; and (iii) shares of Common Stock issued in an underwritten public offering in which the gross cash proceeds to the Corporation (before underwriting discounts, commissions and fees) are at least $10,000,000.</w:t>
      </w:r>
    </w:p>
    <w:p>
      <w:pPr>
        <w:spacing w:after="0" w:line="315" w:lineRule="exact"/>
        <w:rPr>
          <w:sz w:val="20"/>
          <w:szCs w:val="20"/>
          <w:color w:val="auto"/>
        </w:rPr>
      </w:pPr>
    </w:p>
    <w:p>
      <w:pPr>
        <w:ind w:left="463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73025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30"/>
          </w:cols>
          <w:pgMar w:left="1230" w:top="517" w:right="239" w:bottom="1440" w:gutter="0" w:footer="0" w:header="0"/>
        </w:sectPr>
      </w:pPr>
    </w:p>
    <w:bookmarkStart w:id="22" w:name="page23"/>
    <w:bookmarkEnd w:id="22"/>
    <w:p>
      <w:pPr>
        <w:ind w:left="2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Fundamental Transaction</w:t>
      </w:r>
      <w:r>
        <w:rPr>
          <w:rFonts w:ascii="Arial" w:cs="Arial" w:eastAsia="Arial" w:hAnsi="Arial"/>
          <w:sz w:val="17"/>
          <w:szCs w:val="17"/>
          <w:color w:val="auto"/>
        </w:rPr>
        <w:t>” means that the Corporation shall, directly or indirectly, in one or more related transactions,</w:t>
      </w:r>
    </w:p>
    <w:p>
      <w:pPr>
        <w:spacing w:after="0" w:line="35" w:lineRule="exact"/>
        <w:rPr>
          <w:sz w:val="20"/>
          <w:szCs w:val="20"/>
          <w:color w:val="auto"/>
        </w:rPr>
      </w:pPr>
    </w:p>
    <w:p>
      <w:pPr>
        <w:jc w:val="both"/>
        <w:ind w:left="1460" w:firstLine="7"/>
        <w:spacing w:after="0" w:line="265" w:lineRule="auto"/>
        <w:tabs>
          <w:tab w:leader="none" w:pos="1695"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consolidate or merge with or into (whether or not the Corporation is the surviving corporation) another Person, or (ii) sell, assign, transfer, convey or otherwise dispose of all or substantially all of the properties or assets of the Corporation to another Person, or</w:t>
      </w:r>
    </w:p>
    <w:p>
      <w:pPr>
        <w:jc w:val="both"/>
        <w:ind w:left="1460" w:firstLine="7"/>
        <w:spacing w:after="0" w:line="268" w:lineRule="auto"/>
        <w:tabs>
          <w:tab w:leader="none" w:pos="1775"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allow another Person or Persons to make a purchase, tender or exchange offer that is accepted by the holders of more than the 50% of the outstanding shares of Voting Stock (not including any shares of Voting Stock held by the Person or Persons making or party to, or associated or affiliated with the Person or Persons making or party to, such purchase, tender or exchange offer), or (iv) consummate a stock purchase agreement or other business combination (including, without limitation, a reorganization, recapitalization, spin-off or scheme of arrangement) with another Person whereby such other Person acquires more than the 50% of either the outstanding shares of Voting Stock (not including any shares of Voting Stock held by the other Person or other Persons making or party to, or associated or affiliated with the other Persons making or party to, such stock purchase agreement or other business combination), (v) reorganize, recapitalize or reclassify its Common Stock or (vi) any “person” or “group” (as these terms are used for purposes of Sections 13(d) and 14(d) of the Exchange Act) is or shall become the “beneficial owner” (as defined in Rule 13d-3 under the Exchange Act), directly or indirectly, of 50% of the aggregate Voting Stock of the Corporation.</w:t>
      </w:r>
    </w:p>
    <w:p>
      <w:pPr>
        <w:spacing w:after="0" w:line="180"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Options</w:t>
      </w:r>
      <w:r>
        <w:rPr>
          <w:rFonts w:ascii="Arial" w:cs="Arial" w:eastAsia="Arial" w:hAnsi="Arial"/>
          <w:sz w:val="16"/>
          <w:szCs w:val="16"/>
          <w:color w:val="auto"/>
        </w:rPr>
        <w:t>” means any rights, warrants or options to subscribe for or purchase shares of Common Stock or Convertible Securities.</w:t>
      </w:r>
    </w:p>
    <w:p>
      <w:pPr>
        <w:spacing w:after="0" w:line="248" w:lineRule="exact"/>
        <w:rPr>
          <w:sz w:val="20"/>
          <w:szCs w:val="20"/>
          <w:color w:val="auto"/>
        </w:rPr>
      </w:pPr>
    </w:p>
    <w:p>
      <w:pPr>
        <w:jc w:val="both"/>
        <w:ind w:left="1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limited liability Corporation, a partnership, a joint venture, a corporation, a trust, an unincorporated organization, any other entity and a government or any department or agency thereof.</w:t>
      </w:r>
    </w:p>
    <w:p>
      <w:pPr>
        <w:spacing w:after="0" w:line="170" w:lineRule="exact"/>
        <w:rPr>
          <w:sz w:val="20"/>
          <w:szCs w:val="20"/>
          <w:color w:val="auto"/>
        </w:rPr>
      </w:pPr>
    </w:p>
    <w:p>
      <w:pPr>
        <w:jc w:val="both"/>
        <w:ind w:left="1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any day on which the Common Stock is traded on the principal securities exchange or securities market on which the Common Stock is then traded.</w:t>
      </w:r>
    </w:p>
    <w:p>
      <w:pPr>
        <w:spacing w:after="0" w:line="170" w:lineRule="exact"/>
        <w:rPr>
          <w:sz w:val="20"/>
          <w:szCs w:val="20"/>
          <w:color w:val="auto"/>
        </w:rPr>
      </w:pPr>
    </w:p>
    <w:p>
      <w:pPr>
        <w:jc w:val="both"/>
        <w:ind w:left="14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Corporation has caused this Certificate of Designation to be signed by its duly authorized officer this 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day of June, 2010.</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/s/ H. David Lester</w:t>
            </w:r>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1900" w:type="dxa"/>
            <w:vAlign w:val="bottom"/>
            <w:gridSpan w:val="3"/>
          </w:tcPr>
          <w:p>
            <w:pPr>
              <w:ind w:left="180"/>
              <w:spacing w:after="0"/>
              <w:rPr>
                <w:sz w:val="20"/>
                <w:szCs w:val="20"/>
                <w:color w:val="auto"/>
              </w:rPr>
            </w:pPr>
            <w:r>
              <w:rPr>
                <w:rFonts w:ascii="Arial" w:cs="Arial" w:eastAsia="Arial" w:hAnsi="Arial"/>
                <w:sz w:val="18"/>
                <w:szCs w:val="18"/>
                <w:color w:val="auto"/>
              </w:rPr>
              <w:t>H. David Lester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1900" w:type="dxa"/>
            <w:vAlign w:val="bottom"/>
            <w:gridSpan w:val="3"/>
          </w:tcPr>
          <w:p>
            <w:pPr>
              <w:ind w:left="180"/>
              <w:spacing w:after="0"/>
              <w:rPr>
                <w:sz w:val="20"/>
                <w:szCs w:val="20"/>
                <w:color w:val="auto"/>
              </w:rPr>
            </w:pPr>
            <w:r>
              <w:rPr>
                <w:rFonts w:ascii="Arial" w:cs="Arial" w:eastAsia="Arial" w:hAnsi="Arial"/>
                <w:sz w:val="18"/>
                <w:szCs w:val="18"/>
                <w:color w:val="auto"/>
                <w:w w:val="92"/>
              </w:rPr>
              <w:t>Chief Executive Officer</w:t>
            </w: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u w:val="single" w:color="auto"/>
          <w:color w:val="auto"/>
        </w:rPr>
        <w:t>EXHIBIT 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CONVERSION NOTICE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Reference is made to the Certificate of Designation Designating the Series B Preferred Stock of OPTIMIZERx Corporation (the “</w:t>
      </w:r>
      <w:r>
        <w:rPr>
          <w:rFonts w:ascii="Arial" w:cs="Arial" w:eastAsia="Arial" w:hAnsi="Arial"/>
          <w:sz w:val="18"/>
          <w:szCs w:val="18"/>
          <w:u w:val="single" w:color="auto"/>
          <w:color w:val="auto"/>
        </w:rPr>
        <w:t>Certificate of Designation</w:t>
      </w:r>
      <w:r>
        <w:rPr>
          <w:rFonts w:ascii="Arial" w:cs="Arial" w:eastAsia="Arial" w:hAnsi="Arial"/>
          <w:sz w:val="18"/>
          <w:szCs w:val="18"/>
          <w:color w:val="auto"/>
        </w:rPr>
        <w:t>”). In accordance with and pursuant to the Certificate of Designation, the undersigned hereby elects to convert the number of shares of Series B Preferred Stock, par value $.001 per share (the “</w:t>
      </w:r>
      <w:r>
        <w:rPr>
          <w:rFonts w:ascii="Arial" w:cs="Arial" w:eastAsia="Arial" w:hAnsi="Arial"/>
          <w:sz w:val="18"/>
          <w:szCs w:val="18"/>
          <w:u w:val="single" w:color="auto"/>
          <w:color w:val="auto"/>
        </w:rPr>
        <w:t>Preferred Stock</w:t>
      </w:r>
      <w:r>
        <w:rPr>
          <w:rFonts w:ascii="Arial" w:cs="Arial" w:eastAsia="Arial" w:hAnsi="Arial"/>
          <w:sz w:val="18"/>
          <w:szCs w:val="18"/>
          <w:color w:val="auto"/>
        </w:rPr>
        <w:t>”), of OPTIMIZERx Corporation, a Nevada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indicated below into shares of Common Stock, par value $.001 per share (the “Common Stock”), of the Corporation, by tendering the stock certificate(s) representing the share(s) of Preferred Stock specified below as of the date specified below.</w:t>
      </w:r>
    </w:p>
    <w:p>
      <w:pPr>
        <w:spacing w:after="0" w:line="200" w:lineRule="exact"/>
        <w:rPr>
          <w:sz w:val="20"/>
          <w:szCs w:val="20"/>
          <w:color w:val="auto"/>
        </w:rPr>
      </w:pPr>
    </w:p>
    <w:p>
      <w:pPr>
        <w:spacing w:after="0" w:line="204" w:lineRule="exact"/>
        <w:rPr>
          <w:sz w:val="20"/>
          <w:szCs w:val="20"/>
          <w:color w:val="auto"/>
        </w:rPr>
      </w:pPr>
    </w:p>
    <w:p>
      <w:pPr>
        <w:spacing w:after="0"/>
        <w:tabs>
          <w:tab w:leader="none" w:pos="8060" w:val="left"/>
        </w:tabs>
        <w:rPr>
          <w:sz w:val="20"/>
          <w:szCs w:val="20"/>
          <w:color w:val="auto"/>
        </w:rPr>
      </w:pPr>
      <w:r>
        <w:rPr>
          <w:rFonts w:ascii="Arial" w:cs="Arial" w:eastAsia="Arial" w:hAnsi="Arial"/>
          <w:sz w:val="18"/>
          <w:szCs w:val="18"/>
          <w:color w:val="auto"/>
        </w:rPr>
        <w:t>Date to effect conversion:</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Preferred Stock owned prior to conversion: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Preferred Stock to be converted: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Stated Value of shares of Preferred Stock to be converted: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Applicable Conversion Price: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to be issued: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Preferred Stock owned subsequent to conversion: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4" w:name="page25"/>
    <w:bookmarkEnd w:id="2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jc w:val="both"/>
        <w:spacing w:after="0" w:line="255" w:lineRule="auto"/>
        <w:rPr>
          <w:sz w:val="20"/>
          <w:szCs w:val="20"/>
          <w:color w:val="auto"/>
        </w:rPr>
      </w:pPr>
      <w:r>
        <w:rPr>
          <w:rFonts w:ascii="Arial" w:cs="Arial" w:eastAsia="Arial" w:hAnsi="Arial"/>
          <w:sz w:val="18"/>
          <w:szCs w:val="18"/>
          <w:b w:val="1"/>
          <w:bCs w:val="1"/>
          <w:color w:val="auto"/>
        </w:rPr>
        <w:t>NEITHER THE ISSUANCE AND SALE OF THE SECURITIES REPRESENTED BY THIS WARRANT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IN A FORM REASONABLY ACCEPTABLE TO THE COMPANY, THAT REGISTRATION IS NOT REQUIRED UNDER SAID ACT OR (II) UNLESS SOLD PURSUANT TO RULE 144 OR RULE 144A UNDER SAID ACT. NOTWITHSTANDING THE FOREGOING, THE SECURITIES MAY BE PLEDGED IN CONNECTION WITH A BONA FIDE MARGIN ACCOUNT OR OTHER LOAN OR FINANCING ARRANGEMENT SECU RED BY THE SECURITIES.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 TO PURCHASE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Expires June 4,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W-B-01 Number of Shares: 3,000,000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June 4, 2010</w:t>
      </w:r>
    </w:p>
    <w:p>
      <w:pPr>
        <w:spacing w:after="0" w:line="2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FOR VALUE RECEIVED, the undersigned, OptimizeRx Corporation, a Nevada corporation (together with its successors and assigns, the “</w:t>
      </w:r>
      <w:r>
        <w:rPr>
          <w:rFonts w:ascii="Arial" w:cs="Arial" w:eastAsia="Arial" w:hAnsi="Arial"/>
          <w:sz w:val="16"/>
          <w:szCs w:val="16"/>
          <w:u w:val="single" w:color="auto"/>
          <w:color w:val="auto"/>
        </w:rPr>
        <w:t>Company</w:t>
      </w:r>
      <w:r>
        <w:rPr>
          <w:rFonts w:ascii="Arial" w:cs="Arial" w:eastAsia="Arial" w:hAnsi="Arial"/>
          <w:sz w:val="16"/>
          <w:szCs w:val="16"/>
          <w:color w:val="auto"/>
        </w:rPr>
        <w:t>”), hereby certifies that Vicis Capital Master Fund or its registered assigns is entitled to subscribe for and purchase, during the Term (as hereinafter defined), up to Three Million (3,000,000) shares (subject to adjustment as hereinafter provided) of the duly authorized, validly issued, fully paid and non-assessable Common Stock of the Company,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at an exercise price per share equal to the Warrant Price then in effect, subject, however, to the provisions and upon the terms and conditions hereinafter se t forth. This Warrant has been executed and delivered pursuant to the Securities Purchase Agreement dated as of June 4, 2010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by and among the Company and the purchaser(s) listed therein. Capitalized terms used and not otherwise defined herein shall have the meanings set forth for such terms in the Purchase Agreement. Capitalized terms used in this Warrant and not otherwise defined herein shall have the respective meanings specified in Section 8 hereof.</w:t>
      </w:r>
    </w:p>
    <w:p>
      <w:pPr>
        <w:spacing w:after="0" w:line="166" w:lineRule="exact"/>
        <w:rPr>
          <w:sz w:val="20"/>
          <w:szCs w:val="20"/>
          <w:color w:val="auto"/>
        </w:rPr>
      </w:pPr>
    </w:p>
    <w:p>
      <w:pPr>
        <w:ind w:right="280" w:firstLine="656"/>
        <w:spacing w:after="0" w:line="277" w:lineRule="auto"/>
        <w:tabs>
          <w:tab w:leader="none" w:pos="99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this Warrant shall commence on June 4, 2010 (the “Date of Issuance”) and shall expire at 6:00 p.m., Eastern Time, on the date that is seven years after the date of issuance hereof (such period being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ind w:left="1000" w:hanging="344"/>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Method of Exercise; Payment; Issuance of New Warrant; Transfer and Exchange</w:t>
      </w:r>
      <w:r>
        <w:rPr>
          <w:rFonts w:ascii="Arial" w:cs="Arial" w:eastAsia="Arial" w:hAnsi="Arial"/>
          <w:sz w:val="18"/>
          <w:szCs w:val="18"/>
          <w:color w:val="auto"/>
        </w:rPr>
        <w:t>.</w:t>
      </w:r>
    </w:p>
    <w:p>
      <w:pPr>
        <w:spacing w:after="0" w:line="225" w:lineRule="exact"/>
        <w:rPr>
          <w:sz w:val="20"/>
          <w:szCs w:val="20"/>
          <w:color w:val="auto"/>
        </w:rPr>
      </w:pPr>
    </w:p>
    <w:p>
      <w:pPr>
        <w:ind w:right="20" w:firstLine="656"/>
        <w:spacing w:after="0" w:line="277" w:lineRule="auto"/>
        <w:tabs>
          <w:tab w:leader="none" w:pos="1383"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Time of Exercise</w:t>
      </w:r>
      <w:r>
        <w:rPr>
          <w:rFonts w:ascii="Arial" w:cs="Arial" w:eastAsia="Arial" w:hAnsi="Arial"/>
          <w:sz w:val="18"/>
          <w:szCs w:val="18"/>
          <w:color w:val="auto"/>
        </w:rPr>
        <w:t>. The purchase rights represented by this Warrant may be exercised in whole or in part during the Term beginning on the date of issuance hereof.</w:t>
      </w:r>
    </w:p>
    <w:p>
      <w:pPr>
        <w:spacing w:after="0" w:line="170" w:lineRule="exact"/>
        <w:rPr>
          <w:rFonts w:ascii="Arial" w:cs="Arial" w:eastAsia="Arial" w:hAnsi="Arial"/>
          <w:sz w:val="18"/>
          <w:szCs w:val="18"/>
          <w:color w:val="auto"/>
        </w:rPr>
      </w:pPr>
    </w:p>
    <w:p>
      <w:pPr>
        <w:jc w:val="both"/>
        <w:ind w:firstLine="656"/>
        <w:spacing w:after="0" w:line="255" w:lineRule="auto"/>
        <w:tabs>
          <w:tab w:leader="none" w:pos="1394"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The Holder hereof may exercise this Warrant, in whole or in part, by the surrender of this Warrant (with the exercise form attached hereto duly executed) at the principal office of the Company, and by the payment to the Company of an amount of consideration therefor equal to the Warrant Price in effect on the date of such exercise multiplied by the number of Warrant Shares with respect to which this Warrant is then being exercised, payable at such Holder’s election (i) by certified or official bank check or by wire transfer to an account designated by the Company, (ii) by “cashless exercise” in accordance with the provisions of subsection (c) of this Sect ion 2, but only when a registration statement under the Securities Act providing for the resale of the Warrant Shares is not then in effect, or (iii) when permitted by clause (ii), by a combination of the foregoing methods of payment selected by the Holder of this Warrant.</w:t>
      </w:r>
    </w:p>
    <w:p>
      <w:pPr>
        <w:spacing w:after="0" w:line="189" w:lineRule="exact"/>
        <w:rPr>
          <w:rFonts w:ascii="Arial" w:cs="Arial" w:eastAsia="Arial" w:hAnsi="Arial"/>
          <w:sz w:val="18"/>
          <w:szCs w:val="18"/>
          <w:color w:val="auto"/>
        </w:rPr>
      </w:pPr>
    </w:p>
    <w:p>
      <w:pPr>
        <w:ind w:left="1360" w:hanging="704"/>
        <w:spacing w:after="0"/>
        <w:tabs>
          <w:tab w:leader="none" w:pos="1360"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Notwithstanding any provisions herein to the contrary and commencing six-months following the Original Issue Date if</w:t>
      </w:r>
    </w:p>
    <w:p>
      <w:pPr>
        <w:spacing w:after="0" w:line="46" w:lineRule="exact"/>
        <w:rPr>
          <w:rFonts w:ascii="Arial" w:cs="Arial" w:eastAsia="Arial" w:hAnsi="Arial"/>
          <w:sz w:val="16"/>
          <w:szCs w:val="16"/>
          <w:color w:val="auto"/>
        </w:rPr>
      </w:pPr>
    </w:p>
    <w:p>
      <w:pPr>
        <w:jc w:val="both"/>
        <w:ind w:firstLine="8"/>
        <w:spacing w:after="0" w:line="252" w:lineRule="auto"/>
        <w:tabs>
          <w:tab w:leader="none" w:pos="2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 Share Market Value of one share of Common Stock is greater than the Warrant Price (at the date of calculation as set forth below) and (ii) a registration statement under the Securities Act providing for the resale of the Warrant Shares is not in effect in accordance with the terms of the Registration Rights Agreement at the time of exercise, in lieu of exercising this Warrant by payment of cash, the Holder may exercise this Warrant by a cashless exercise and shall receive the number of shares of Common Stock equal to an amount (as determined below ) by surrender of this Warrant at the principal office of the Company together with the properly endorsed Notice of Exercise in which event the Company shall issue to the Holder a number of shares of Common Stock computed using the following formula:</w:t>
      </w:r>
    </w:p>
    <w:p>
      <w:pPr>
        <w:spacing w:after="0" w:line="194" w:lineRule="exact"/>
        <w:rPr>
          <w:sz w:val="20"/>
          <w:szCs w:val="20"/>
          <w:color w:val="auto"/>
        </w:rPr>
      </w:pPr>
    </w:p>
    <w:p>
      <w:pPr>
        <w:spacing w:after="0"/>
        <w:tabs>
          <w:tab w:leader="none" w:pos="1360" w:val="left"/>
          <w:tab w:leader="none" w:pos="2140" w:val="left"/>
        </w:tabs>
        <w:rPr>
          <w:sz w:val="20"/>
          <w:szCs w:val="20"/>
          <w:color w:val="auto"/>
        </w:rPr>
      </w:pPr>
      <w:r>
        <w:rPr>
          <w:rFonts w:ascii="Arial" w:cs="Arial" w:eastAsia="Arial" w:hAnsi="Arial"/>
          <w:sz w:val="18"/>
          <w:szCs w:val="18"/>
          <w:color w:val="auto"/>
        </w:rPr>
        <w:t>Where</w:t>
      </w:r>
      <w:r>
        <w:rPr>
          <w:sz w:val="20"/>
          <w:szCs w:val="20"/>
          <w:color w:val="auto"/>
        </w:rPr>
        <w:tab/>
      </w: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of Common Stock to be issued to the Holder.</w:t>
      </w:r>
    </w:p>
    <w:p>
      <w:pPr>
        <w:spacing w:after="0" w:line="225" w:lineRule="exact"/>
        <w:rPr>
          <w:sz w:val="20"/>
          <w:szCs w:val="20"/>
          <w:color w:val="auto"/>
        </w:rPr>
      </w:pPr>
    </w:p>
    <w:p>
      <w:pPr>
        <w:ind w:left="1960" w:right="20" w:hanging="647"/>
        <w:spacing w:after="0" w:line="277" w:lineRule="auto"/>
        <w:tabs>
          <w:tab w:leader="none" w:pos="1940" w:val="left"/>
        </w:tabs>
        <w:rPr>
          <w:sz w:val="20"/>
          <w:szCs w:val="20"/>
          <w:color w:val="auto"/>
        </w:rPr>
      </w:pPr>
      <w:r>
        <w:rPr>
          <w:rFonts w:ascii="Arial" w:cs="Arial" w:eastAsia="Arial" w:hAnsi="Arial"/>
          <w:sz w:val="18"/>
          <w:szCs w:val="18"/>
          <w:color w:val="auto"/>
        </w:rPr>
        <w:t>Y =</w:t>
      </w:r>
      <w:r>
        <w:rPr>
          <w:sz w:val="20"/>
          <w:szCs w:val="20"/>
          <w:color w:val="auto"/>
        </w:rPr>
        <w:tab/>
      </w:r>
      <w:r>
        <w:rPr>
          <w:rFonts w:ascii="Arial" w:cs="Arial" w:eastAsia="Arial" w:hAnsi="Arial"/>
          <w:sz w:val="18"/>
          <w:szCs w:val="18"/>
          <w:color w:val="auto"/>
        </w:rPr>
        <w:t>the number of shares of Common Stock purchasable upon exercise of all of the Warrant or, if only a portion of the Warrant is being exercised, the portion of the Warrant being exercised.</w:t>
      </w:r>
    </w:p>
    <w:p>
      <w:pPr>
        <w:spacing w:after="0" w:line="17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6"/>
          <w:szCs w:val="16"/>
          <w:color w:val="auto"/>
        </w:rPr>
        <w:t>the Warrant Price.</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6"/>
          <w:szCs w:val="16"/>
          <w:color w:val="auto"/>
        </w:rPr>
        <w:t>the Per Share Market Value of one share of Common Stock.</w:t>
      </w:r>
    </w:p>
    <w:p>
      <w:pPr>
        <w:spacing w:after="0" w:line="225" w:lineRule="exact"/>
        <w:rPr>
          <w:sz w:val="20"/>
          <w:szCs w:val="20"/>
          <w:color w:val="auto"/>
        </w:rPr>
      </w:pPr>
    </w:p>
    <w:p>
      <w:pPr>
        <w:jc w:val="both"/>
        <w:ind w:firstLine="656"/>
        <w:spacing w:after="0" w:line="269" w:lineRule="auto"/>
        <w:tabs>
          <w:tab w:leader="none" w:pos="1475"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Issuance of Stock Certificates</w:t>
      </w:r>
      <w:r>
        <w:rPr>
          <w:rFonts w:ascii="Arial" w:cs="Arial" w:eastAsia="Arial" w:hAnsi="Arial"/>
          <w:sz w:val="17"/>
          <w:szCs w:val="17"/>
          <w:color w:val="auto"/>
        </w:rPr>
        <w:t>. In the event of any exercise of this Warrant in accordance with and subject to the terms and conditions hereof, certificates for the Warrant Shares so purchased shall be dated the date of such exercise and delivered to the Holder hereof within a reasonable time, not exceeding three (3) Trading Days after such exercise (the “</w:t>
      </w:r>
      <w:r>
        <w:rPr>
          <w:rFonts w:ascii="Arial" w:cs="Arial" w:eastAsia="Arial" w:hAnsi="Arial"/>
          <w:sz w:val="17"/>
          <w:szCs w:val="17"/>
          <w:u w:val="single" w:color="auto"/>
          <w:color w:val="auto"/>
        </w:rPr>
        <w:t>Delivery Date</w:t>
      </w:r>
      <w:r>
        <w:rPr>
          <w:rFonts w:ascii="Arial" w:cs="Arial" w:eastAsia="Arial" w:hAnsi="Arial"/>
          <w:sz w:val="17"/>
          <w:szCs w:val="17"/>
          <w:color w:val="auto"/>
        </w:rPr>
        <w:t>”) or, at the request of the Holder (provided that a registration statement under the Securities Act providing for the resale of the Warrant Shares is then in effect), issued and delivered to the Depository Trust Company (“</w:t>
      </w:r>
      <w:r>
        <w:rPr>
          <w:rFonts w:ascii="Arial" w:cs="Arial" w:eastAsia="Arial" w:hAnsi="Arial"/>
          <w:sz w:val="17"/>
          <w:szCs w:val="17"/>
          <w:u w:val="single" w:color="auto"/>
          <w:color w:val="auto"/>
        </w:rPr>
        <w:t>DTC</w:t>
      </w:r>
      <w:r>
        <w:rPr>
          <w:rFonts w:ascii="Arial" w:cs="Arial" w:eastAsia="Arial" w:hAnsi="Arial"/>
          <w:sz w:val="17"/>
          <w:szCs w:val="17"/>
          <w:color w:val="auto"/>
        </w:rPr>
        <w:t>”) account on the Holder’s behalf via the Deposit Withdrawal Agent Commission System (“</w:t>
      </w:r>
      <w:r>
        <w:rPr>
          <w:rFonts w:ascii="Arial" w:cs="Arial" w:eastAsia="Arial" w:hAnsi="Arial"/>
          <w:sz w:val="17"/>
          <w:szCs w:val="17"/>
          <w:u w:val="single" w:color="auto"/>
          <w:color w:val="auto"/>
        </w:rPr>
        <w:t>DWAC</w:t>
      </w:r>
      <w:r>
        <w:rPr>
          <w:rFonts w:ascii="Arial" w:cs="Arial" w:eastAsia="Arial" w:hAnsi="Arial"/>
          <w:sz w:val="17"/>
          <w:szCs w:val="17"/>
          <w:color w:val="auto"/>
        </w:rPr>
        <w:t>”) within a reasonable time, not exceeding three (3) Trading Days after such exercise, and the Holder hereof shall be deemed for all purposes to be the holder of the Warrant Shares so purchased as of the date of such exercise. Notwithstanding the foregoing to the contrary, the Company or its transfer agent shall only be obligated to issue and deliver the shares to the DTC on a holder’s behalf via DWAC if such exercise is in connection with a sale and the Company and its transfer agent are participating in DTC through the DWAC system. The Holder shall deliver this original Warrant, or an indemnification undertaking with respect to such Warrant in the case of its loss, theft or destruction, at such time that this Warrant is fully exercised. With respec t to partial exercises of this Warrant, the Company shall keep written records for the Holder of the number of Warrant Shares exercised as of each date of exercise.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7" w:name="page28"/>
    <w:bookmarkEnd w:id="27"/>
    <w:p>
      <w:pPr>
        <w:ind w:left="1360" w:hanging="704"/>
        <w:spacing w:after="0"/>
        <w:tabs>
          <w:tab w:leader="none" w:pos="1360"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Compensation for Buy-In on Failure to Timely Deliver Certificates Upon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5"/>
        <w:spacing w:after="0" w:line="269" w:lineRule="auto"/>
        <w:tabs>
          <w:tab w:leader="none" w:pos="2054" w:val="left"/>
        </w:tabs>
        <w:numPr>
          <w:ilvl w:val="2"/>
          <w:numId w:val="29"/>
        </w:numPr>
        <w:rPr>
          <w:rFonts w:ascii="Arial" w:cs="Arial" w:eastAsia="Arial" w:hAnsi="Arial"/>
          <w:sz w:val="17"/>
          <w:szCs w:val="17"/>
          <w:color w:val="auto"/>
        </w:rPr>
      </w:pPr>
      <w:r>
        <w:rPr>
          <w:rFonts w:ascii="Arial" w:cs="Arial" w:eastAsia="Arial" w:hAnsi="Arial"/>
          <w:sz w:val="17"/>
          <w:szCs w:val="17"/>
          <w:color w:val="auto"/>
        </w:rPr>
        <w:t>The Company understands that a delay in the delivery of the shares of Common Stock upon exercise of this Warrant beyond the Delivery Date could result in economic loss to the Holder. If the Company fails to deliver to the Holder such shares via DWAC or a certificate or certificates pursuant to this Section hereunder by the Delivery Date, the Company shall pay to the Holder, in cash, for each $500 of Warrant Shares (based on the Closing Price of the Common Stock on the date such Securities are submitted to the Company’s transfer agent), $5 per Trading Day (increasing to $10 per Trading Day five (5) Trading Days after such damages have begun to accrue and increasing to $15 per Trading Day ten (10) Trading Days after such damages have begun to accrue) for each Trading Day after the Delivery Date until such certificate is delivered (which amount shall be paid as liquidated damages and not as a penalty). Nothing herein shall limit a Holder’s right to pursue actual damages for the Company’s failure to deliver certificates representing any Securities as required by the Transaction Documents, and the Holder shall have the right to pursue all remedies available to it at law or in equity including, without limitation, a decree of specific performance and/or injunctive relief. Notwithstanding anything to the contrary contained herein, the Holder shall be entitled to withdraw an Exercise Notice, and upon such withdrawal the Company shall only be obligated to pay the liquidated damages accrued in accordance with this Section 2(e)(i) through the date the Exercise Notice is withdrawn.</w:t>
      </w:r>
    </w:p>
    <w:p>
      <w:pPr>
        <w:spacing w:after="0" w:line="179" w:lineRule="exact"/>
        <w:rPr>
          <w:rFonts w:ascii="Arial" w:cs="Arial" w:eastAsia="Arial" w:hAnsi="Arial"/>
          <w:sz w:val="17"/>
          <w:szCs w:val="17"/>
          <w:color w:val="auto"/>
        </w:rPr>
      </w:pPr>
    </w:p>
    <w:p>
      <w:pPr>
        <w:jc w:val="both"/>
        <w:ind w:left="660" w:firstLine="645"/>
        <w:spacing w:after="0" w:line="285" w:lineRule="auto"/>
        <w:tabs>
          <w:tab w:leader="none" w:pos="2083" w:val="left"/>
        </w:tabs>
        <w:numPr>
          <w:ilvl w:val="2"/>
          <w:numId w:val="29"/>
        </w:numPr>
        <w:rPr>
          <w:rFonts w:ascii="Arial" w:cs="Arial" w:eastAsia="Arial" w:hAnsi="Arial"/>
          <w:sz w:val="16"/>
          <w:szCs w:val="16"/>
          <w:color w:val="auto"/>
        </w:rPr>
      </w:pPr>
      <w:r>
        <w:rPr>
          <w:rFonts w:ascii="Arial" w:cs="Arial" w:eastAsia="Arial" w:hAnsi="Arial"/>
          <w:sz w:val="16"/>
          <w:szCs w:val="16"/>
          <w:color w:val="auto"/>
        </w:rPr>
        <w:t>In addition to any other rights available to the Holder, if the Company fails to cause its transfer agent to transmit to the Holder a certificate or certificates representing the Warrant Shares pursuant to an exercise on or before the Delivery Date, and if after such date the Holder is required by its broker to purchase (in an open market transaction or otherwise) shares of Common Stock to deliver in satisfaction of a sale by the Holder of the Warrant Shares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(1) pay in cash to the Holder the amount by which (x) the Holder’s total purchase price (including brokerage commissions, if any) for the shares of Common Stock so purchased exceeds (y) the amount obtained by multiplying (A) the number of Warrant Shares that the Company was required to deliver to the Holder in connection with the exercise at issue times (B) the price at which the sell order giving rise to such purchase obligation was executed, and (2) at the option of the Holder, either reinstate the portion of the Warrant and equivalent number of Warrant Shares for which such exercise was not honored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(1) of the immediately preceding sentence the Company shall be required to pay the Holder $1,0 00. The Holder shall provide the Company written notice indicating the amounts payable to the Holder in respect of the Buy-In, together with applicable confirmations and other evidence reasonably requested by the Company. Nothing herein shall limit a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this Warrant as required pursuant to the terms hereof.</w:t>
      </w:r>
    </w:p>
    <w:p>
      <w:pPr>
        <w:spacing w:after="0" w:line="177" w:lineRule="exact"/>
        <w:rPr>
          <w:rFonts w:ascii="Arial" w:cs="Arial" w:eastAsia="Arial" w:hAnsi="Arial"/>
          <w:sz w:val="16"/>
          <w:szCs w:val="16"/>
          <w:color w:val="auto"/>
        </w:rPr>
      </w:pPr>
    </w:p>
    <w:p>
      <w:pPr>
        <w:jc w:val="both"/>
        <w:ind w:firstLine="8"/>
        <w:spacing w:after="0" w:line="254" w:lineRule="auto"/>
        <w:tabs>
          <w:tab w:leader="none" w:pos="81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Transferability of Warrant</w:t>
      </w:r>
      <w:r>
        <w:rPr>
          <w:rFonts w:ascii="Arial" w:cs="Arial" w:eastAsia="Arial" w:hAnsi="Arial"/>
          <w:sz w:val="18"/>
          <w:szCs w:val="18"/>
          <w:color w:val="auto"/>
        </w:rPr>
        <w:t>. Subject to Section 2(h) hereof, this Warrant may be transferred by a Holder, in whole or in part, subject only to the restrictions specified in the Purchase Agreement. If transferred pursuant to this paragraph, this Warrant may be transferred on the books of the Company by the Holder hereof in person or by duly authorized attorney, upon surrender of this Warrant at the principal office of the Company, properly endorsed (by the Holder executing an assignment in the form attached hereto) and upon payment of any necessary transfer tax or other governmental charge imposed upon such transfer. This War rant is exchangeable at the principal office of the Company for Warrants to purchase the same aggregate number of Warrant Shares, each new Warrant to represent the right to purchase such number of Warrant Shares as the Holder hereof shall designate at the time of such exchange. All Warrants issued on transfers or exchanges shall be dated the Original Issue Date and shall be identical with this Warrant except as to the number of Warrant Shares issuable pursuant thereto.</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8" w:name="page29"/>
    <w:bookmarkEnd w:id="28"/>
    <w:p>
      <w:pPr>
        <w:jc w:val="both"/>
        <w:ind w:firstLine="656"/>
        <w:spacing w:after="0" w:line="259" w:lineRule="auto"/>
        <w:tabs>
          <w:tab w:leader="none" w:pos="140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Continuing Rights of Holder</w:t>
      </w:r>
      <w:r>
        <w:rPr>
          <w:rFonts w:ascii="Arial" w:cs="Arial" w:eastAsia="Arial" w:hAnsi="Arial"/>
          <w:sz w:val="18"/>
          <w:szCs w:val="18"/>
          <w:color w:val="auto"/>
        </w:rPr>
        <w:t xml:space="preserve">. The Company will, at the time of or at any time after each exercise of this Warrant, upon the request of the Holder hereof, acknowledge in writing the extent, if any, of its continuing obligation to afford to such Holder all rights to which such Holder shall continue to be entitled after such exercise in accordance with the terms of this Warrant,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Holder shall fail to make any such request, the failure shall not affect the continuing obligation of the Company to afford such rights to such Holder.</w:t>
      </w:r>
    </w:p>
    <w:p>
      <w:pPr>
        <w:spacing w:after="0" w:line="186"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Compliance with Securities Laws.</w:t>
      </w:r>
    </w:p>
    <w:p>
      <w:pPr>
        <w:spacing w:after="0" w:line="225" w:lineRule="exact"/>
        <w:rPr>
          <w:rFonts w:ascii="Arial" w:cs="Arial" w:eastAsia="Arial" w:hAnsi="Arial"/>
          <w:sz w:val="18"/>
          <w:szCs w:val="18"/>
          <w:color w:val="auto"/>
        </w:rPr>
      </w:pPr>
    </w:p>
    <w:p>
      <w:pPr>
        <w:jc w:val="both"/>
        <w:ind w:left="820" w:firstLine="647"/>
        <w:spacing w:after="0" w:line="302" w:lineRule="auto"/>
        <w:tabs>
          <w:tab w:leader="none" w:pos="2264"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Holder of this Warrant, by acceptance hereof, acknowledges that this Warrant and the Warrant Shares to be issued upon exercise hereof are being acquired solely for the Holder’s own account and not as a nominee for any other party, and for investment, and that the Holder will not offer, sell or otherwise dispose of this Warrant or any Warrant Shares to be issued upon exercise hereof except pursuant to an effective registration statement, or an exemption from registration, under the Securities Act and any applicable state securities laws.</w:t>
      </w:r>
    </w:p>
    <w:p>
      <w:pPr>
        <w:spacing w:after="0" w:line="154" w:lineRule="exact"/>
        <w:rPr>
          <w:rFonts w:ascii="Arial" w:cs="Arial" w:eastAsia="Arial" w:hAnsi="Arial"/>
          <w:sz w:val="16"/>
          <w:szCs w:val="16"/>
          <w:color w:val="auto"/>
        </w:rPr>
      </w:pPr>
    </w:p>
    <w:p>
      <w:pPr>
        <w:ind w:left="820" w:right="20" w:firstLine="647"/>
        <w:spacing w:after="0" w:line="277" w:lineRule="auto"/>
        <w:tabs>
          <w:tab w:leader="none" w:pos="2247" w:val="left"/>
        </w:tabs>
        <w:numPr>
          <w:ilvl w:val="1"/>
          <w:numId w:val="31"/>
        </w:numPr>
        <w:rPr>
          <w:rFonts w:ascii="Arial" w:cs="Arial" w:eastAsia="Arial" w:hAnsi="Arial"/>
          <w:sz w:val="18"/>
          <w:szCs w:val="18"/>
          <w:color w:val="auto"/>
        </w:rPr>
      </w:pPr>
      <w:r>
        <w:rPr>
          <w:rFonts w:ascii="Arial" w:cs="Arial" w:eastAsia="Arial" w:hAnsi="Arial"/>
          <w:sz w:val="18"/>
          <w:szCs w:val="18"/>
          <w:color w:val="auto"/>
        </w:rPr>
        <w:t>Except as provided in paragraph (iii) below, this Warrant and all certificates representing Warrant Shares issued upon exercise hereof shall be stamped or imprinted with a legend in substantially the following form:</w:t>
      </w:r>
    </w:p>
    <w:p>
      <w:pPr>
        <w:spacing w:after="0" w:line="170" w:lineRule="exact"/>
        <w:rPr>
          <w:sz w:val="20"/>
          <w:szCs w:val="20"/>
          <w:color w:val="auto"/>
        </w:rPr>
      </w:pPr>
    </w:p>
    <w:p>
      <w:pPr>
        <w:jc w:val="both"/>
        <w:ind w:left="1300" w:right="660"/>
        <w:spacing w:after="0" w:line="268" w:lineRule="auto"/>
        <w:rPr>
          <w:sz w:val="20"/>
          <w:szCs w:val="20"/>
          <w:color w:val="auto"/>
        </w:rPr>
      </w:pPr>
      <w:r>
        <w:rPr>
          <w:rFonts w:ascii="Arial" w:cs="Arial" w:eastAsia="Arial" w:hAnsi="Arial"/>
          <w:sz w:val="17"/>
          <w:szCs w:val="17"/>
          <w:color w:val="auto"/>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w:t>
      </w:r>
    </w:p>
    <w:p>
      <w:pPr>
        <w:spacing w:after="0" w:line="3" w:lineRule="exact"/>
        <w:rPr>
          <w:sz w:val="20"/>
          <w:szCs w:val="20"/>
          <w:color w:val="auto"/>
        </w:rPr>
      </w:pPr>
    </w:p>
    <w:p>
      <w:pPr>
        <w:jc w:val="both"/>
        <w:ind w:left="1300" w:right="640" w:firstLine="5"/>
        <w:spacing w:after="0" w:line="253" w:lineRule="auto"/>
        <w:tabs>
          <w:tab w:leader="none" w:pos="1581"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OPINION OF COUNSEL, IN A FORM REASONABLY ACCEPTABLE TO THE COMPANY, THAT REGISTRATION IS NOT REQUIRED UNDER SAID ACT OR (II) UNLESS SOLD PURSUANT TO RULE 144 OR RULE 144A UNDER SAID ACT. NOTWITHSTANDING THE FOREGOING, THE SECURITIES MAY BE PLEDGED IN CONNECTION WITH A BONA FIDE MARGIN ACCOUNT OR OTHER LOAN OR FINANCING ARRANGEMENT SECURED BY T HE SECURITIES.</w:t>
      </w:r>
    </w:p>
    <w:p>
      <w:pPr>
        <w:spacing w:after="0" w:line="191" w:lineRule="exact"/>
        <w:rPr>
          <w:rFonts w:ascii="Arial" w:cs="Arial" w:eastAsia="Arial" w:hAnsi="Arial"/>
          <w:sz w:val="18"/>
          <w:szCs w:val="18"/>
          <w:color w:val="auto"/>
        </w:rPr>
      </w:pPr>
    </w:p>
    <w:p>
      <w:pPr>
        <w:jc w:val="both"/>
        <w:ind w:left="820" w:firstLine="647"/>
        <w:spacing w:after="0" w:line="285" w:lineRule="auto"/>
        <w:tabs>
          <w:tab w:leader="none" w:pos="225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Company agrees to reissue this Warrant or certificates representing any of the Warrant Shares, without the legend set forth above if at such time, prior to making any transfer of any such securities, the Holder shall give written notice to the Company describing the manner and terms of such transfer. Such proposed transfer will not be effected until: (a) either (i) the Company has received an opinion of counsel reasonably satisfactory to the Company, to the effect that the registration of such securities under the Securities Act is not required in connection with such proposed transfer, (ii) a registration statement under the Securities Act covering such proposed disposition has been filed by the Company with the Securities and Exchange Commission a nd has become effective under the Securities Act, (iii) the Company has received other evidence reasonably satisfactory to the Company that such registration and qualification under the Securities Act and state securities laws are not required, or (iv) the Holder provides the Company with reasonable assurances that such security can be sold pursuant to Rule 144 under the Securities Act; and (b) either (i) the Company has received an opinion of counsel reasonably satisfactory to the Company, to the effect that registration or qualification under the securities or “blue sky” laws of any state is not required in connection with such proposed disposition, or (ii) compliance with applicable state securities or “blue sky” laws has been effected or a valid exemption exists with respect thereto. The Company will respond to any such notice from a holder within three (3) Trading Days. In the case of any proposed transfer under this Section 2(h), the Company will use reason able efforts to comply with any such applicable state securities or “blue sky” laws, but shall in no event be required, (x) to qualify to do business in any state where it is not then qualified, (y) to take any action that would subject it to tax or to the general service of process in any state where it is not then subject, or (z) to comply with state securities or “blue sky” laws of any state for which registration by coordination is unavailable to the Company. The restrictions on transfer contained in this Section 2(h) shall be in addition to, and not by way of limitation of, any other restrictions on transfer contained in any other section of this Warrant. Whenever a certificate representing the Warrant Shares is required to be issued to a the Holder without a legend, in lieu of delivering physical certificates representing the Warrant Shares, the Company shall cause its transfer agent to electronically transmit the Warrant Shares to the Holder by crediting t he account of the Holder’s Prime Broker with DTC through its DWAC system (to the extent not inconsistent with any provisions of this Warrant or the Purchase Agreement).</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9" w:name="page30"/>
    <w:bookmarkEnd w:id="29"/>
    <w:p>
      <w:pPr>
        <w:ind w:left="1320" w:hanging="664"/>
        <w:spacing w:after="0"/>
        <w:tabs>
          <w:tab w:leader="none" w:pos="132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No Mandatory Redemption</w:t>
      </w:r>
      <w:r>
        <w:rPr>
          <w:rFonts w:ascii="Arial" w:cs="Arial" w:eastAsia="Arial" w:hAnsi="Arial"/>
          <w:sz w:val="17"/>
          <w:szCs w:val="17"/>
          <w:color w:val="auto"/>
        </w:rPr>
        <w:t>. This Warrant may not be called or redeemed by the Company without the written consent of the Holder.</w:t>
      </w:r>
    </w:p>
    <w:p>
      <w:pPr>
        <w:spacing w:after="0" w:line="237" w:lineRule="exact"/>
        <w:rPr>
          <w:sz w:val="20"/>
          <w:szCs w:val="20"/>
          <w:color w:val="auto"/>
        </w:rPr>
      </w:pPr>
    </w:p>
    <w:p>
      <w:pPr>
        <w:ind w:left="1000" w:hanging="344"/>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Stock Fully Paid; Reservation and Listing of Shares; Covenants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73" w:lineRule="auto"/>
        <w:tabs>
          <w:tab w:leader="none" w:pos="1356"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Stock Fully Paid</w:t>
      </w:r>
      <w:r>
        <w:rPr>
          <w:rFonts w:ascii="Arial" w:cs="Arial" w:eastAsia="Arial" w:hAnsi="Arial"/>
          <w:sz w:val="17"/>
          <w:szCs w:val="17"/>
          <w:color w:val="auto"/>
        </w:rPr>
        <w:t>. The Company represents, warrants, covenants and agrees that all Warrant Shares which may be issued upon the exercise of this Warrant or otherwise hereunder will, when issued in accordance with the terms of this Warrant, be duly authorized, validly issued, fully paid and non-assessable and free from all taxes, liens and charges created by or through the Company. The Company further covenants and agrees that during the period within which this Warrant may be exercised, the Company will at all times have authorized and reserved for the purpose of the issuance upon exercise of this Warrant a number of authorized but unissued shares of Common Stock equal to at least on e hundred percent (100%) of the number of shares of Common Stock issuable upon exercise of this Warrant without regard to any limitations on exercise.</w:t>
      </w:r>
    </w:p>
    <w:p>
      <w:pPr>
        <w:spacing w:after="0" w:line="178" w:lineRule="exact"/>
        <w:rPr>
          <w:rFonts w:ascii="Arial" w:cs="Arial" w:eastAsia="Arial" w:hAnsi="Arial"/>
          <w:sz w:val="17"/>
          <w:szCs w:val="17"/>
          <w:color w:val="auto"/>
        </w:rPr>
      </w:pPr>
    </w:p>
    <w:p>
      <w:pPr>
        <w:jc w:val="both"/>
        <w:ind w:firstLine="656"/>
        <w:spacing w:after="0" w:line="270" w:lineRule="auto"/>
        <w:tabs>
          <w:tab w:leader="none" w:pos="1407"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Reservation</w:t>
      </w:r>
      <w:r>
        <w:rPr>
          <w:rFonts w:ascii="Arial" w:cs="Arial" w:eastAsia="Arial" w:hAnsi="Arial"/>
          <w:sz w:val="17"/>
          <w:szCs w:val="17"/>
          <w:color w:val="auto"/>
        </w:rPr>
        <w:t>. If any shares of Common Stock required to be reserved for issuance upon exercise of this Warrant or as otherwise provided hereunder require registration or qualification with any Governmental Authority under any federal or state law before such shares may be so issued, the Company will in good faith use its best efforts as expeditiously as possible at its expense to cause such shares to be duly registered or qualified. If the Company shall list any shares of Common Stock on any securities exchange or market it will, at its expense, list thereon, and maintain and increase when necessary such listing, of, all Warrant Shares from time to time issued upon exercise of this Warrant or as otherwise provided hereunder (provided that such Warrant Shares has been registered pursuant to a registration statement under the Securities Act then in effect), and, to the extent permissible under the applicable securities exchange rules, all unissued Warrant Shares which are at any time issuable hereunder, so long as any shares of Common Stock shall be so listed. The Company will also so list on each securities exchange or market, and will maintain such listing of, any other securities which the Holder of this Warrant shall be entitled to receive upon the exercise of this Warrant if at the time any securities of the same class shall be listed on such securities exchange or market by the Company.</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0" w:name="page31"/>
    <w:bookmarkEnd w:id="30"/>
    <w:p>
      <w:pPr>
        <w:jc w:val="both"/>
        <w:ind w:firstLine="656"/>
        <w:spacing w:after="0" w:line="302" w:lineRule="auto"/>
        <w:tabs>
          <w:tab w:leader="none" w:pos="1546"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Loss, Theft, Destruction of Warrants</w:t>
      </w:r>
      <w:r>
        <w:rPr>
          <w:rFonts w:ascii="Arial" w:cs="Arial" w:eastAsia="Arial" w:hAnsi="Arial"/>
          <w:sz w:val="16"/>
          <w:szCs w:val="16"/>
          <w:color w:val="auto"/>
        </w:rPr>
        <w:t>. Upon receipt of evidence satisfactory to the Company of the ownership of and the loss, theft, destruction or mutilation of any Warrant and, in the case of any such loss, theft or destruction, upon receipt of indemnity or security satisfactory to the Company or, in the case of any such mutilation, upon surrender and cancellation of such Warrant, the Company will make and deliver, in lieu of such lost, stolen, destroyed or mutilated Warrant, a new Warrant of like tenor and representing the right to purchase the same number of shares of Common Stock.</w:t>
      </w:r>
    </w:p>
    <w:p>
      <w:pPr>
        <w:spacing w:after="0" w:line="154" w:lineRule="exact"/>
        <w:rPr>
          <w:rFonts w:ascii="Arial" w:cs="Arial" w:eastAsia="Arial" w:hAnsi="Arial"/>
          <w:sz w:val="16"/>
          <w:szCs w:val="16"/>
          <w:color w:val="auto"/>
        </w:rPr>
      </w:pPr>
    </w:p>
    <w:p>
      <w:pPr>
        <w:jc w:val="both"/>
        <w:ind w:firstLine="656"/>
        <w:spacing w:after="0" w:line="259" w:lineRule="auto"/>
        <w:tabs>
          <w:tab w:leader="none" w:pos="139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Payment of Taxes</w:t>
      </w:r>
      <w:r>
        <w:rPr>
          <w:rFonts w:ascii="Arial" w:cs="Arial" w:eastAsia="Arial" w:hAnsi="Arial"/>
          <w:sz w:val="18"/>
          <w:szCs w:val="18"/>
          <w:color w:val="auto"/>
        </w:rPr>
        <w:t xml:space="preserve">. The Company will pay any documentary stamp taxes attributable to the initial issuance of the Warrant Shares issuable upon exercise of this Warrant;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pay any tax or taxes which may be payable in respect of any transfer involved in the issuance or delivery of any certificates representing Warrant Shares in a name other than that of the Holder in respect to which such shares are issued.</w:t>
      </w:r>
    </w:p>
    <w:p>
      <w:pPr>
        <w:spacing w:after="0" w:line="187" w:lineRule="exact"/>
        <w:rPr>
          <w:sz w:val="20"/>
          <w:szCs w:val="20"/>
          <w:color w:val="auto"/>
        </w:rPr>
      </w:pPr>
    </w:p>
    <w:p>
      <w:pPr>
        <w:ind w:right="80" w:firstLine="656"/>
        <w:spacing w:after="0" w:line="297" w:lineRule="auto"/>
        <w:tabs>
          <w:tab w:leader="none" w:pos="990"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Adjustment of Warrant Price and Number of Shares Issuable Upon Exercise</w:t>
      </w:r>
      <w:r>
        <w:rPr>
          <w:rFonts w:ascii="Arial" w:cs="Arial" w:eastAsia="Arial" w:hAnsi="Arial"/>
          <w:sz w:val="16"/>
          <w:szCs w:val="16"/>
          <w:color w:val="auto"/>
        </w:rPr>
        <w:t>. The Warrant Price and the number of shares purchasable upon the exercise of this Warrant shall be subject to adjustment from time to time upon the occurrence of certain events described in this Section 4. Upon each adjustment of the Warrant Price, the Holder of this Warrant shall thereafter be entitled to purchase, at the Warrant Price resulting from such adjustment, the number of shares obtained by multiplying the Warrant Price in effect immediately prior to such adjustment by the number of shares purchasable pursuant hereto immediately prior to such adjustment, and dividing the prod uct thereof by the Warrant Price resulting from such adjustment.</w:t>
      </w:r>
    </w:p>
    <w:p>
      <w:pPr>
        <w:spacing w:after="0" w:line="158" w:lineRule="exact"/>
        <w:rPr>
          <w:rFonts w:ascii="Arial" w:cs="Arial" w:eastAsia="Arial" w:hAnsi="Arial"/>
          <w:sz w:val="16"/>
          <w:szCs w:val="16"/>
          <w:color w:val="auto"/>
        </w:rPr>
      </w:pPr>
    </w:p>
    <w:p>
      <w:pPr>
        <w:ind w:right="300" w:firstLine="1305"/>
        <w:spacing w:after="0" w:line="276" w:lineRule="auto"/>
        <w:tabs>
          <w:tab w:leader="none" w:pos="1703" w:val="left"/>
        </w:tabs>
        <w:numPr>
          <w:ilvl w:val="1"/>
          <w:numId w:val="37"/>
        </w:numPr>
        <w:rPr>
          <w:rFonts w:ascii="Arial" w:cs="Arial" w:eastAsia="Arial" w:hAnsi="Arial"/>
          <w:sz w:val="17"/>
          <w:szCs w:val="17"/>
          <w:color w:val="auto"/>
        </w:rPr>
      </w:pPr>
      <w:r>
        <w:rPr>
          <w:rFonts w:ascii="Arial" w:cs="Arial" w:eastAsia="Arial" w:hAnsi="Arial"/>
          <w:sz w:val="17"/>
          <w:szCs w:val="17"/>
          <w:color w:val="auto"/>
        </w:rPr>
        <w:t>If the Company issues or sells, or in accordance with this Section 4 is deemed to have issued or sold, any shares of Common Stock (including the issuance or sale of shares of Common Stock owned or held by or for the account of the Company for a consideration per share (the “</w:t>
      </w:r>
      <w:r>
        <w:rPr>
          <w:rFonts w:ascii="Arial" w:cs="Arial" w:eastAsia="Arial" w:hAnsi="Arial"/>
          <w:sz w:val="17"/>
          <w:szCs w:val="17"/>
          <w:u w:val="single" w:color="auto"/>
          <w:color w:val="auto"/>
        </w:rPr>
        <w:t>New</w:t>
      </w:r>
      <w:r>
        <w:rPr>
          <w:rFonts w:ascii="Arial" w:cs="Arial" w:eastAsia="Arial" w:hAnsi="Arial"/>
          <w:sz w:val="17"/>
          <w:szCs w:val="17"/>
          <w:color w:val="auto"/>
        </w:rPr>
        <w:t xml:space="preserve"> </w:t>
      </w:r>
      <w:r>
        <w:rPr>
          <w:rFonts w:ascii="Arial" w:cs="Arial" w:eastAsia="Arial" w:hAnsi="Arial"/>
          <w:sz w:val="17"/>
          <w:szCs w:val="17"/>
          <w:u w:val="single" w:color="auto"/>
          <w:color w:val="auto"/>
        </w:rPr>
        <w:t>Issuance Price</w:t>
      </w:r>
      <w:r>
        <w:rPr>
          <w:rFonts w:ascii="Arial" w:cs="Arial" w:eastAsia="Arial" w:hAnsi="Arial"/>
          <w:sz w:val="17"/>
          <w:szCs w:val="17"/>
          <w:color w:val="auto"/>
        </w:rPr>
        <w:t>”) less than a price (the “</w:t>
      </w:r>
      <w:r>
        <w:rPr>
          <w:rFonts w:ascii="Arial" w:cs="Arial" w:eastAsia="Arial" w:hAnsi="Arial"/>
          <w:sz w:val="17"/>
          <w:szCs w:val="17"/>
          <w:u w:val="single" w:color="auto"/>
          <w:color w:val="auto"/>
        </w:rPr>
        <w:t>Applicable Price</w:t>
      </w:r>
      <w:r>
        <w:rPr>
          <w:rFonts w:ascii="Arial" w:cs="Arial" w:eastAsia="Arial" w:hAnsi="Arial"/>
          <w:sz w:val="17"/>
          <w:szCs w:val="17"/>
          <w:color w:val="auto"/>
        </w:rPr>
        <w:t>”) equal to the Warrant Price in effect immediately prior to such issue or sale (the foregoing a “</w:t>
      </w:r>
      <w:r>
        <w:rPr>
          <w:rFonts w:ascii="Arial" w:cs="Arial" w:eastAsia="Arial" w:hAnsi="Arial"/>
          <w:sz w:val="17"/>
          <w:szCs w:val="17"/>
          <w:u w:val="single" w:color="auto"/>
          <w:color w:val="auto"/>
        </w:rPr>
        <w:t>Dilutive Issuance</w:t>
      </w:r>
      <w:r>
        <w:rPr>
          <w:rFonts w:ascii="Arial" w:cs="Arial" w:eastAsia="Arial" w:hAnsi="Arial"/>
          <w:sz w:val="17"/>
          <w:szCs w:val="17"/>
          <w:color w:val="auto"/>
        </w:rPr>
        <w:t>”), then immediately after such Dilutive Issuance, t he Warrant Price then in effect shall be reduced to the New Issuance Price. For purposes of determining the adjusted Warrant Price under this Section 4, the following shall be applicable:</w:t>
      </w:r>
    </w:p>
    <w:p>
      <w:pPr>
        <w:spacing w:after="0" w:line="172" w:lineRule="exact"/>
        <w:rPr>
          <w:rFonts w:ascii="Arial" w:cs="Arial" w:eastAsia="Arial" w:hAnsi="Arial"/>
          <w:sz w:val="17"/>
          <w:szCs w:val="17"/>
          <w:color w:val="auto"/>
        </w:rPr>
      </w:pPr>
    </w:p>
    <w:p>
      <w:pPr>
        <w:ind w:right="80" w:firstLine="1953"/>
        <w:spacing w:after="0" w:line="286" w:lineRule="auto"/>
        <w:tabs>
          <w:tab w:leader="none" w:pos="2322" w:val="left"/>
        </w:tabs>
        <w:numPr>
          <w:ilvl w:val="2"/>
          <w:numId w:val="37"/>
        </w:numPr>
        <w:rPr>
          <w:rFonts w:ascii="Arial" w:cs="Arial" w:eastAsia="Arial" w:hAnsi="Arial"/>
          <w:sz w:val="16"/>
          <w:szCs w:val="16"/>
          <w:color w:val="auto"/>
        </w:rPr>
      </w:pPr>
      <w:r>
        <w:rPr>
          <w:rFonts w:ascii="Arial" w:cs="Arial" w:eastAsia="Arial" w:hAnsi="Arial"/>
          <w:sz w:val="16"/>
          <w:szCs w:val="16"/>
          <w:u w:val="single" w:color="auto"/>
          <w:color w:val="auto"/>
        </w:rPr>
        <w:t>Issuance of Options</w:t>
      </w:r>
      <w:r>
        <w:rPr>
          <w:rFonts w:ascii="Arial" w:cs="Arial" w:eastAsia="Arial" w:hAnsi="Arial"/>
          <w:sz w:val="16"/>
          <w:szCs w:val="16"/>
          <w:color w:val="auto"/>
        </w:rPr>
        <w:t>. If the Company in any manner grants or sells any Options (defined below) and the lowest price per share for which one share of Common Stock is issuable upon the exercise of any such Option or upon conversion or exchange or exercise of any Convertible Securities (defined below) issuable upon exercise of such Option is less than the Applicable Price, then all of such shares of Common Stock underlying such Option shall be deemed to be outstanding and to have been issued and sold by the Company at the time of the granting or sale of such Option for such price per share. For purposes of this Section 4(a), the “lowest price per share for which one share of Common Stock is issuable upon the exercise of any such Option or upon conversion or exchange or exercise of any Convertible Securities issuable upon exercise of such Option” shall be equal to the sum of the lowest amounts of consideration (if any) received or receivable by the Company with respect to any one share of Common Stock upon granting or sale of the Option, upon exercise of the Option and upon conversion or exchange or exercise of any Convertible Security issuable upon exercise of such Option. No further adjustment of the price of conversion shall be made upon the actual issuance and/or sale of such share of Common Stock or of such Convertible Securities upon the exercise of such Options or upon the actual issuance and/or sale of such Common Stock upon conversion or exchange or exercise of such Convertible Securities. “</w:t>
      </w:r>
      <w:r>
        <w:rPr>
          <w:rFonts w:ascii="Arial" w:cs="Arial" w:eastAsia="Arial" w:hAnsi="Arial"/>
          <w:sz w:val="16"/>
          <w:szCs w:val="16"/>
          <w:u w:val="single" w:color="auto"/>
          <w:color w:val="auto"/>
        </w:rPr>
        <w:t>Convertible Security</w:t>
      </w:r>
      <w:r>
        <w:rPr>
          <w:rFonts w:ascii="Arial" w:cs="Arial" w:eastAsia="Arial" w:hAnsi="Arial"/>
          <w:sz w:val="16"/>
          <w:szCs w:val="16"/>
          <w:color w:val="auto"/>
        </w:rPr>
        <w:t>” or “</w:t>
      </w:r>
      <w:r>
        <w:rPr>
          <w:rFonts w:ascii="Arial" w:cs="Arial" w:eastAsia="Arial" w:hAnsi="Arial"/>
          <w:sz w:val="16"/>
          <w:szCs w:val="16"/>
          <w:u w:val="single" w:color="auto"/>
          <w:color w:val="auto"/>
        </w:rPr>
        <w:t>Convertible Securities</w:t>
      </w:r>
      <w:r>
        <w:rPr>
          <w:rFonts w:ascii="Arial" w:cs="Arial" w:eastAsia="Arial" w:hAnsi="Arial"/>
          <w:sz w:val="16"/>
          <w:szCs w:val="16"/>
          <w:color w:val="auto"/>
        </w:rPr>
        <w:t>” means any stock or other securities (other than Options) directly or indirectly convertible into or exercisable or exchangeable for shares of Common Stock, and “</w:t>
      </w:r>
      <w:r>
        <w:rPr>
          <w:rFonts w:ascii="Arial" w:cs="Arial" w:eastAsia="Arial" w:hAnsi="Arial"/>
          <w:sz w:val="16"/>
          <w:szCs w:val="16"/>
          <w:u w:val="single" w:color="auto"/>
          <w:color w:val="auto"/>
        </w:rPr>
        <w:t>Option</w:t>
      </w:r>
      <w:r>
        <w:rPr>
          <w:rFonts w:ascii="Arial" w:cs="Arial" w:eastAsia="Arial" w:hAnsi="Arial"/>
          <w:sz w:val="16"/>
          <w:szCs w:val="16"/>
          <w:color w:val="auto"/>
        </w:rPr>
        <w:t>” or “</w:t>
      </w:r>
      <w:r>
        <w:rPr>
          <w:rFonts w:ascii="Arial" w:cs="Arial" w:eastAsia="Arial" w:hAnsi="Arial"/>
          <w:sz w:val="16"/>
          <w:szCs w:val="16"/>
          <w:u w:val="single" w:color="auto"/>
          <w:color w:val="auto"/>
        </w:rPr>
        <w:t>Options</w:t>
      </w:r>
      <w:r>
        <w:rPr>
          <w:rFonts w:ascii="Arial" w:cs="Arial" w:eastAsia="Arial" w:hAnsi="Arial"/>
          <w:sz w:val="16"/>
          <w:szCs w:val="16"/>
          <w:color w:val="auto"/>
        </w:rPr>
        <w:t>” means any rights, warrants or options to subscribe for or purchase shares of Common Stock or Convertible Securities.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1" w:name="page32"/>
    <w:bookmarkEnd w:id="31"/>
    <w:p>
      <w:pPr>
        <w:ind w:left="-20" w:firstLine="1953"/>
        <w:spacing w:after="0" w:line="288" w:lineRule="auto"/>
        <w:tabs>
          <w:tab w:leader="none" w:pos="2352"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Issuance of Convertible Securities</w:t>
      </w:r>
      <w:r>
        <w:rPr>
          <w:rFonts w:ascii="Arial" w:cs="Arial" w:eastAsia="Arial" w:hAnsi="Arial"/>
          <w:sz w:val="16"/>
          <w:szCs w:val="16"/>
          <w:color w:val="auto"/>
        </w:rPr>
        <w:t>. If the Company in any manner issues or sells any Convertible Securities and the lowest price per share for which one share of Common Stock is issuable upon such conversion or exchange or exercise thereof is less than the Applicable Price, then all shares of Common Stock issuable upon conversion of such Convertible Securities shall be deemed to be outstanding and to have been issued and sold by the Company at the time of the issuance or sale of such Convertible Securities for such price per share. For the purposes of this Section 4(a)(ii), the “lowest price per share for which one share of Common Stock is issuable upon such conversion or exchange or exercise” shall be equal to the sum of the lowest amounts of consideration (if any) received or receivable by the Company with respect to any one share of Common Stock upon the issuance or sale of the Convertible Security and upon the conversion or exchange or exercise of such Convertible Security. No further adjustment of the Warrant Price shall be made upon the actual issuance of such share of Common Stock upon conversion or exchange or exercise of such Convertible Securities, and if any such issue or sale of such Convertible Securities is made upon exercise of any Options for which adjustment of the price of conversion had been or are to be made pursuant to other provisions of this Section 4, no further adjustment of the Warrant Price shall be made by reason of such issue or sale.</w:t>
      </w:r>
    </w:p>
    <w:p>
      <w:pPr>
        <w:spacing w:after="0" w:line="169" w:lineRule="exact"/>
        <w:rPr>
          <w:rFonts w:ascii="Arial" w:cs="Arial" w:eastAsia="Arial" w:hAnsi="Arial"/>
          <w:sz w:val="16"/>
          <w:szCs w:val="16"/>
          <w:color w:val="auto"/>
        </w:rPr>
      </w:pPr>
    </w:p>
    <w:p>
      <w:pPr>
        <w:ind w:left="-20" w:right="100" w:firstLine="1953"/>
        <w:spacing w:after="0" w:line="270" w:lineRule="auto"/>
        <w:tabs>
          <w:tab w:leader="none" w:pos="2402"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Change in Option Price or Rate of Conversion</w:t>
      </w:r>
      <w:r>
        <w:rPr>
          <w:rFonts w:ascii="Arial" w:cs="Arial" w:eastAsia="Arial" w:hAnsi="Arial"/>
          <w:sz w:val="17"/>
          <w:szCs w:val="17"/>
          <w:color w:val="auto"/>
        </w:rPr>
        <w:t>. If the purchase price provided for in any Options, the additional consideration, if any, payable upon the issue, conversion, exchange or exercise of any Convertible Securities, or the rate at which any Convertible Securities are convertible into or exchangeable or exercisable for Common Stock changes at any time, the Warrant Price in effect at the time of such change shall be adjusted to the Warrant Price which would have been in effect at such time had such Options or Convertible Securities provided for such changed purchase price, additional consideration or changed conversion rate, as the case may be, at the time initially granted, issued or sold. For purposes of this Section 4(a) (iii), if the terms of any Option or Convertible Security that was outstanding as of the Issuance Date are issued are changed in the manner described in the immediately preceding sentence, then such Option or Convertible Security and the Common Stock deemed issuable upon exercise, conversion or exchange thereof shall be deemed to have been issued as of the date of such change. No adjustment shall be made if such adjustment would result in an increase of the Warrant Price then in effect.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490" w:right="239" w:bottom="1440" w:gutter="0" w:footer="0" w:header="0"/>
        </w:sectPr>
      </w:pPr>
    </w:p>
    <w:bookmarkStart w:id="32" w:name="page33"/>
    <w:bookmarkEnd w:id="32"/>
    <w:p>
      <w:pPr>
        <w:ind w:left="-20" w:firstLine="1953"/>
        <w:spacing w:after="0" w:line="269" w:lineRule="auto"/>
        <w:tabs>
          <w:tab w:leader="none" w:pos="2392"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Calculation of Consideration Received</w:t>
      </w:r>
      <w:r>
        <w:rPr>
          <w:rFonts w:ascii="Arial" w:cs="Arial" w:eastAsia="Arial" w:hAnsi="Arial"/>
          <w:sz w:val="17"/>
          <w:szCs w:val="17"/>
          <w:color w:val="auto"/>
        </w:rPr>
        <w:t>. If any Option is issued in connection with the issue or sale of other securities of the Company, together comprising one integrated transaction in which no specific consideration is allocated to such Options by the parties thereto, the Options will be deemed to have been issued for a consideration of $0.01. If any Common Stock, Options or Convertible Securities are issued or sold or deemed to have been issued or sold for cash, the consideration received therefor will be deemed to be the gross amount paid by the purchaser of such Common Stock, Options, or Convertible Securities, before any commissions, discounts, fe es or expenses. If any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(including goodwill) of the non-surviving entity as is attributable to such Common Stock, Options or Convertible Securities, as the case may be. If any Common Stock, Options or Convertible Securities are issued or sold or deemed to have been issued or sold for non-cash consideration, the consideration received therefore will be deemed to be the fair value of such non-cash consideration as determined in good faith by the board of directors of the Company. No adjustment shall be made if such adjustment would result in an increase of the Warrant Price then in effect.</w:t>
      </w:r>
    </w:p>
    <w:p>
      <w:pPr>
        <w:spacing w:after="0" w:line="182" w:lineRule="exact"/>
        <w:rPr>
          <w:rFonts w:ascii="Arial" w:cs="Arial" w:eastAsia="Arial" w:hAnsi="Arial"/>
          <w:sz w:val="17"/>
          <w:szCs w:val="17"/>
          <w:color w:val="auto"/>
        </w:rPr>
      </w:pPr>
    </w:p>
    <w:p>
      <w:pPr>
        <w:ind w:left="-20" w:right="40" w:firstLine="1953"/>
        <w:spacing w:after="0" w:line="257" w:lineRule="auto"/>
        <w:tabs>
          <w:tab w:leader="none" w:pos="2342"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Record Date</w:t>
      </w:r>
      <w:r>
        <w:rPr>
          <w:rFonts w:ascii="Arial" w:cs="Arial" w:eastAsia="Arial" w:hAnsi="Arial"/>
          <w:sz w:val="18"/>
          <w:szCs w:val="18"/>
          <w:color w:val="auto"/>
        </w:rPr>
        <w:t>. If the Company takes a record of the holders of Common Stock for the purpose of entitling them (i) to receive a dividend or other distribution payable in Common Stock, Options or in Convertible Securities or (ii) to subscribe for or purchase Common Stock, Options or Convertible Securities, then such record date will be deemed to be the date of the issue or sale of the Common Stock deemed to have been issued or sold upon the declaration of such dividend or the making of such other distribution or the date of the granting of such right of subscription or purchase, as the case may be.</w:t>
      </w:r>
    </w:p>
    <w:p>
      <w:pPr>
        <w:spacing w:after="0" w:line="188" w:lineRule="exact"/>
        <w:rPr>
          <w:rFonts w:ascii="Arial" w:cs="Arial" w:eastAsia="Arial" w:hAnsi="Arial"/>
          <w:sz w:val="18"/>
          <w:szCs w:val="18"/>
          <w:color w:val="auto"/>
        </w:rPr>
      </w:pPr>
    </w:p>
    <w:p>
      <w:pPr>
        <w:ind w:left="-20" w:firstLine="1305"/>
        <w:spacing w:after="0" w:line="288" w:lineRule="auto"/>
        <w:tabs>
          <w:tab w:leader="none" w:pos="1693"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while this Warrant is outstanding: (i) pays a stock dividend or otherwise makes a distribution or distributions on shares of its Common Stock or any other equity or equity-equivalent securities payable in shares of Common Stock (which, for avoidance of doubt, shall not include any shares of Common Stock issued by the Company pursuant to this Warrant), (ii) subdivides outstanding shares of Common Stock into a larger number of shares, (iii) combines (including by way of reverse stock split) outstanding shares of Common Stock into a smaller n umber of shares, or (iv) issues by reclassification of shares of the Common Stock any shares of capital stock of the Company, then in each case the Warrant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Any adjustment made pursuant to this Section 4(b)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490" w:right="259" w:bottom="1440" w:gutter="0" w:footer="0" w:header="0"/>
        </w:sectPr>
      </w:pPr>
    </w:p>
    <w:bookmarkStart w:id="33" w:name="page34"/>
    <w:bookmarkEnd w:id="33"/>
    <w:p>
      <w:pPr>
        <w:ind w:left="-8" w:right="60" w:firstLine="1305"/>
        <w:spacing w:after="0" w:line="270" w:lineRule="auto"/>
        <w:tabs>
          <w:tab w:leader="none" w:pos="1695"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Pro Rata Distributions</w:t>
      </w:r>
      <w:r>
        <w:rPr>
          <w:rFonts w:ascii="Arial" w:cs="Arial" w:eastAsia="Arial" w:hAnsi="Arial"/>
          <w:sz w:val="17"/>
          <w:szCs w:val="17"/>
          <w:color w:val="auto"/>
        </w:rPr>
        <w:t>. If the Company, at any time prior to the Expiration Date, shall distribute to all holders of Common Stock (and not to Holders of the Warrants) evidences of its indebtedness or assets (including cash and cash dividends) or rights or warrants to subscribe for or purchase any security other than the Common Stock, then in each such case the Warrant Price shall be adjusted by multiplying the Warrant Price in effect immediately prior to the record date fixed for determination of stockholders entitled to receive such distribution by a fraction of which the denominator shall be the Volume-Weighted Average Price (“</w:t>
      </w:r>
      <w:r>
        <w:rPr>
          <w:rFonts w:ascii="Arial" w:cs="Arial" w:eastAsia="Arial" w:hAnsi="Arial"/>
          <w:sz w:val="17"/>
          <w:szCs w:val="17"/>
          <w:u w:val="single" w:color="auto"/>
          <w:color w:val="auto"/>
        </w:rPr>
        <w:t>VWAP</w:t>
      </w:r>
      <w:r>
        <w:rPr>
          <w:rFonts w:ascii="Arial" w:cs="Arial" w:eastAsia="Arial" w:hAnsi="Arial"/>
          <w:sz w:val="17"/>
          <w:szCs w:val="17"/>
          <w:color w:val="auto"/>
        </w:rPr>
        <w:t>”) determined as of the record date mentioned above, and of which the numerator shall be such VWAP on such record date less the then per share fair market value at such record date of the portion of such assets or evidence of indebtedness so distributed applicable to one outstanding share of the Common Stock as determined by the board of directors of the Company in good faith. The adjustment shall be described in a statement provided to the Holder. Such adjustment shall be made whenever any such distribution is made and shall become effective immediately after the record date mentioned above.</w:t>
      </w:r>
    </w:p>
    <w:p>
      <w:pPr>
        <w:spacing w:after="0" w:line="181" w:lineRule="exact"/>
        <w:rPr>
          <w:rFonts w:ascii="Arial" w:cs="Arial" w:eastAsia="Arial" w:hAnsi="Arial"/>
          <w:sz w:val="17"/>
          <w:szCs w:val="17"/>
          <w:color w:val="auto"/>
        </w:rPr>
      </w:pPr>
    </w:p>
    <w:p>
      <w:pPr>
        <w:ind w:left="-8" w:right="20" w:firstLine="1305"/>
        <w:spacing w:after="0" w:line="282" w:lineRule="auto"/>
        <w:tabs>
          <w:tab w:leader="none" w:pos="1705"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If, at any time while this Warrant is outstanding, there is a Fundamental Transaction (defined below), then, upon any subsequent exercise of this Warrant, the Holder shall have the right to receive, for each Warrant Share that would have been issuable upon such exercise immediately prior to the occurrence of such Fundamental Transaction, (a)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upon or as a resu lt of such reorganization, reclassification, merger, consolidation or disposition of assets by a Holder of the number of shares of Common Stock for which this Warrant is exercisable immediately prior to such event or (b) if the Company is acquired in an all-cash transaction, cash equal to the value of this Warrant as determined by use of the Black Scholes Option Pricing Model reflecting (i) a risk-free interest rate corresponding to the U.S. Treasury rate for a period equal to the remaining term of this Warrant as of such date of request and (ii) an expected volatility equal to the 100-day volatility obtained from the HVT function on Bloomberg for the 100-day period ending on the date of the Change of Control Redemption Notice. For purposes of any such exercise, the determination of the Warrant Price shall be appropriately adjusted to apply to such Alternate Consideration based on the amount of Alternate Consideration issuable in respect of one share of Common Stock in such Fundamental Transaction, and the Company shall apportion the Warrant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To the extent necessary to effectuate the foregoing provisions, any successor to the Company or surviving entity in such Fundamental Transaction shall issue to the Holder a new warrant consistent with the foregoing provisions and evidencing the Holder’s right to exercise such warrant into Alternate Consideration. The terms of any agreement pursuant to which a Fundamental Transaction is effected shall include terms requiring any such successor or surviving entity to comply with the provisions of this Section 2.4 and insuring that this Warrant (or any such replacement security) will be similarly adjusted upon any subsequent transaction analogous to a Fundamental Transaction.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means that the Company shall, directly or indirectly, in one or more related transactions,</w:t>
      </w:r>
    </w:p>
    <w:p>
      <w:pPr>
        <w:spacing w:after="0" w:line="12" w:lineRule="exact"/>
        <w:rPr>
          <w:rFonts w:ascii="Arial" w:cs="Arial" w:eastAsia="Arial" w:hAnsi="Arial"/>
          <w:sz w:val="16"/>
          <w:szCs w:val="16"/>
          <w:color w:val="auto"/>
        </w:rPr>
      </w:pPr>
    </w:p>
    <w:p>
      <w:pPr>
        <w:ind w:left="-8" w:firstLine="8"/>
        <w:spacing w:after="0" w:line="284" w:lineRule="auto"/>
        <w:tabs>
          <w:tab w:leader="none" w:pos="207"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consolidate or merge with or into (whether or not the Company is the surviving corporation) another Person, or (ii) sell, assign, transfer, convey or otherwise dispose of all or substantially all of the properties or assets of the Company to another Person, or (iii) allow another Person or Persons to make a purchase, tender or exchange offer that is accepted by the holders of more than the 50% of the outstanding shares of Voting Stock (not including any shares of Voting Stock held by the Person or Persons making or party to, or associated or affiliated with the Person or Persons making or party t o, such purchase, tender or exchange offer), or (iv) consummate a stock purchase agreement or other business combination (including, without limitation, a reorganization, recapitalization, spin-off or scheme of arrangement) with another Person whereby such other Person acquires more than the 50% of either the outstanding shares of Voting Stock (not including any shares of Voting Stock held by the other Person or other Persons making or party to, or associated or affiliated with the other Persons making or party to, such stock purchase agreement or other business combination), (v) reorganize, recapitalize or reclassify its Common Stock or (vi) any “person” or “group” (as these terms are used for purposes of Sections 13(d) and 14(d) of the Exchange Act) is or shall become the “beneficial owner” (as defined in Rule 13d-3 under the Exchange Act), directly or indirectly, of 50% of the aggregate Voting Stock of the Company. “</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or corporation, partnership, trust, incorporated or unincorporated association, joint venture, limited liability company, joint stock company, government (or an agency or subdivision thereof) or other entity of any kind. “</w:t>
      </w:r>
      <w:r>
        <w:rPr>
          <w:rFonts w:ascii="Arial" w:cs="Arial" w:eastAsia="Arial" w:hAnsi="Arial"/>
          <w:sz w:val="16"/>
          <w:szCs w:val="16"/>
          <w:u w:val="single" w:color="auto"/>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32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490" w:right="239" w:bottom="1440" w:gutter="0" w:footer="0" w:header="0"/>
        </w:sectPr>
      </w:pPr>
    </w:p>
    <w:bookmarkStart w:id="34" w:name="page35"/>
    <w:bookmarkEnd w:id="34"/>
    <w:p>
      <w:pPr>
        <w:ind w:right="80" w:firstLine="1305"/>
        <w:spacing w:after="0" w:line="257" w:lineRule="auto"/>
        <w:tabs>
          <w:tab w:leader="none" w:pos="170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If any event occurs of the type contemplated by the provisions of this Section 4 but not expressly provided for by such provisions (including, without limitation, the granting of stock appreciation rights, phantom stock rights or other rights with equity features), then the Company’s board of directors in good faith will make an appropriate adjustment in the Warrant Price so as to be equitable under the circumstances and otherwise protect the rights of the Holders; provided that no such adjustment will increase the Warrant Price as otherwise determined pursuant to this Section 4.</w:t>
      </w:r>
    </w:p>
    <w:p>
      <w:pPr>
        <w:spacing w:after="0" w:line="188" w:lineRule="exact"/>
        <w:rPr>
          <w:rFonts w:ascii="Arial" w:cs="Arial" w:eastAsia="Arial" w:hAnsi="Arial"/>
          <w:sz w:val="18"/>
          <w:szCs w:val="18"/>
          <w:color w:val="auto"/>
        </w:rPr>
      </w:pPr>
    </w:p>
    <w:p>
      <w:pPr>
        <w:ind w:right="80" w:firstLine="1305"/>
        <w:spacing w:after="0" w:line="264" w:lineRule="auto"/>
        <w:tabs>
          <w:tab w:leader="none" w:pos="168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4 shall be made to the nearest cent or the nearest 1/100th of a share, as the case may be. For purposes of this Section 4, the number of shares of Common Stock deemed to be issued and outstanding as of a given date shall be the sum of the number of shares of Common Stock (excluding treasury shares, if any) issued and outstanding.</w:t>
      </w:r>
    </w:p>
    <w:p>
      <w:pPr>
        <w:spacing w:after="0" w:line="181" w:lineRule="exact"/>
        <w:rPr>
          <w:rFonts w:ascii="Arial" w:cs="Arial" w:eastAsia="Arial" w:hAnsi="Arial"/>
          <w:sz w:val="18"/>
          <w:szCs w:val="18"/>
          <w:color w:val="auto"/>
        </w:rPr>
      </w:pPr>
    </w:p>
    <w:p>
      <w:pPr>
        <w:ind w:right="100" w:firstLine="1305"/>
        <w:spacing w:after="0" w:line="277" w:lineRule="auto"/>
        <w:tabs>
          <w:tab w:leader="none" w:pos="171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Exceptions to Adjustment of Warrant Price</w:t>
      </w:r>
      <w:r>
        <w:rPr>
          <w:rFonts w:ascii="Arial" w:cs="Arial" w:eastAsia="Arial" w:hAnsi="Arial"/>
          <w:sz w:val="18"/>
          <w:szCs w:val="18"/>
          <w:color w:val="auto"/>
        </w:rPr>
        <w:t>. Notwithstanding the foregoing, the adjustments set forth in this Section 4 shall not apply in respect to the issuance of the following (each, a “</w:t>
      </w:r>
      <w:r>
        <w:rPr>
          <w:rFonts w:ascii="Arial" w:cs="Arial" w:eastAsia="Arial" w:hAnsi="Arial"/>
          <w:sz w:val="18"/>
          <w:szCs w:val="18"/>
          <w:u w:val="single" w:color="auto"/>
          <w:color w:val="auto"/>
        </w:rPr>
        <w:t>Permitted Issuance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300" w:firstLine="1953"/>
        <w:spacing w:after="0" w:line="264" w:lineRule="auto"/>
        <w:tabs>
          <w:tab w:leader="none" w:pos="2322" w:val="left"/>
        </w:tabs>
        <w:numPr>
          <w:ilvl w:val="1"/>
          <w:numId w:val="43"/>
        </w:numPr>
        <w:rPr>
          <w:rFonts w:ascii="Arial" w:cs="Arial" w:eastAsia="Arial" w:hAnsi="Arial"/>
          <w:sz w:val="18"/>
          <w:szCs w:val="18"/>
          <w:color w:val="auto"/>
        </w:rPr>
      </w:pPr>
      <w:r>
        <w:rPr>
          <w:rFonts w:ascii="Arial" w:cs="Arial" w:eastAsia="Arial" w:hAnsi="Arial"/>
          <w:sz w:val="18"/>
          <w:szCs w:val="18"/>
          <w:color w:val="auto"/>
        </w:rPr>
        <w:t>shares of Common Stock or Options issued or issuable in connection with any Approved Stock Plan (defined below), provided that the aggregate amount of Common Stock and Options issued and issuable under all such plans does not exceed ten percent (10%) of the then outstanding shares of Common Stock of the Company;</w:t>
      </w:r>
    </w:p>
    <w:p>
      <w:pPr>
        <w:spacing w:after="0" w:line="181" w:lineRule="exact"/>
        <w:rPr>
          <w:rFonts w:ascii="Arial" w:cs="Arial" w:eastAsia="Arial" w:hAnsi="Arial"/>
          <w:sz w:val="18"/>
          <w:szCs w:val="18"/>
          <w:color w:val="auto"/>
        </w:rPr>
      </w:pPr>
    </w:p>
    <w:p>
      <w:pPr>
        <w:ind w:firstLine="1953"/>
        <w:spacing w:after="0" w:line="259" w:lineRule="auto"/>
        <w:tabs>
          <w:tab w:leader="none" w:pos="2372" w:val="left"/>
        </w:tabs>
        <w:numPr>
          <w:ilvl w:val="1"/>
          <w:numId w:val="43"/>
        </w:numPr>
        <w:rPr>
          <w:rFonts w:ascii="Arial" w:cs="Arial" w:eastAsia="Arial" w:hAnsi="Arial"/>
          <w:sz w:val="18"/>
          <w:szCs w:val="18"/>
          <w:color w:val="auto"/>
        </w:rPr>
      </w:pPr>
      <w:r>
        <w:rPr>
          <w:rFonts w:ascii="Arial" w:cs="Arial" w:eastAsia="Arial" w:hAnsi="Arial"/>
          <w:sz w:val="18"/>
          <w:szCs w:val="18"/>
          <w:color w:val="auto"/>
        </w:rPr>
        <w:t>shares of Common Stock issued upon conversion or exercise of any Options or Convertible Securities that are outstanding on the day immediately preceding the Closing Date, provided that the terms of such Options or Convertible Securities are not amended, modified or changed on or after the Closing Date to lower the conversion or exercise price thereof and so long as the number of shares of Common Stock underlying such securities is not otherwise increased; and</w:t>
      </w:r>
    </w:p>
    <w:p>
      <w:pPr>
        <w:spacing w:after="0" w:line="186" w:lineRule="exact"/>
        <w:rPr>
          <w:rFonts w:ascii="Arial" w:cs="Arial" w:eastAsia="Arial" w:hAnsi="Arial"/>
          <w:sz w:val="18"/>
          <w:szCs w:val="18"/>
          <w:color w:val="auto"/>
        </w:rPr>
      </w:pPr>
    </w:p>
    <w:p>
      <w:pPr>
        <w:ind w:right="20" w:firstLine="1953"/>
        <w:spacing w:after="0" w:line="277" w:lineRule="auto"/>
        <w:tabs>
          <w:tab w:leader="none" w:pos="2422" w:val="left"/>
        </w:tabs>
        <w:numPr>
          <w:ilvl w:val="1"/>
          <w:numId w:val="43"/>
        </w:numPr>
        <w:rPr>
          <w:rFonts w:ascii="Arial" w:cs="Arial" w:eastAsia="Arial" w:hAnsi="Arial"/>
          <w:sz w:val="18"/>
          <w:szCs w:val="18"/>
          <w:color w:val="auto"/>
        </w:rPr>
      </w:pPr>
      <w:r>
        <w:rPr>
          <w:rFonts w:ascii="Arial" w:cs="Arial" w:eastAsia="Arial" w:hAnsi="Arial"/>
          <w:sz w:val="18"/>
          <w:szCs w:val="18"/>
          <w:color w:val="auto"/>
        </w:rPr>
        <w:t>shares of Common Stock issued in an underwritten public offering in which the gross cash proceeds to the Company (before underwriting discounts, commissions and fees) are at least $10,000,000.</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For purposes of this Warrant, “</w:t>
      </w:r>
      <w:r>
        <w:rPr>
          <w:rFonts w:ascii="Arial" w:cs="Arial" w:eastAsia="Arial" w:hAnsi="Arial"/>
          <w:sz w:val="16"/>
          <w:szCs w:val="16"/>
          <w:u w:val="single" w:color="auto"/>
          <w:color w:val="auto"/>
        </w:rPr>
        <w:t>Approved Stock Plan</w:t>
      </w:r>
      <w:r>
        <w:rPr>
          <w:rFonts w:ascii="Arial" w:cs="Arial" w:eastAsia="Arial" w:hAnsi="Arial"/>
          <w:sz w:val="16"/>
          <w:szCs w:val="16"/>
          <w:color w:val="auto"/>
        </w:rPr>
        <w:t>” means any employee benefit plan which has been approved by the Board of Directors of the Company, pursuant to which the Company’s securities may be issued to any employee, consultant, officer or director for services provided to the Company.</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35" w:name="page36"/>
    <w:bookmarkEnd w:id="35"/>
    <w:p>
      <w:pPr>
        <w:ind w:right="60" w:firstLine="1305"/>
        <w:spacing w:after="0" w:line="270" w:lineRule="auto"/>
        <w:tabs>
          <w:tab w:leader="none" w:pos="1713"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Redemption Right</w:t>
      </w:r>
      <w:r>
        <w:rPr>
          <w:rFonts w:ascii="Arial" w:cs="Arial" w:eastAsia="Arial" w:hAnsi="Arial"/>
          <w:sz w:val="17"/>
          <w:szCs w:val="17"/>
          <w:color w:val="auto"/>
        </w:rPr>
        <w:t>. No sooner than fifteen (15) days nor later than ten (10) days prior to the consummation of a Corporate Change that constitutes a change of control, but not prior to the public announcement of such change of control, the Company shall deliver written notice thereof via facsimile and overnight courier to the Holder (a “</w:t>
      </w:r>
      <w:r>
        <w:rPr>
          <w:rFonts w:ascii="Arial" w:cs="Arial" w:eastAsia="Arial" w:hAnsi="Arial"/>
          <w:sz w:val="17"/>
          <w:szCs w:val="17"/>
          <w:u w:val="single" w:color="auto"/>
          <w:color w:val="auto"/>
        </w:rPr>
        <w:t>Change in Control Notice</w:t>
      </w:r>
      <w:r>
        <w:rPr>
          <w:rFonts w:ascii="Arial" w:cs="Arial" w:eastAsia="Arial" w:hAnsi="Arial"/>
          <w:sz w:val="17"/>
          <w:szCs w:val="17"/>
          <w:color w:val="auto"/>
        </w:rPr>
        <w:t>”). At any time during the period beginning after the Holder’s receipt of a Change of Control Notice and ending ten (10) Trading Days after the consummation of such change of control, the Holder may require t he Company to redeem all or any portion of this Warrant by delivering written notice thereof (“</w:t>
      </w:r>
      <w:r>
        <w:rPr>
          <w:rFonts w:ascii="Arial" w:cs="Arial" w:eastAsia="Arial" w:hAnsi="Arial"/>
          <w:sz w:val="17"/>
          <w:szCs w:val="17"/>
          <w:u w:val="single" w:color="auto"/>
          <w:color w:val="auto"/>
        </w:rPr>
        <w:t>Change in Control Redemption Notice</w:t>
      </w:r>
      <w:r>
        <w:rPr>
          <w:rFonts w:ascii="Arial" w:cs="Arial" w:eastAsia="Arial" w:hAnsi="Arial"/>
          <w:sz w:val="17"/>
          <w:szCs w:val="17"/>
          <w:color w:val="auto"/>
        </w:rPr>
        <w:t>”) to the Company, which Change of Control Redemption Notice shall indicate the amount the Holder is electing to be redeemed. Any such redemption shall be in cash in the amount equal to the value of the remaining unexercised portion of this Warrant on the date of such consummation, which value shall be determined by use of the Black Scholes Option Pricing Model reflecting (A) a risk-free interest rate corresponding to the U.S. Treasury rate for a period equal to the remaining term of this Warrant as of such date of request and (B) an expected volatility equal to the 100-day volatility obtained from the HVT function on Bloomberg for the 100-day period ending on the date of the Change of Control Redemption Notice.</w:t>
      </w:r>
    </w:p>
    <w:p>
      <w:pPr>
        <w:spacing w:after="0" w:line="177" w:lineRule="exact"/>
        <w:rPr>
          <w:rFonts w:ascii="Arial" w:cs="Arial" w:eastAsia="Arial" w:hAnsi="Arial"/>
          <w:sz w:val="17"/>
          <w:szCs w:val="17"/>
          <w:color w:val="auto"/>
        </w:rPr>
      </w:pPr>
    </w:p>
    <w:p>
      <w:pPr>
        <w:jc w:val="both"/>
        <w:ind w:firstLine="656"/>
        <w:spacing w:after="0" w:line="287" w:lineRule="auto"/>
        <w:tabs>
          <w:tab w:leader="none" w:pos="1305"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Notice of Adjustments</w:t>
      </w:r>
      <w:r>
        <w:rPr>
          <w:rFonts w:ascii="Arial" w:cs="Arial" w:eastAsia="Arial" w:hAnsi="Arial"/>
          <w:sz w:val="16"/>
          <w:szCs w:val="16"/>
          <w:color w:val="auto"/>
        </w:rPr>
        <w:t>. Whenever the Warrant Price or Warrant Share Number shall be adjusted pursuant to Section 4 hereof (for purposes of this Section 5, each an “</w:t>
      </w:r>
      <w:r>
        <w:rPr>
          <w:rFonts w:ascii="Arial" w:cs="Arial" w:eastAsia="Arial" w:hAnsi="Arial"/>
          <w:sz w:val="16"/>
          <w:szCs w:val="16"/>
          <w:u w:val="single" w:color="auto"/>
          <w:color w:val="auto"/>
        </w:rPr>
        <w:t>adjustment</w:t>
      </w:r>
      <w:r>
        <w:rPr>
          <w:rFonts w:ascii="Arial" w:cs="Arial" w:eastAsia="Arial" w:hAnsi="Arial"/>
          <w:sz w:val="16"/>
          <w:szCs w:val="16"/>
          <w:color w:val="auto"/>
        </w:rPr>
        <w:t xml:space="preserve">”), the Company shall cause its Chief Financial Officer to prepare and execute a certificate setting forth, in reasonable detail, the event requiring the adjustment, the amount of the adjustment, the method by which such adjustment was calculated (including a description of the basis on which the Board made any determination hereunder), and the Warrant Price and Warrant Share Number after giving effect to such adjustment, and shall cause copies of such certificate to be delivered to the Holder of this Warrant promptly after each adjustment. Any dispute between the Company and the Holder of this Warrant with respect to the matters set forth in such certificate may at the option of the Holder of this Warrant be submitted to a national or regional accounting firm reasonably acceptable to the Company and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have ten (10) days after receipt of notice from such Holder of its selection of such firm to object thereto, in which case such Holder shall select another such firm and the Company shall have no such right of objection. The firm selected by the Holder of this Warrant as provided in the preceding sentence shall be instructed to deliver a written opinion as to such matters to the Company and such Holder within thirty (30) days after submission to it of such dispute. Such opinion shall be final and binding on the part ies hereto. The costs and expenses of the initial accounting firm shall be paid equally by the Company and the Holder and, in the case of an objection by the Company, the costs and expenses of the subsequent accounting firm shall be paid in full by the Company.</w:t>
      </w:r>
    </w:p>
    <w:p>
      <w:pPr>
        <w:spacing w:after="0" w:line="168" w:lineRule="exact"/>
        <w:rPr>
          <w:rFonts w:ascii="Arial" w:cs="Arial" w:eastAsia="Arial" w:hAnsi="Arial"/>
          <w:sz w:val="16"/>
          <w:szCs w:val="16"/>
          <w:color w:val="auto"/>
        </w:rPr>
      </w:pPr>
    </w:p>
    <w:p>
      <w:pPr>
        <w:ind w:firstLine="656"/>
        <w:spacing w:after="0" w:line="277" w:lineRule="auto"/>
        <w:tabs>
          <w:tab w:leader="none" w:pos="130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Warrant Shares will be issued in connection with any exercise hereof, but in lieu of such fractional shares, the Company shall round the number of shares to be issued upon exercise up to the nearest whole number of shares.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6" w:name="page37"/>
    <w:bookmarkEnd w:id="36"/>
    <w:p>
      <w:pPr>
        <w:ind w:left="640" w:hanging="632"/>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Ownership Caps and Certain Exercise Restrictions</w:t>
      </w:r>
      <w:r>
        <w:rPr>
          <w:rFonts w:ascii="Arial" w:cs="Arial" w:eastAsia="Arial" w:hAnsi="Arial"/>
          <w:sz w:val="18"/>
          <w:szCs w:val="18"/>
          <w:color w:val="auto"/>
        </w:rPr>
        <w:t>.</w:t>
      </w:r>
    </w:p>
    <w:p>
      <w:pPr>
        <w:spacing w:after="0" w:line="225" w:lineRule="exact"/>
        <w:rPr>
          <w:sz w:val="20"/>
          <w:szCs w:val="20"/>
          <w:color w:val="auto"/>
        </w:rPr>
      </w:pPr>
    </w:p>
    <w:p>
      <w:pPr>
        <w:jc w:val="both"/>
        <w:ind w:firstLine="8"/>
        <w:spacing w:after="0" w:line="288" w:lineRule="auto"/>
        <w:tabs>
          <w:tab w:leader="none" w:pos="318"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set forth in this Warrant, at no time may a Holder of this Warrant exercise any portion of this Warrant if the number of shares of Common Stock to be issued pursuant to such exercise would exceed, when aggregated with all other shares of Common Stock beneficially owned by such Holder at such time, the number of shares of Common Stock which would result in such Holder beneficially owning (as determined in accordance with Section 13(d) of the Exchange Act and the rules thereunder) in excess of 4.99% of the then issued and outstanding shares of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upon a holder o f this Warrant providing the Company with sixty-one (61) days notice (pursuant to Section 12 hereof) (the “</w:t>
      </w:r>
      <w:r>
        <w:rPr>
          <w:rFonts w:ascii="Arial" w:cs="Arial" w:eastAsia="Arial" w:hAnsi="Arial"/>
          <w:sz w:val="16"/>
          <w:szCs w:val="16"/>
          <w:u w:val="single" w:color="auto"/>
          <w:color w:val="auto"/>
        </w:rPr>
        <w:t>Waiver Notice</w:t>
      </w:r>
      <w:r>
        <w:rPr>
          <w:rFonts w:ascii="Arial" w:cs="Arial" w:eastAsia="Arial" w:hAnsi="Arial"/>
          <w:sz w:val="16"/>
          <w:szCs w:val="16"/>
          <w:color w:val="auto"/>
        </w:rPr>
        <w:t>”) that such Holder would like to waive this Section 7(a) with regard to any or all shares of Common Stock issuable upon exercise of this Warrant, this Section 7(a) will be of no force or effect with regard to all or a portion of the Warrant referenced in the Waiver Notice; provided, further, that this provision shall be of no further force or effect during the sixty-one (61) days immediately preceding the expiration of the term of this Warrant. In all circumstances, exercise of this Warrant shall be deemed to be the Holder’s representation that such exercise conforms to the provisions of this Section 7(a) and the Company shall be under no obligation to verify or ascertain compliance by the Holder with this provision.</w:t>
      </w:r>
    </w:p>
    <w:p>
      <w:pPr>
        <w:spacing w:after="0" w:line="169" w:lineRule="exact"/>
        <w:rPr>
          <w:rFonts w:ascii="Arial" w:cs="Arial" w:eastAsia="Arial" w:hAnsi="Arial"/>
          <w:sz w:val="16"/>
          <w:szCs w:val="16"/>
          <w:color w:val="auto"/>
        </w:rPr>
      </w:pPr>
    </w:p>
    <w:p>
      <w:pPr>
        <w:jc w:val="both"/>
        <w:ind w:firstLine="8"/>
        <w:spacing w:after="0" w:line="290" w:lineRule="auto"/>
        <w:tabs>
          <w:tab w:leader="none" w:pos="3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The Holder may not exercise the Warrant hereunder to the extent such exercise would result in the Holder beneficially owning (as determined in accordance with Section 13(d) of the Exchange Act and the rules thereunder) in excess of 9.99% of the then issued and outstanding shares of Common Stock, including shares issuable upon exercise of the Warrant held by the Holder after application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upon a holder of this Warrant providing the Company with a Waiver Notice that such holder would like to waive this Section 7(b) with regard to any or all shares of Common Stock issuable upon exercise of this Warrant, this Sectio n 7(b) shall be of no force or effect with regard to those Warrant Shares referenced in the Waiver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this provision shall be of no further force or effect during the sixty-one (61) days immediately preceding the expiration of the term of this Warrant. In all circumstances, exercise of this Warrant shall be deemed to be the Holder’s representation that such exercise conforms to the provisions of this Section 7(b) and the Company shall be under no obligation to verify or ascertain compliance by the Holder with this provision.</w:t>
      </w:r>
    </w:p>
    <w:p>
      <w:pPr>
        <w:spacing w:after="0" w:line="166" w:lineRule="exact"/>
        <w:rPr>
          <w:sz w:val="20"/>
          <w:szCs w:val="20"/>
          <w:color w:val="auto"/>
        </w:rPr>
      </w:pPr>
    </w:p>
    <w:p>
      <w:pPr>
        <w:ind w:left="640" w:hanging="632"/>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Warrant, the following terms have the following meanings:</w:t>
      </w:r>
    </w:p>
    <w:p>
      <w:pPr>
        <w:spacing w:after="0" w:line="225" w:lineRule="exact"/>
        <w:rPr>
          <w:rFonts w:ascii="Arial" w:cs="Arial" w:eastAsia="Arial" w:hAnsi="Arial"/>
          <w:sz w:val="18"/>
          <w:szCs w:val="18"/>
          <w:color w:val="auto"/>
        </w:rPr>
      </w:pPr>
    </w:p>
    <w:p>
      <w:pPr>
        <w:ind w:left="660" w:right="20"/>
        <w:spacing w:after="0" w:line="308"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Articles of Incorporation</w:t>
      </w:r>
      <w:r>
        <w:rPr>
          <w:rFonts w:ascii="Arial" w:cs="Arial" w:eastAsia="Arial" w:hAnsi="Arial"/>
          <w:sz w:val="17"/>
          <w:szCs w:val="17"/>
          <w:color w:val="auto"/>
        </w:rPr>
        <w:t>” means the Articles of Incorporation of the Company as in effect on the Original Issue Date, and as hereafter from time to time amended, modified, supplemented or restated in accordance with the terms hereof and thereof and pursuant to applicable law.</w:t>
      </w:r>
    </w:p>
    <w:p>
      <w:pPr>
        <w:spacing w:after="0" w:line="3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and includes (i) any and all shares, interests, participations or other equivalents of or interests in (however designated) corporate stock, including, without limitation, shares of preferred or preference stock, (ii) all partnership interests (whether general or limited) in any Person which is a partnership, (iii) all membership interests or limited liability company interests in any limited liability company, and (iv) all equity or ownership interests in any Person of any other type.</w:t>
      </w:r>
    </w:p>
    <w:p>
      <w:pPr>
        <w:spacing w:after="0" w:line="187"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$0.001 par value per share, of the Company and any other Capital Stock into which such stock may hereafter be changed.</w:t>
      </w:r>
    </w:p>
    <w:p>
      <w:pPr>
        <w:spacing w:after="0" w:line="170"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governmental, regulatory or self-regulatory entity, department, body, official, authority, commission, board, agency or instrumentality, whether federal, state or local, and whether domestic or foreign.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Holders</w:t>
      </w:r>
      <w:r>
        <w:rPr>
          <w:rFonts w:ascii="Arial" w:cs="Arial" w:eastAsia="Arial" w:hAnsi="Arial"/>
          <w:sz w:val="18"/>
          <w:szCs w:val="18"/>
          <w:color w:val="auto"/>
        </w:rPr>
        <w:t>” mean the Persons who shall from time to time own any Warrant. The term “Holder” means one of the Holders.</w:t>
      </w:r>
    </w:p>
    <w:p>
      <w:pPr>
        <w:spacing w:after="0" w:line="225"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Appraiser</w:t>
      </w:r>
      <w:r>
        <w:rPr>
          <w:rFonts w:ascii="Arial" w:cs="Arial" w:eastAsia="Arial" w:hAnsi="Arial"/>
          <w:sz w:val="18"/>
          <w:szCs w:val="18"/>
          <w:color w:val="auto"/>
        </w:rPr>
        <w:t>” means a nationally recognized or major regional investment banking firm or firm of independent certified public accountants of recognized standing (which may be the firm that regularly examines the financial statements of the Company) that is regularly engaged in the business of appraising the Capital Stock or assets of corporations or other entities as going concerns, and which is not affiliated with either the Company or the Holder of any Warrant.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OptimizeRx Corporation, a Nevada corporation, and its successors.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Date</w:t>
      </w:r>
      <w:r>
        <w:rPr>
          <w:rFonts w:ascii="Arial" w:cs="Arial" w:eastAsia="Arial" w:hAnsi="Arial"/>
          <w:sz w:val="18"/>
          <w:szCs w:val="18"/>
          <w:color w:val="auto"/>
        </w:rPr>
        <w:t>” means June 4,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OTC Bulletin Board</w:t>
      </w:r>
      <w:r>
        <w:rPr>
          <w:rFonts w:ascii="Arial" w:cs="Arial" w:eastAsia="Arial" w:hAnsi="Arial"/>
          <w:sz w:val="18"/>
          <w:szCs w:val="18"/>
          <w:color w:val="auto"/>
        </w:rPr>
        <w:t>” means the over-the-counter electronic bulletin board.</w:t>
      </w:r>
    </w:p>
    <w:p>
      <w:pPr>
        <w:spacing w:after="0" w:line="225"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Common</w:t>
      </w:r>
      <w:r>
        <w:rPr>
          <w:rFonts w:ascii="Arial" w:cs="Arial" w:eastAsia="Arial" w:hAnsi="Arial"/>
          <w:sz w:val="18"/>
          <w:szCs w:val="18"/>
          <w:color w:val="auto"/>
        </w:rPr>
        <w:t>” means any other Capital Stock of the Company of any class which shall be authorized at any time after the date of this Warrant (other than Common Stock) and which shall have the right to participate in the distribution of earnings and assets of the Company without limitation as to amount.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7" w:name="page38"/>
    <w:bookmarkEnd w:id="37"/>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Common Stock</w:t>
      </w:r>
      <w:r>
        <w:rPr>
          <w:rFonts w:ascii="Arial" w:cs="Arial" w:eastAsia="Arial" w:hAnsi="Arial"/>
          <w:sz w:val="18"/>
          <w:szCs w:val="18"/>
          <w:color w:val="auto"/>
        </w:rPr>
        <w:t>” means, at any given time, the aggregate amount of outstanding shares of Common Stock, assuming full exercise, conversion or exchange (as applicable) of all options, warrants and other Securities which are convertible into or exercisable or exchangeable for, and any right to subscribe for, shares of Common Stock that are outstanding at such time.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limited liability company, partnership, joint stock company, trust, unincorporated organization, joint venture, Governmental Authority or other entity of whatever nature.</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 Share Market Value</w:t>
      </w:r>
      <w:r>
        <w:rPr>
          <w:rFonts w:ascii="Arial" w:cs="Arial" w:eastAsia="Arial" w:hAnsi="Arial"/>
          <w:sz w:val="17"/>
          <w:szCs w:val="17"/>
          <w:color w:val="auto"/>
        </w:rPr>
        <w:t xml:space="preserve">” means on any particular date (a) the last closing bid price per share of the Common Stock on such date on the OTC Bulletin Board or another registered national stock exchange on which the Common Stock is then listed, or if there is no such price on such date, then the closing bid price on such exchange or quotation system on the date nearest preceding such date, or (b) if the Common Stock is not listed then on the OTC Bulletin Board or any registered national stock exchange, the last closing bid price for a share of Common Stock in the over-the-counter market, as reported by the OTC Bulletin Board or in the National Quotation Bureau Incorporated or similar organization or agency succeeding to its functions of reporting prices) at the close of business on such date, or (c) if the Common Stock is not then reported by the OTC Bulletin Board or the National Quotation Bureau Incorporated (or similar organization or agency succeeding to its functions of reporting prices), then the “Pink Sheet” quotes for the applicable Trading Days preceding such date of determination, or (d) if the Common Stock is not then publicly traded the fair market value of a share of Common Stock as determined by an Independent Appraiser selected in good faith by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after receipt of the determination by such Independent Appraiser, shall have the right to select an additional Independent Appraiser, in which case, the fair market value shall be equal to the average of the determinations by each such Independent Appraiser; and </w:t>
      </w:r>
      <w:r>
        <w:rPr>
          <w:rFonts w:ascii="Arial" w:cs="Arial" w:eastAsia="Arial" w:hAnsi="Arial"/>
          <w:sz w:val="17"/>
          <w:szCs w:val="17"/>
          <w:u w:val="single" w:color="auto"/>
          <w:color w:val="auto"/>
        </w:rPr>
        <w:t>pr</w:t>
      </w:r>
      <w:r>
        <w:rPr>
          <w:rFonts w:ascii="Arial" w:cs="Arial" w:eastAsia="Arial" w:hAnsi="Arial"/>
          <w:sz w:val="17"/>
          <w:szCs w:val="17"/>
          <w:color w:val="auto"/>
        </w:rPr>
        <w:t xml:space="preserve"> </w:t>
      </w:r>
      <w:r>
        <w:rPr>
          <w:rFonts w:ascii="Arial" w:cs="Arial" w:eastAsia="Arial" w:hAnsi="Arial"/>
          <w:sz w:val="17"/>
          <w:szCs w:val="17"/>
          <w:u w:val="single" w:color="auto"/>
          <w:color w:val="auto"/>
        </w:rPr>
        <w:t>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all determinations of the Per Share Market Value shall be appropriately adjusted for any stock dividends, stock splits or other similar transactions during such period. The determination of fair market value by an Independent Appraiser shall be based upon the fair market value of the Company determined on a going concern basis as between a willing buyer and a willing seller and taking into account all relevant factors determinative of value, and the determination of the additional Independent Appraiser, if any, or of the Independent Appraisers otherwise shall be final and binding on all parties. In determining the fair market value of any shares of Common Stock, no consideration shall be given to any restrictions on transfer of the Common Stock imposed by agreement or by federal or state securities laws, or to the existence or absence of, or any limitations on, voting rights.</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Agreement</w:t>
      </w:r>
      <w:r>
        <w:rPr>
          <w:rFonts w:ascii="Arial" w:cs="Arial" w:eastAsia="Arial" w:hAnsi="Arial"/>
          <w:sz w:val="17"/>
          <w:szCs w:val="17"/>
          <w:color w:val="auto"/>
        </w:rPr>
        <w:t>” means the Securities Purchase Agreement dated as of June 4, 2010, among the Company and the Holder.</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any debt or equity securities of the Company, whether now or hereafter authorized, any instrument convertible into or exchangeable for Securities or a Security, and any option, warrant or other right to purchase or acquire any Security. “Security” means one of the Securities.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or any similar federal statute then in effect.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corporation at least 50% of whose outstanding Voting Stock shall at the time be owned directly or indirectly by the Company or by one or more of its Subsidiaries, or by the Company and one or more of its Subsidiaries.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has the meaning specified in Section 1 hereof.</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xml:space="preserve">” means (a) a day on which the Common Stock is traded on the OTC Bulletin Board, or (b) if the Common Stock is not traded on the OTC Bulletin Board, a day on which the Common Stock is quoted in the over-the-counter market as reported by the National Quotation Bureau Incorporated (or any similar organization or agency succeeding its functions of reporting prices);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the Common Stock is not listed or quoted as set forth in (a) or (b) hereof, then Trading Day shall mean any day except Saturday, Sunday and any day which shall be a legal holiday or a day on which banking institutions in the State of New York are authorized or required by law or other government action to close.</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as applied to the Capital Stock of any corporation, Capital Stock of any class or classes (however designated) having ordinary voting power for the election of a majority of the members of the Board of Directors (or other governing body) of such corporation, other than Capital Stock having such power only by reason of the happening of a contingency.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means the Warrants issued and sold pursuant to the Purchase Agreement, including, without limitation, this Warrant, and any other warrants of like tenor issued in substitution or exchange for any thereof pursuant to the provisions of Section 2(c), 2(d) or 2(e) hereof or of any of such other Warrants.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Price</w:t>
      </w:r>
      <w:r>
        <w:rPr>
          <w:rFonts w:ascii="Arial" w:cs="Arial" w:eastAsia="Arial" w:hAnsi="Arial"/>
          <w:sz w:val="18"/>
          <w:szCs w:val="18"/>
          <w:color w:val="auto"/>
        </w:rPr>
        <w:t>” initially means $3.00, as such price may be adjusted from time to time as shall result from the adjustments specified in this Warrant, including Section 4 hereto.</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 Share Number</w:t>
      </w:r>
      <w:r>
        <w:rPr>
          <w:rFonts w:ascii="Arial" w:cs="Arial" w:eastAsia="Arial" w:hAnsi="Arial"/>
          <w:sz w:val="16"/>
          <w:szCs w:val="16"/>
          <w:color w:val="auto"/>
        </w:rPr>
        <w:t>” means at any time the aggregate number of Warrant Shares which may at such time be purchased upon exercise of this Warrant, after giving effect to all prior adjustments and increases to such number made or required to be made under the terms hereof.</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Shares</w:t>
      </w:r>
      <w:r>
        <w:rPr>
          <w:rFonts w:ascii="Arial" w:cs="Arial" w:eastAsia="Arial" w:hAnsi="Arial"/>
          <w:sz w:val="18"/>
          <w:szCs w:val="18"/>
          <w:color w:val="auto"/>
        </w:rPr>
        <w:t>” means shares of Common Stock issuable upon exercise of any Warrant or Warrants or otherwise issuable pursuant to any Warrant or Warrants.</w:t>
      </w:r>
    </w:p>
    <w:p>
      <w:pPr>
        <w:spacing w:after="0" w:line="31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490" w:right="239" w:bottom="1440" w:gutter="0" w:footer="0" w:header="0"/>
        </w:sectPr>
      </w:pPr>
    </w:p>
    <w:bookmarkStart w:id="38" w:name="page39"/>
    <w:bookmarkEnd w:id="38"/>
    <w:p>
      <w:pPr>
        <w:ind w:left="1280" w:hanging="624"/>
        <w:spacing w:after="0"/>
        <w:tabs>
          <w:tab w:leader="none" w:pos="12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Other Notices</w:t>
      </w:r>
      <w:r>
        <w:rPr>
          <w:rFonts w:ascii="Arial" w:cs="Arial" w:eastAsia="Arial" w:hAnsi="Arial"/>
          <w:sz w:val="18"/>
          <w:szCs w:val="18"/>
          <w:color w:val="auto"/>
        </w:rPr>
        <w:t>. In case at any time:</w:t>
      </w:r>
    </w:p>
    <w:p>
      <w:pPr>
        <w:spacing w:after="0" w:line="225"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shall make any distributions to the holders of Common Stock; or</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shall authorize the granting to all holders of its Common Stock of rights to subscribe for or purchase any shares of Capital Stock of any class or other rights;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shall be any reclassification of the Capital Stock of the Company;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shall be any capital reorganization by the Company; or</w:t>
      </w:r>
    </w:p>
    <w:p>
      <w:pPr>
        <w:spacing w:after="0" w:line="2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shall be any (i) consolidation or merger involving the Company or (ii) sale, transfer or other disposition of all or substantially all of the Company’s property, assets or business (except a merger or other reorganization in which the Company shall be the surviving corporation and its shares of Capital Stock shall continue to be outstanding and unchanged and except a consolidation, merger, sale, transfer or other disposition involving a wholly-owned subsidiary); or</w:t>
      </w:r>
    </w:p>
    <w:p>
      <w:pPr>
        <w:spacing w:after="0" w:line="18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shall be a voluntary or involuntary dissolution, liquidation or winding-up of the Company or any partial liquidation of the Company or distribution to holders of Common Stock;</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then, in each of such cases, the Company shall give written notice to the Holder of the date on which (i) the books of the Company shall close or a record shall be taken for such dividend, distribution or subscription rights or (ii) such reorganization, reclassification, consolidation, merger, disposition, dissolution, liquidation or winding-up, as the case may be, shall take place. Such notice also shall specify the date as of which the holders of Common Stock of record shall participate in such dividend, distribution or subscription rights, or shall be entitled to exchange their certificates for Common Stock for securities or other property deliverable upon such reorganization, reclassification, consolidation, merger, disposition, dissolution, liquidation or winding-up, as the case may be. Such notice shall be g iven at least twenty (20) days prior to the action in question and not less than ten (10) days prior to the record date or the date on which the Company’s transfer books are closed in respect thereto. This Warrant entitles the Holder to receive copies of all financial and other information distributed or required to be distributed to the holders of the Common Stock.</w:t>
      </w:r>
    </w:p>
    <w:p>
      <w:pPr>
        <w:spacing w:after="0" w:line="179" w:lineRule="exact"/>
        <w:rPr>
          <w:sz w:val="20"/>
          <w:szCs w:val="20"/>
          <w:color w:val="auto"/>
        </w:rPr>
      </w:pPr>
    </w:p>
    <w:p>
      <w:pPr>
        <w:jc w:val="both"/>
        <w:ind w:firstLine="656"/>
        <w:spacing w:after="0" w:line="255" w:lineRule="auto"/>
        <w:tabs>
          <w:tab w:leader="none" w:pos="1436"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xml:space="preserve">. Any term, covenant, agreement or condition in this Warrant may be amended, or compliance therewith may be waived (either generally or in a particular instance and either retroactively or prospectively), by a written instrument or written instruments executed by the Company and the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amendment or waiver shall reduce the Warrant Share Number, increase the Warrant Price, shorten the period during which this Warrant may be exercised or modify any provision of this Section 10 without the consent of the Holder o f this Warrant. No consideration shall be offered or paid to any person to amend or consent to a waiver or modification of any provision of this Warrant unless the same consideration is also offered to all holders of the Warrants.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9" w:name="page40"/>
    <w:bookmarkEnd w:id="39"/>
    <w:p>
      <w:pPr>
        <w:jc w:val="both"/>
        <w:ind w:firstLine="656"/>
        <w:spacing w:after="0" w:line="270" w:lineRule="auto"/>
        <w:tabs>
          <w:tab w:leader="none" w:pos="1362"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Governing Law; Jurisdiction</w:t>
      </w:r>
      <w:r>
        <w:rPr>
          <w:rFonts w:ascii="Arial" w:cs="Arial" w:eastAsia="Arial" w:hAnsi="Arial"/>
          <w:sz w:val="17"/>
          <w:szCs w:val="17"/>
          <w:color w:val="auto"/>
        </w:rPr>
        <w:t xml:space="preserve">. This Warrant shall be governed by and construed in accordance with the internal laws of the State of Florida, without giving effect to any of the conflicts of law principles which would result in the application of the substantive law of another jurisdiction. This Warrant shall not be interpreted or construed with any presumption against the party causing this Warrant to be drafted. The Company and the Holder agree that venue for any dispute arising under this Warrant will lie exclusively in the state or federal courts located in the State of Florida, and the parties irrevocably waive any right to raise </w:t>
      </w:r>
      <w:r>
        <w:rPr>
          <w:rFonts w:ascii="Arial" w:cs="Arial" w:eastAsia="Arial" w:hAnsi="Arial"/>
          <w:sz w:val="17"/>
          <w:szCs w:val="17"/>
          <w:i w:val="1"/>
          <w:iCs w:val="1"/>
          <w:color w:val="auto"/>
        </w:rPr>
        <w:t>forum non conveniens</w:t>
      </w:r>
      <w:r>
        <w:rPr>
          <w:rFonts w:ascii="Arial" w:cs="Arial" w:eastAsia="Arial" w:hAnsi="Arial"/>
          <w:sz w:val="17"/>
          <w:szCs w:val="17"/>
          <w:color w:val="auto"/>
        </w:rPr>
        <w:t xml:space="preserve"> or any other argument that Florida is not the proper venue. The Company and the Holder irrevocably consent to personal jurisdiction in the state and federal courts of the State of Florida. The Company and the Holder consent to process being served in any such suit, action or proceeding by mailing a copy thereof to such party at the address in effect for notices to it under this Warrant and agrees that such service shall constitute good and sufficient service of process and notice thereof. Nothing in this Section 11 shall affect or limit any right to serve process in any other manner permitted by law. The Company agrees to pay all costs and expenses of enforcement of this Warrant, including, without limitation, reasonable attorneys’ fees and expenses. The parties hereby waive all rights to a trial by jury.</w:t>
      </w:r>
    </w:p>
    <w:p>
      <w:pPr>
        <w:spacing w:after="0" w:line="177" w:lineRule="exact"/>
        <w:rPr>
          <w:rFonts w:ascii="Arial" w:cs="Arial" w:eastAsia="Arial" w:hAnsi="Arial"/>
          <w:sz w:val="17"/>
          <w:szCs w:val="17"/>
          <w:color w:val="auto"/>
        </w:rPr>
      </w:pPr>
    </w:p>
    <w:p>
      <w:pPr>
        <w:jc w:val="both"/>
        <w:ind w:firstLine="656"/>
        <w:spacing w:after="0" w:line="255" w:lineRule="auto"/>
        <w:tabs>
          <w:tab w:leader="none" w:pos="139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demand, request, waiver or other communication required or permitted to be given hereunder shall be in writing and shall be effective (a) upon hand delivery by telecopy or facsimile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 cur. The addresses for such communications shall be as set forth in the Purchase Agreement. Any party hereto may from time to time change its address for notices by giving written notice of such changed address to the other party hereto.</w:t>
      </w:r>
    </w:p>
    <w:p>
      <w:pPr>
        <w:spacing w:after="0" w:line="189" w:lineRule="exact"/>
        <w:rPr>
          <w:rFonts w:ascii="Arial" w:cs="Arial" w:eastAsia="Arial" w:hAnsi="Arial"/>
          <w:sz w:val="18"/>
          <w:szCs w:val="18"/>
          <w:color w:val="auto"/>
        </w:rPr>
      </w:pPr>
    </w:p>
    <w:p>
      <w:pPr>
        <w:jc w:val="both"/>
        <w:ind w:firstLine="656"/>
        <w:spacing w:after="0" w:line="279" w:lineRule="auto"/>
        <w:tabs>
          <w:tab w:leader="none" w:pos="1382"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Warrant Agent</w:t>
      </w:r>
      <w:r>
        <w:rPr>
          <w:rFonts w:ascii="Arial" w:cs="Arial" w:eastAsia="Arial" w:hAnsi="Arial"/>
          <w:sz w:val="17"/>
          <w:szCs w:val="17"/>
          <w:color w:val="auto"/>
        </w:rPr>
        <w:t>. The Company may, by written notice to each Holder of this Warrant, appoint an agent having an office in New York, New York for the purpose of issuing Warrant Shares on the exercise of this Warrant pursuant to subsection (b) of Section 2 hereof, exchanging this Warrant pursuant to subsection (d) of Section 2 hereof or replacing this Warrant pursuant to subsection (d) of Section 3 hereof, or any of the foregoing, and thereafter any such issuance, exchange or replacement, as the case may be, shall be made at such office by such agent.</w:t>
      </w:r>
    </w:p>
    <w:p>
      <w:pPr>
        <w:spacing w:after="0" w:line="171" w:lineRule="exact"/>
        <w:rPr>
          <w:rFonts w:ascii="Arial" w:cs="Arial" w:eastAsia="Arial" w:hAnsi="Arial"/>
          <w:sz w:val="17"/>
          <w:szCs w:val="17"/>
          <w:color w:val="auto"/>
        </w:rPr>
      </w:pPr>
    </w:p>
    <w:p>
      <w:pPr>
        <w:jc w:val="both"/>
        <w:ind w:firstLine="656"/>
        <w:spacing w:after="0" w:line="259" w:lineRule="auto"/>
        <w:tabs>
          <w:tab w:leader="none" w:pos="139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Company stipulates that the remedies at law of the Holder of this Warrant in the event of any default or threatened default by the Company in the performance of or compliance with any of the terms of this Warrant are not and will not be adequate and that, to the fullest extent permitted by law, such terms may be specifically enforced by a decree for the specific performance of any agreement contained herein or by an injunction against a violation of any of the terms hereof or otherwise.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0" w:name="page41"/>
    <w:bookmarkEnd w:id="40"/>
    <w:p>
      <w:pPr>
        <w:jc w:val="both"/>
        <w:ind w:left="-20" w:firstLine="656"/>
        <w:spacing w:after="0" w:line="264" w:lineRule="auto"/>
        <w:tabs>
          <w:tab w:leader="none" w:pos="136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Warrant and the rights evidenced hereby shall inure to the benefit of and be binding upon the successors and assigns of the Company, the Holder hereof and (to the extent provided herein) the Holders of Warrant Shares issued pursuant hereto, and shall be enforceable by any such Holder or Holder of Warrant Shares.</w:t>
      </w:r>
    </w:p>
    <w:p>
      <w:pPr>
        <w:spacing w:after="0" w:line="181" w:lineRule="exact"/>
        <w:rPr>
          <w:rFonts w:ascii="Arial" w:cs="Arial" w:eastAsia="Arial" w:hAnsi="Arial"/>
          <w:sz w:val="18"/>
          <w:szCs w:val="18"/>
          <w:color w:val="auto"/>
        </w:rPr>
      </w:pPr>
    </w:p>
    <w:p>
      <w:pPr>
        <w:jc w:val="both"/>
        <w:ind w:left="-20" w:firstLine="656"/>
        <w:spacing w:after="0" w:line="279" w:lineRule="auto"/>
        <w:tabs>
          <w:tab w:leader="none" w:pos="1389"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Modification and Severability</w:t>
      </w:r>
      <w:r>
        <w:rPr>
          <w:rFonts w:ascii="Arial" w:cs="Arial" w:eastAsia="Arial" w:hAnsi="Arial"/>
          <w:sz w:val="17"/>
          <w:szCs w:val="17"/>
          <w:color w:val="auto"/>
        </w:rPr>
        <w:t>. If, in any action before any court or agency legally empowered to enforce any provision contained herein, any provision hereof is found to be unenforceable, then such provision shall be deemed modified to the extent necessary to make it enforceable by such court or agency. If any such provision is not enforceable as set forth in the preceding sentence, the unenforceability of such provision shall not affect the other provisions of this Warrant, but this Warrant shall be construed as if such unenforceable provision had never been contained herein.</w:t>
      </w:r>
    </w:p>
    <w:p>
      <w:pPr>
        <w:spacing w:after="0" w:line="171" w:lineRule="exact"/>
        <w:rPr>
          <w:rFonts w:ascii="Arial" w:cs="Arial" w:eastAsia="Arial" w:hAnsi="Arial"/>
          <w:sz w:val="17"/>
          <w:szCs w:val="17"/>
          <w:color w:val="auto"/>
        </w:rPr>
      </w:pPr>
    </w:p>
    <w:p>
      <w:pPr>
        <w:ind w:left="-20" w:right="20" w:firstLine="656"/>
        <w:spacing w:after="0" w:line="277" w:lineRule="auto"/>
        <w:tabs>
          <w:tab w:leader="none" w:pos="137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of this Warrant are for convenience of reference only and shall not, for any purpose, be deemed a part of this Warrant.</w:t>
      </w:r>
    </w:p>
    <w:p>
      <w:pPr>
        <w:spacing w:after="0" w:line="170" w:lineRule="exact"/>
        <w:rPr>
          <w:rFonts w:ascii="Arial" w:cs="Arial" w:eastAsia="Arial" w:hAnsi="Arial"/>
          <w:sz w:val="18"/>
          <w:szCs w:val="18"/>
          <w:color w:val="auto"/>
        </w:rPr>
      </w:pPr>
    </w:p>
    <w:p>
      <w:pPr>
        <w:jc w:val="both"/>
        <w:ind w:left="-20" w:firstLine="656"/>
        <w:spacing w:after="0" w:line="302" w:lineRule="auto"/>
        <w:tabs>
          <w:tab w:leader="none" w:pos="1429"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Registration Rights</w:t>
      </w:r>
      <w:r>
        <w:rPr>
          <w:rFonts w:ascii="Arial" w:cs="Arial" w:eastAsia="Arial" w:hAnsi="Arial"/>
          <w:sz w:val="16"/>
          <w:szCs w:val="16"/>
          <w:color w:val="auto"/>
        </w:rPr>
        <w:t>. The Holder of this Warrant is entitled to the benefit of certain registration rights with respect to the Warrant Shares issuable upon the exercise of this Warrant pursuant to that certain Registration Rights Agreement, dated June 4, 2010, by and among the Company and the Holder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and the registration rights with respect to the Warrant Shares issuable upon the exercise of this Warrant by any subsequent Holder may only be assigned in accordance with the terms and provisions of the Registrations Rights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490" w:right="239" w:bottom="1440" w:gutter="0" w:footer="0" w:header="0"/>
        </w:sectPr>
      </w:pPr>
    </w:p>
    <w:bookmarkStart w:id="41" w:name="page42"/>
    <w:bookmarkEnd w:id="41"/>
    <w:p>
      <w:pPr>
        <w:ind w:left="660"/>
        <w:spacing w:after="0"/>
        <w:rPr>
          <w:sz w:val="20"/>
          <w:szCs w:val="20"/>
          <w:color w:val="auto"/>
        </w:rPr>
      </w:pPr>
      <w:r>
        <w:rPr>
          <w:rFonts w:ascii="Arial" w:cs="Arial" w:eastAsia="Arial" w:hAnsi="Arial"/>
          <w:sz w:val="16"/>
          <w:szCs w:val="16"/>
          <w:color w:val="auto"/>
        </w:rPr>
        <w:t>IN WITNESS WHEREOF, the Company has executed this Warrant as of the day and year first above written.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7"/>
                <w:szCs w:val="17"/>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H. David Lester</w:t>
            </w:r>
          </w:p>
        </w:tc>
        <w:tc>
          <w:tcPr>
            <w:tcW w:w="340" w:type="dxa"/>
            <w:vAlign w:val="bottom"/>
          </w:tcPr>
          <w:p>
            <w:pPr>
              <w:spacing w:after="0"/>
              <w:rPr>
                <w:sz w:val="17"/>
                <w:szCs w:val="17"/>
                <w:color w:val="auto"/>
              </w:rPr>
            </w:pPr>
          </w:p>
        </w:tc>
      </w:tr>
      <w:tr>
        <w:trPr>
          <w:trHeight w:val="222"/>
        </w:trPr>
        <w:tc>
          <w:tcPr>
            <w:tcW w:w="2300" w:type="dxa"/>
            <w:vAlign w:val="bottom"/>
            <w:gridSpan w:val="4"/>
          </w:tcPr>
          <w:p>
            <w:pPr>
              <w:spacing w:after="0"/>
              <w:rPr>
                <w:sz w:val="20"/>
                <w:szCs w:val="20"/>
                <w:color w:val="auto"/>
              </w:rPr>
            </w:pPr>
            <w:r>
              <w:rPr>
                <w:rFonts w:ascii="Arial" w:cs="Arial" w:eastAsia="Arial" w:hAnsi="Arial"/>
                <w:sz w:val="18"/>
                <w:szCs w:val="18"/>
                <w:color w:val="auto"/>
              </w:rPr>
              <w:t>Name: H. David Lester</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1820" w:type="dxa"/>
            <w:vAlign w:val="bottom"/>
            <w:gridSpan w:val="3"/>
          </w:tcPr>
          <w:p>
            <w:pPr>
              <w:ind w:left="100"/>
              <w:spacing w:after="0"/>
              <w:rPr>
                <w:sz w:val="20"/>
                <w:szCs w:val="20"/>
                <w:color w:val="auto"/>
              </w:rPr>
            </w:pPr>
            <w:r>
              <w:rPr>
                <w:rFonts w:ascii="Arial" w:cs="Arial" w:eastAsia="Arial" w:hAnsi="Arial"/>
                <w:sz w:val="18"/>
                <w:szCs w:val="18"/>
                <w:color w:val="auto"/>
                <w:w w:val="92"/>
              </w:rPr>
              <w:t>Chief Executive Officer</w:t>
            </w:r>
          </w:p>
        </w:tc>
      </w:tr>
    </w:tbl>
    <w:p>
      <w:pPr>
        <w:spacing w:after="0" w:line="3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90" w:right="1440"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EXERCISE NOTICE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holder hereby exercises the right to purchase _________________ of the shares of Common Stock (“</w:t>
      </w:r>
      <w:r>
        <w:rPr>
          <w:rFonts w:ascii="Arial" w:cs="Arial" w:eastAsia="Arial" w:hAnsi="Arial"/>
          <w:sz w:val="16"/>
          <w:szCs w:val="16"/>
          <w:u w:val="single" w:color="auto"/>
          <w:color w:val="auto"/>
        </w:rPr>
        <w:t>Warrant Shares</w:t>
      </w:r>
      <w:r>
        <w:rPr>
          <w:rFonts w:ascii="Arial" w:cs="Arial" w:eastAsia="Arial" w:hAnsi="Arial"/>
          <w:sz w:val="16"/>
          <w:szCs w:val="16"/>
          <w:color w:val="auto"/>
        </w:rPr>
        <w:t>”) of OPTIMIZERx</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Corporation,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evidenced by the attached Warrant to Purchase Common Stock (the “</w:t>
      </w:r>
      <w:r>
        <w:rPr>
          <w:rFonts w:ascii="Arial" w:cs="Arial" w:eastAsia="Arial" w:hAnsi="Arial"/>
          <w:sz w:val="18"/>
          <w:szCs w:val="18"/>
          <w:u w:val="single" w:color="auto"/>
          <w:color w:val="auto"/>
        </w:rPr>
        <w:t>Warrant</w:t>
      </w:r>
      <w:r>
        <w:rPr>
          <w:rFonts w:ascii="Arial" w:cs="Arial" w:eastAsia="Arial" w:hAnsi="Arial"/>
          <w:sz w:val="18"/>
          <w:szCs w:val="18"/>
          <w:color w:val="auto"/>
        </w:rPr>
        <w:t>”). Capitalized terms used herein and not otherwise defined shall have the respective meanings set forth in the Warrant.</w:t>
      </w:r>
    </w:p>
    <w:p>
      <w:pPr>
        <w:sectPr>
          <w:pgSz w:w="11900" w:h="16838" w:orient="portrait"/>
          <w:cols w:equalWidth="0" w:num="1">
            <w:col w:w="11420"/>
          </w:cols>
          <w:pgMar w:left="240" w:top="486" w:right="2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Dated: _________________</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200" w:lineRule="exact"/>
        <w:rPr>
          <w:sz w:val="20"/>
          <w:szCs w:val="20"/>
          <w:color w:val="auto"/>
        </w:rPr>
      </w:pPr>
    </w:p>
    <w:p>
      <w:pPr>
        <w:sectPr>
          <w:pgSz w:w="11900" w:h="16838" w:orient="portrait"/>
          <w:cols w:equalWidth="0" w:num="3">
            <w:col w:w="2600" w:space="720"/>
            <w:col w:w="700" w:space="120"/>
            <w:col w:w="7280"/>
          </w:cols>
          <w:pgMar w:left="240" w:top="486" w:right="239" w:bottom="1440" w:gutter="0" w:footer="0" w:header="0"/>
          <w:type w:val="continuous"/>
        </w:sectPr>
      </w:pPr>
    </w:p>
    <w:p>
      <w:pPr>
        <w:spacing w:after="0" w:line="48"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6"/>
          <w:szCs w:val="16"/>
          <w:color w:val="auto"/>
        </w:rPr>
        <w:t>_____________________</w:t>
      </w:r>
    </w:p>
    <w:p>
      <w:pPr>
        <w:spacing w:after="0" w:line="200" w:lineRule="exact"/>
        <w:rPr>
          <w:sz w:val="20"/>
          <w:szCs w:val="20"/>
          <w:color w:val="auto"/>
        </w:rPr>
      </w:pPr>
    </w:p>
    <w:p>
      <w:pPr>
        <w:sectPr>
          <w:pgSz w:w="11900" w:h="16838" w:orient="portrait"/>
          <w:cols w:equalWidth="0" w:num="2">
            <w:col w:w="3840" w:space="220"/>
            <w:col w:w="7360"/>
          </w:cols>
          <w:pgMar w:left="240" w:top="486"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Common Stock beneficially owned or deemed beneficially owned by the Holder on the date of Exercise: _________________________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is an “accredited investor” as defined in Regulation D under the Securities Act of 1933,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intends that payment of the Warrant Price shall be made as (check one):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Cash Exercise_______</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Cashless Exercise_______</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If the Holder has elected a Cash Exercise, the Holder shall pay the sum of $________ by certified or official bank check (or via wire transfer) to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terms of the Warrant.</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the Holder has elected a Cashless Exercise, a certificate shall be issued to the Holder for the number of shares equal to the whole number portion of the product of the calculation set forth below, which is ___________. The Company shall pay a cash adjustment in respect of the fractional portion of the</w:t>
      </w:r>
    </w:p>
    <w:p>
      <w:pPr>
        <w:spacing w:after="0" w:line="261" w:lineRule="auto"/>
        <w:rPr>
          <w:sz w:val="20"/>
          <w:szCs w:val="20"/>
          <w:color w:val="auto"/>
        </w:rPr>
      </w:pPr>
      <w:r>
        <w:rPr>
          <w:rFonts w:ascii="Arial" w:cs="Arial" w:eastAsia="Arial" w:hAnsi="Arial"/>
          <w:sz w:val="18"/>
          <w:szCs w:val="18"/>
          <w:color w:val="auto"/>
        </w:rPr>
        <w:t>product of the calculation set forth below in an amount equal to the product of the fractional portion of such product and the Per Share Market Value on the date of exercise, which product is ____________.</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Where: X=Y - </w:t>
      </w:r>
      <w:r>
        <w:rPr>
          <w:rFonts w:ascii="Arial" w:cs="Arial" w:eastAsia="Arial" w:hAnsi="Arial"/>
          <w:sz w:val="18"/>
          <w:szCs w:val="18"/>
          <w:u w:val="single" w:color="auto"/>
          <w:color w:val="auto"/>
        </w:rPr>
        <w:t>[(A)(Y)]</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B</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number of shares of Common Stock to be issued to the Holder __________________(“X”).</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number of shares of Common Stock purchasable upon exercise of all of the Warrant or, if only a portion of the Warrant is being exercised, the portion of the Warrant being exercised ___________________________ (“Y”).</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color w:val="auto"/>
        </w:rPr>
        <w:t>The Warrant Price ______________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Per Share Market Value of one share of Common Stock _______________________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_________________ hereby sells, assigns and transfers unto __________________ the within Warrant and all rights evidenced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thereby and does irrevocably constitute and appoint _____________, attorney, to transfer the said Warrant on the books of the within named corporation.</w:t>
      </w:r>
    </w:p>
    <w:p>
      <w:pPr>
        <w:sectPr>
          <w:pgSz w:w="11900" w:h="16838" w:orient="portrait"/>
          <w:cols w:equalWidth="0" w:num="1">
            <w:col w:w="11420"/>
          </w:cols>
          <w:pgMar w:left="240" w:top="490" w:right="23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Dated: _________________</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200" w:lineRule="exact"/>
        <w:rPr>
          <w:sz w:val="20"/>
          <w:szCs w:val="20"/>
          <w:color w:val="auto"/>
        </w:rPr>
      </w:pPr>
    </w:p>
    <w:p>
      <w:pPr>
        <w:sectPr>
          <w:pgSz w:w="11900" w:h="16838" w:orient="portrait"/>
          <w:cols w:equalWidth="0" w:num="3">
            <w:col w:w="2600" w:space="720"/>
            <w:col w:w="700" w:space="120"/>
            <w:col w:w="7280"/>
          </w:cols>
          <w:pgMar w:left="240" w:top="490" w:right="239" w:bottom="1440" w:gutter="0" w:footer="0" w:header="0"/>
          <w:type w:val="continuous"/>
        </w:sectPr>
      </w:pPr>
    </w:p>
    <w:p>
      <w:pPr>
        <w:spacing w:after="0" w:line="48"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6"/>
          <w:szCs w:val="16"/>
          <w:color w:val="auto"/>
        </w:rPr>
        <w:t>_____________________</w:t>
      </w:r>
    </w:p>
    <w:p>
      <w:pPr>
        <w:spacing w:after="0" w:line="200" w:lineRule="exact"/>
        <w:rPr>
          <w:sz w:val="20"/>
          <w:szCs w:val="20"/>
          <w:color w:val="auto"/>
        </w:rPr>
      </w:pPr>
    </w:p>
    <w:p>
      <w:pPr>
        <w:sectPr>
          <w:pgSz w:w="11900" w:h="16838" w:orient="portrait"/>
          <w:cols w:equalWidth="0" w:num="2">
            <w:col w:w="3840" w:space="220"/>
            <w:col w:w="7360"/>
          </w:cols>
          <w:pgMar w:left="240" w:top="490" w:right="239" w:bottom="1440" w:gutter="0" w:footer="0" w:header="0"/>
          <w:type w:val="continuous"/>
        </w:sectPr>
      </w:pPr>
    </w:p>
    <w:p>
      <w:pPr>
        <w:spacing w:after="0" w:line="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PARTIAL ASSIGNMENT</w:t>
      </w:r>
    </w:p>
    <w:p>
      <w:pPr>
        <w:sectPr>
          <w:pgSz w:w="11900" w:h="16838" w:orient="portrait"/>
          <w:cols w:equalWidth="0" w:num="1">
            <w:col w:w="11420"/>
          </w:cols>
          <w:pgMar w:left="240" w:top="490" w:right="2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_________________ hereby sells, assigns and transfers unto __________________ the right to purchase _________ Warrant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Shares evidenced by the within Warrant together with all rights therein, and does irrevocably constitute and appoint ___________________, attorney,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transfer that part of the said Warrant on the books of the within named corporation.</w:t>
      </w:r>
    </w:p>
    <w:p>
      <w:pPr>
        <w:sectPr>
          <w:pgSz w:w="11900" w:h="16838" w:orient="portrait"/>
          <w:cols w:equalWidth="0" w:num="1">
            <w:col w:w="11420"/>
          </w:cols>
          <w:pgMar w:left="240" w:top="490" w:right="2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Dated: _________________</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200" w:lineRule="exact"/>
        <w:rPr>
          <w:sz w:val="20"/>
          <w:szCs w:val="20"/>
          <w:color w:val="auto"/>
        </w:rPr>
      </w:pPr>
    </w:p>
    <w:p>
      <w:pPr>
        <w:sectPr>
          <w:pgSz w:w="11900" w:h="16838" w:orient="portrait"/>
          <w:cols w:equalWidth="0" w:num="3">
            <w:col w:w="2600" w:space="720"/>
            <w:col w:w="700" w:space="120"/>
            <w:col w:w="7280"/>
          </w:cols>
          <w:pgMar w:left="240" w:top="490" w:right="239" w:bottom="1440" w:gutter="0" w:footer="0" w:header="0"/>
          <w:type w:val="continuous"/>
        </w:sectPr>
      </w:pPr>
    </w:p>
    <w:p>
      <w:pPr>
        <w:spacing w:after="0" w:line="48"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6"/>
          <w:szCs w:val="16"/>
          <w:color w:val="auto"/>
        </w:rPr>
        <w:t>_____________________</w:t>
      </w:r>
    </w:p>
    <w:p>
      <w:pPr>
        <w:spacing w:after="0" w:line="200" w:lineRule="exact"/>
        <w:rPr>
          <w:sz w:val="20"/>
          <w:szCs w:val="20"/>
          <w:color w:val="auto"/>
        </w:rPr>
      </w:pPr>
    </w:p>
    <w:p>
      <w:pPr>
        <w:sectPr>
          <w:pgSz w:w="11900" w:h="16838" w:orient="portrait"/>
          <w:cols w:equalWidth="0" w:num="2">
            <w:col w:w="3840" w:space="220"/>
            <w:col w:w="7360"/>
          </w:cols>
          <w:pgMar w:left="240" w:top="490" w:right="239" w:bottom="1440" w:gutter="0" w:footer="0" w:header="0"/>
          <w:type w:val="continuous"/>
        </w:sectPr>
      </w:pPr>
    </w:p>
    <w:p>
      <w:pPr>
        <w:spacing w:after="0" w:line="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USE BY THE ISSUER ONLY:</w:t>
      </w:r>
    </w:p>
    <w:p>
      <w:pPr>
        <w:sectPr>
          <w:pgSz w:w="11900" w:h="16838" w:orient="portrait"/>
          <w:cols w:equalWidth="0" w:num="1">
            <w:col w:w="11420"/>
          </w:cols>
          <w:pgMar w:left="240" w:top="490" w:right="2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This Warrant No. W-B-___ canceled (or transferred or exchanged) this _____ day of ___________, _____, shares of Common Stock issued therefor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name of _______________, Warrant No. W-B-_____ issued for ____ shares of Common Stock in the name of _______________.</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type w:val="continuous"/>
        </w:sectPr>
      </w:pPr>
    </w:p>
    <w:bookmarkStart w:id="44" w:name="page45"/>
    <w:bookmarkEnd w:id="4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rFonts w:ascii="Arial" w:cs="Arial" w:eastAsia="Arial" w:hAnsi="Arial"/>
          <w:sz w:val="17"/>
          <w:szCs w:val="17"/>
          <w:b w:val="1"/>
          <w:bCs w:val="1"/>
          <w:color w:val="auto"/>
        </w:rPr>
        <w:t>SECURITIES PURCHASE AGREEMENT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VICIS CAPITAL MASTER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JUNE 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443865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This SECURITIES PURCHASE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this 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June 2010, is made by and between OPTIMIZERx CORPORATION,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VICIS CAPITAL MASTER FUND (the “</w:t>
      </w:r>
      <w:r>
        <w:rPr>
          <w:rFonts w:ascii="Arial" w:cs="Arial" w:eastAsia="Arial" w:hAnsi="Arial"/>
          <w:sz w:val="18"/>
          <w:szCs w:val="18"/>
          <w:u w:val="single" w:color="auto"/>
          <w:color w:val="auto"/>
        </w:rPr>
        <w:t>Purchaser</w:t>
      </w:r>
      <w:r>
        <w:rPr>
          <w:rFonts w:ascii="Arial" w:cs="Arial" w:eastAsia="Arial" w:hAnsi="Arial"/>
          <w:sz w:val="18"/>
          <w:szCs w:val="18"/>
          <w:color w:val="auto"/>
        </w:rPr>
        <w:t>”), a sub-trust of Vicis Capital Series Master Trust, a unit trust organized and existing under the laws of the Cayman Islands.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WHEREAS, pursuant to the terms and conditions of this Agreement, the Company wishes to issue and sell to the Purchaser the following securities (collectively, the “</w:t>
      </w:r>
      <w:r>
        <w:rPr>
          <w:rFonts w:ascii="Arial" w:cs="Arial" w:eastAsia="Arial" w:hAnsi="Arial"/>
          <w:sz w:val="18"/>
          <w:szCs w:val="18"/>
          <w:u w:val="single" w:color="auto"/>
          <w:color w:val="auto"/>
        </w:rPr>
        <w:t>Securities</w:t>
      </w:r>
      <w:r>
        <w:rPr>
          <w:rFonts w:ascii="Arial" w:cs="Arial" w:eastAsia="Arial" w:hAnsi="Arial"/>
          <w:sz w:val="18"/>
          <w:szCs w:val="18"/>
          <w:color w:val="auto"/>
        </w:rPr>
        <w:t>”): (a) up to 30 shares (the “</w:t>
      </w:r>
      <w:r>
        <w:rPr>
          <w:rFonts w:ascii="Arial" w:cs="Arial" w:eastAsia="Arial" w:hAnsi="Arial"/>
          <w:sz w:val="18"/>
          <w:szCs w:val="18"/>
          <w:u w:val="single" w:color="auto"/>
          <w:color w:val="auto"/>
        </w:rPr>
        <w:t>Preferred Shares</w:t>
      </w:r>
      <w:r>
        <w:rPr>
          <w:rFonts w:ascii="Arial" w:cs="Arial" w:eastAsia="Arial" w:hAnsi="Arial"/>
          <w:sz w:val="18"/>
          <w:szCs w:val="18"/>
          <w:color w:val="auto"/>
        </w:rPr>
        <w:t>”) of the Company’s Series B Convertible Preferred Stock, par value $.001 per share (the “</w:t>
      </w:r>
      <w:r>
        <w:rPr>
          <w:rFonts w:ascii="Arial" w:cs="Arial" w:eastAsia="Arial" w:hAnsi="Arial"/>
          <w:sz w:val="18"/>
          <w:szCs w:val="18"/>
          <w:u w:val="single" w:color="auto"/>
          <w:color w:val="auto"/>
        </w:rPr>
        <w:t>Series B Preferred Stock</w:t>
      </w:r>
      <w:r>
        <w:rPr>
          <w:rFonts w:ascii="Arial" w:cs="Arial" w:eastAsia="Arial" w:hAnsi="Arial"/>
          <w:sz w:val="18"/>
          <w:szCs w:val="18"/>
          <w:color w:val="auto"/>
        </w:rPr>
        <w:t xml:space="preserve">”), with such terms, rights and preferences as are set forth in the Certificate of Designation for the Series B Preferred Stock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(b) Series B Warrants to purchase up to an aggregate of 4,000,000 shares of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of the Company initially at an exercise price of $3.00 per share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Series B Warrant</w:t>
      </w:r>
      <w:r>
        <w:rPr>
          <w:rFonts w:ascii="Arial" w:cs="Arial" w:eastAsia="Arial" w:hAnsi="Arial"/>
          <w:sz w:val="18"/>
          <w:szCs w:val="18"/>
          <w:color w:val="auto"/>
        </w:rPr>
        <w:t>” or “</w:t>
      </w:r>
      <w:r>
        <w:rPr>
          <w:rFonts w:ascii="Arial" w:cs="Arial" w:eastAsia="Arial" w:hAnsi="Arial"/>
          <w:sz w:val="18"/>
          <w:szCs w:val="18"/>
          <w:u w:val="single" w:color="auto"/>
          <w:color w:val="auto"/>
        </w:rPr>
        <w:t>Warrant</w:t>
      </w:r>
      <w:r>
        <w:rPr>
          <w:rFonts w:ascii="Arial" w:cs="Arial" w:eastAsia="Arial" w:hAnsi="Arial"/>
          <w:sz w:val="18"/>
          <w:szCs w:val="18"/>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Purchaser desires to purchase such Securities from the Company according to the terms hereinafter set forth.</w:t>
      </w:r>
    </w:p>
    <w:p>
      <w:pPr>
        <w:spacing w:after="0" w:line="225" w:lineRule="exact"/>
        <w:rPr>
          <w:sz w:val="20"/>
          <w:szCs w:val="20"/>
          <w:color w:val="auto"/>
        </w:rPr>
      </w:pPr>
    </w:p>
    <w:p>
      <w:pPr>
        <w:ind w:left="660"/>
        <w:spacing w:after="0"/>
        <w:tabs>
          <w:tab w:leader="none" w:pos="4200" w:val="left"/>
        </w:tabs>
        <w:rPr>
          <w:sz w:val="20"/>
          <w:szCs w:val="20"/>
          <w:color w:val="auto"/>
        </w:rPr>
      </w:pPr>
      <w:r>
        <w:rPr>
          <w:rFonts w:ascii="Arial" w:cs="Arial" w:eastAsia="Arial" w:hAnsi="Arial"/>
          <w:sz w:val="18"/>
          <w:szCs w:val="18"/>
          <w:color w:val="auto"/>
        </w:rPr>
        <w:t>NOW, THEREFORE</w:t>
      </w:r>
      <w:r>
        <w:rPr>
          <w:rFonts w:ascii="Arial" w:cs="Arial" w:eastAsia="Arial" w:hAnsi="Arial"/>
          <w:sz w:val="18"/>
          <w:szCs w:val="18"/>
          <w:i w:val="1"/>
          <w:iCs w:val="1"/>
          <w:color w:val="auto"/>
        </w:rPr>
        <w:t>,</w:t>
      </w:r>
      <w:r>
        <w:rPr>
          <w:sz w:val="20"/>
          <w:szCs w:val="20"/>
          <w:color w:val="auto"/>
        </w:rPr>
        <w:tab/>
      </w:r>
      <w:r>
        <w:rPr>
          <w:rFonts w:ascii="Arial" w:cs="Arial" w:eastAsia="Arial" w:hAnsi="Arial"/>
          <w:sz w:val="16"/>
          <w:szCs w:val="16"/>
          <w:color w:val="auto"/>
        </w:rPr>
        <w:t>the Company and the Purchaser hereby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AND SALE OF THE SECURITIES</w:t>
      </w:r>
    </w:p>
    <w:p>
      <w:pPr>
        <w:spacing w:after="0" w:line="21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Purchase and Sale of the Securities</w:t>
      </w:r>
      <w:r>
        <w:rPr>
          <w:rFonts w:ascii="Arial" w:cs="Arial" w:eastAsia="Arial" w:hAnsi="Arial"/>
          <w:sz w:val="17"/>
          <w:szCs w:val="17"/>
          <w:color w:val="auto"/>
        </w:rPr>
        <w:t>. Subject to the terms and conditions hereof and in reliance on the representations and warranties contained herein, or made pursuant hereto, the Company will issue and sell to the Purchaser, and the Purchaser will purchase from the Company at the closings of the transactions contemplated hereby (each a “</w:t>
      </w:r>
      <w:r>
        <w:rPr>
          <w:rFonts w:ascii="Arial" w:cs="Arial" w:eastAsia="Arial" w:hAnsi="Arial"/>
          <w:sz w:val="17"/>
          <w:szCs w:val="17"/>
          <w:u w:val="single" w:color="auto"/>
          <w:color w:val="auto"/>
        </w:rPr>
        <w:t>Closing</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Closings</w:t>
      </w:r>
      <w:r>
        <w:rPr>
          <w:rFonts w:ascii="Arial" w:cs="Arial" w:eastAsia="Arial" w:hAnsi="Arial"/>
          <w:sz w:val="17"/>
          <w:szCs w:val="17"/>
          <w:color w:val="auto"/>
        </w:rPr>
        <w:t>”), an amount of Securities for the consideration as set forth in Section 1.3 hereof (the total consideration paid, the “&lt; font style="DISPLAY: inline; TEXT-DECORATION: underline"&gt;Purchase Price”).</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Closing</w:t>
      </w:r>
      <w:r>
        <w:rPr>
          <w:rFonts w:ascii="Arial" w:cs="Arial" w:eastAsia="Arial" w:hAnsi="Arial"/>
          <w:sz w:val="16"/>
          <w:szCs w:val="16"/>
          <w:color w:val="auto"/>
        </w:rPr>
        <w:t>. Each Closing shall be deemed to occur at such place, date and time as mutually agreeable to the parties (each a “</w:t>
      </w:r>
      <w:r>
        <w:rPr>
          <w:rFonts w:ascii="Arial" w:cs="Arial" w:eastAsia="Arial" w:hAnsi="Arial"/>
          <w:sz w:val="16"/>
          <w:szCs w:val="16"/>
          <w:u w:val="single" w:color="auto"/>
          <w:color w:val="auto"/>
        </w:rPr>
        <w:t>Closing Date</w:t>
      </w:r>
      <w:r>
        <w:rPr>
          <w:rFonts w:ascii="Arial" w:cs="Arial" w:eastAsia="Arial" w:hAnsi="Arial"/>
          <w:sz w:val="16"/>
          <w:szCs w:val="16"/>
          <w:color w:val="auto"/>
        </w:rPr>
        <w:t>”).</w:t>
      </w:r>
    </w:p>
    <w:p>
      <w:pPr>
        <w:spacing w:after="0" w:line="27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Closing Matters</w:t>
      </w:r>
      <w:r>
        <w:rPr>
          <w:rFonts w:ascii="Arial" w:cs="Arial" w:eastAsia="Arial" w:hAnsi="Arial"/>
          <w:sz w:val="16"/>
          <w:szCs w:val="16"/>
          <w:color w:val="auto"/>
        </w:rPr>
        <w:t>.</w:t>
      </w:r>
    </w:p>
    <w:p>
      <w:pPr>
        <w:spacing w:after="0" w:line="279" w:lineRule="exact"/>
        <w:rPr>
          <w:sz w:val="20"/>
          <w:szCs w:val="20"/>
          <w:color w:val="auto"/>
        </w:rPr>
      </w:pPr>
    </w:p>
    <w:p>
      <w:pPr>
        <w:ind w:right="240" w:firstLine="1305"/>
        <w:spacing w:after="0" w:line="277" w:lineRule="auto"/>
        <w:tabs>
          <w:tab w:leader="none" w:pos="171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Initial Closing</w:t>
      </w:r>
      <w:r>
        <w:rPr>
          <w:rFonts w:ascii="Arial" w:cs="Arial" w:eastAsia="Arial" w:hAnsi="Arial"/>
          <w:sz w:val="18"/>
          <w:szCs w:val="18"/>
          <w:color w:val="auto"/>
        </w:rPr>
        <w:t>. At the first Closing (the “</w:t>
      </w:r>
      <w:r>
        <w:rPr>
          <w:rFonts w:ascii="Arial" w:cs="Arial" w:eastAsia="Arial" w:hAnsi="Arial"/>
          <w:sz w:val="18"/>
          <w:szCs w:val="18"/>
          <w:u w:val="single" w:color="auto"/>
          <w:color w:val="auto"/>
        </w:rPr>
        <w:t>Initial Closing</w:t>
      </w:r>
      <w:r>
        <w:rPr>
          <w:rFonts w:ascii="Arial" w:cs="Arial" w:eastAsia="Arial" w:hAnsi="Arial"/>
          <w:sz w:val="18"/>
          <w:szCs w:val="18"/>
          <w:color w:val="auto"/>
        </w:rPr>
        <w:t>”, and the date thereof, the “</w:t>
      </w:r>
      <w:r>
        <w:rPr>
          <w:rFonts w:ascii="Arial" w:cs="Arial" w:eastAsia="Arial" w:hAnsi="Arial"/>
          <w:sz w:val="18"/>
          <w:szCs w:val="18"/>
          <w:u w:val="single" w:color="auto"/>
          <w:color w:val="auto"/>
        </w:rPr>
        <w:t>Initial Closing Date</w:t>
      </w:r>
      <w:r>
        <w:rPr>
          <w:rFonts w:ascii="Arial" w:cs="Arial" w:eastAsia="Arial" w:hAnsi="Arial"/>
          <w:sz w:val="18"/>
          <w:szCs w:val="18"/>
          <w:color w:val="auto"/>
        </w:rPr>
        <w:t>”), subject to the terms and conditions hereof, the following actions shall be taken:</w:t>
      </w:r>
    </w:p>
    <w:p>
      <w:pPr>
        <w:spacing w:after="0" w:line="224" w:lineRule="exact"/>
        <w:rPr>
          <w:rFonts w:ascii="Arial" w:cs="Arial" w:eastAsia="Arial" w:hAnsi="Arial"/>
          <w:sz w:val="18"/>
          <w:szCs w:val="18"/>
          <w:color w:val="auto"/>
        </w:rPr>
      </w:pPr>
    </w:p>
    <w:p>
      <w:pPr>
        <w:ind w:right="620" w:firstLine="1953"/>
        <w:spacing w:after="0" w:line="277" w:lineRule="auto"/>
        <w:tabs>
          <w:tab w:leader="none" w:pos="2331"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Company, against delivery of payment of the $1,500,000 in accordance with Section 1.3(a)(ii), will deliver to the Purchaser the documents set forth in Section 5.4(a) hereof.</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7" w:name="page48"/>
    <w:bookmarkEnd w:id="47"/>
    <w:p>
      <w:pPr>
        <w:ind w:left="2380" w:hanging="427"/>
        <w:spacing w:after="0"/>
        <w:tabs>
          <w:tab w:leader="none" w:pos="23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Purchaser shall deliver to the Company $1,500,000 in immediately available funds by wire transfer in accordance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instructions of the Company.</w:t>
      </w:r>
    </w:p>
    <w:p>
      <w:pPr>
        <w:spacing w:after="0" w:line="264" w:lineRule="exact"/>
        <w:rPr>
          <w:rFonts w:ascii="Arial" w:cs="Arial" w:eastAsia="Arial" w:hAnsi="Arial"/>
          <w:sz w:val="16"/>
          <w:szCs w:val="16"/>
          <w:color w:val="auto"/>
        </w:rPr>
      </w:pPr>
    </w:p>
    <w:p>
      <w:pPr>
        <w:ind w:left="1740" w:hanging="435"/>
        <w:spacing w:after="0"/>
        <w:tabs>
          <w:tab w:leader="none" w:pos="17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Subsequent Closing</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60" w:firstLine="1953"/>
        <w:spacing w:after="0" w:line="271" w:lineRule="auto"/>
        <w:tabs>
          <w:tab w:leader="none" w:pos="2331" w:val="left"/>
        </w:tabs>
        <w:numPr>
          <w:ilvl w:val="1"/>
          <w:numId w:val="56"/>
        </w:numPr>
        <w:rPr>
          <w:rFonts w:ascii="Arial" w:cs="Arial" w:eastAsia="Arial" w:hAnsi="Arial"/>
          <w:sz w:val="17"/>
          <w:szCs w:val="17"/>
          <w:color w:val="auto"/>
        </w:rPr>
      </w:pPr>
      <w:r>
        <w:rPr>
          <w:rFonts w:ascii="Arial" w:cs="Arial" w:eastAsia="Arial" w:hAnsi="Arial"/>
          <w:sz w:val="17"/>
          <w:szCs w:val="17"/>
          <w:color w:val="auto"/>
        </w:rPr>
        <w:t xml:space="preserve">When the Company has </w:t>
      </w:r>
      <w:r>
        <w:rPr>
          <w:rFonts w:ascii="Arial" w:cs="Arial" w:eastAsia="Arial" w:hAnsi="Arial"/>
          <w:sz w:val="17"/>
          <w:szCs w:val="17"/>
          <w:u w:val="single" w:color="auto"/>
          <w:color w:val="auto"/>
        </w:rPr>
        <w:t>at least 600 Participating Physicians and at least 35 participating brands within the SampleMD</w:t>
      </w:r>
      <w:r>
        <w:rPr>
          <w:rFonts w:ascii="Arial" w:cs="Arial" w:eastAsia="Arial" w:hAnsi="Arial"/>
          <w:sz w:val="17"/>
          <w:szCs w:val="17"/>
          <w:color w:val="auto"/>
        </w:rPr>
        <w:t xml:space="preserve"> </w:t>
      </w:r>
      <w:r>
        <w:rPr>
          <w:rFonts w:ascii="Arial" w:cs="Arial" w:eastAsia="Arial" w:hAnsi="Arial"/>
          <w:sz w:val="17"/>
          <w:szCs w:val="17"/>
          <w:u w:val="single" w:color="auto"/>
          <w:color w:val="auto"/>
        </w:rPr>
        <w:t>solution</w:t>
      </w:r>
      <w:r>
        <w:rPr>
          <w:rFonts w:ascii="Arial" w:cs="Arial" w:eastAsia="Arial" w:hAnsi="Arial"/>
          <w:sz w:val="17"/>
          <w:szCs w:val="17"/>
          <w:color w:val="auto"/>
        </w:rPr>
        <w:t>, the Company may issue and sell at its option, and the Purchaser agrees to purchase, up to 15 shares of the Company’s Series B Preferred Stock at a subsequent Closing (the “</w:t>
      </w:r>
      <w:r>
        <w:rPr>
          <w:rFonts w:ascii="Arial" w:cs="Arial" w:eastAsia="Arial" w:hAnsi="Arial"/>
          <w:sz w:val="17"/>
          <w:szCs w:val="17"/>
          <w:u w:val="single" w:color="auto"/>
          <w:color w:val="auto"/>
        </w:rPr>
        <w:t>Subsequent Closing”</w:t>
      </w:r>
      <w:r>
        <w:rPr>
          <w:rFonts w:ascii="Arial" w:cs="Arial" w:eastAsia="Arial" w:hAnsi="Arial"/>
          <w:sz w:val="17"/>
          <w:szCs w:val="17"/>
          <w:color w:val="auto"/>
        </w:rPr>
        <w:t>), provided that the date of the Subsequent Closing (the “</w:t>
      </w:r>
      <w:r>
        <w:rPr>
          <w:rFonts w:ascii="Arial" w:cs="Arial" w:eastAsia="Arial" w:hAnsi="Arial"/>
          <w:sz w:val="17"/>
          <w:szCs w:val="17"/>
          <w:u w:val="single" w:color="auto"/>
          <w:color w:val="auto"/>
        </w:rPr>
        <w:t>Subsequent Closing Date</w:t>
      </w:r>
      <w:r>
        <w:rPr>
          <w:rFonts w:ascii="Arial" w:cs="Arial" w:eastAsia="Arial" w:hAnsi="Arial"/>
          <w:sz w:val="17"/>
          <w:szCs w:val="17"/>
          <w:color w:val="auto"/>
        </w:rPr>
        <w:t xml:space="preserve">”) cannot occur earlier than November 1, 2010. If the Company wishes to exerc ise its option set forth in the foregoing sentence, the Company agrees to provide evidence reasonably satisfactory to the Purchaser that the conditions precedent set forth in this Section 1.3(b)(i) have been fulfilled and the number of shares of Series B Preferred Stock it wishes for Purchaser to purchase. If the conditions precedent have not fulfilled prior to June 30, 2011, the Purchaser shall have no obligation to purchase any securities from the Company under this Section </w:t>
      </w:r>
      <w:r>
        <w:rPr>
          <w:rFonts w:ascii="Arial" w:cs="Arial" w:eastAsia="Arial" w:hAnsi="Arial"/>
          <w:sz w:val="17"/>
          <w:szCs w:val="17"/>
          <w:u w:val="single" w:color="auto"/>
          <w:color w:val="auto"/>
        </w:rPr>
        <w:t>For purposes of this Agreement, a “Participating Physician” shall mean an individual physician</w:t>
      </w:r>
      <w:r>
        <w:rPr>
          <w:rFonts w:ascii="Arial" w:cs="Arial" w:eastAsia="Arial" w:hAnsi="Arial"/>
          <w:sz w:val="17"/>
          <w:szCs w:val="17"/>
          <w:color w:val="auto"/>
        </w:rPr>
        <w:t xml:space="preserve"> </w:t>
      </w:r>
      <w:r>
        <w:rPr>
          <w:rFonts w:ascii="Arial" w:cs="Arial" w:eastAsia="Arial" w:hAnsi="Arial"/>
          <w:sz w:val="17"/>
          <w:szCs w:val="17"/>
          <w:u w:val="single" w:color="auto"/>
          <w:color w:val="auto"/>
        </w:rPr>
        <w:t>who prints at least one voucher offered through SampleMD.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-862965</wp:posOffset>
            </wp:positionV>
            <wp:extent cx="3683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8300" cy="8890"/>
                    </a:xfrm>
                    <a:prstGeom prst="rect">
                      <a:avLst/>
                    </a:prstGeom>
                    <a:noFill/>
                  </pic:spPr>
                </pic:pic>
              </a:graphicData>
            </a:graphic>
          </wp:anchor>
        </w:drawing>
      </w:r>
    </w:p>
    <w:p>
      <w:pPr>
        <w:spacing w:after="0" w:line="213" w:lineRule="exact"/>
        <w:rPr>
          <w:sz w:val="20"/>
          <w:szCs w:val="20"/>
          <w:color w:val="auto"/>
        </w:rPr>
      </w:pPr>
    </w:p>
    <w:p>
      <w:pPr>
        <w:ind w:left="2380" w:hanging="427"/>
        <w:spacing w:after="0"/>
        <w:tabs>
          <w:tab w:leader="none" w:pos="2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At the Subsequent Closing, if any, subject to the terms and conditions hereof, the following actions shall be taken:</w:t>
      </w:r>
    </w:p>
    <w:p>
      <w:pPr>
        <w:spacing w:after="0" w:line="290" w:lineRule="exact"/>
        <w:rPr>
          <w:rFonts w:ascii="Arial" w:cs="Arial" w:eastAsia="Arial" w:hAnsi="Arial"/>
          <w:sz w:val="17"/>
          <w:szCs w:val="17"/>
          <w:color w:val="auto"/>
        </w:rPr>
      </w:pPr>
    </w:p>
    <w:p>
      <w:pPr>
        <w:ind w:right="500" w:firstLine="2601"/>
        <w:spacing w:after="0" w:line="277" w:lineRule="auto"/>
        <w:tabs>
          <w:tab w:leader="none" w:pos="3019"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Company, against delivery of payment specified in Section 1.3(b)(ii)(2), will deliver to the Purchaser the documents set forth in Section 5.4(b) hereof.</w:t>
      </w:r>
    </w:p>
    <w:p>
      <w:pPr>
        <w:spacing w:after="0" w:line="224" w:lineRule="exact"/>
        <w:rPr>
          <w:rFonts w:ascii="Arial" w:cs="Arial" w:eastAsia="Arial" w:hAnsi="Arial"/>
          <w:sz w:val="18"/>
          <w:szCs w:val="18"/>
          <w:color w:val="auto"/>
        </w:rPr>
      </w:pPr>
    </w:p>
    <w:p>
      <w:pPr>
        <w:ind w:right="60" w:firstLine="2601"/>
        <w:spacing w:after="0" w:line="308" w:lineRule="auto"/>
        <w:tabs>
          <w:tab w:leader="none" w:pos="3019"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Purchaser shall deliver to the Company an amount in immediately available funds equal to the aggregate stated value of the Preferred Shares to be acquired by Purchaser by wire transfer in accordance with the instructions of the Company.</w:t>
      </w:r>
    </w:p>
    <w:p>
      <w:pPr>
        <w:spacing w:after="0" w:line="20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Most Favored Nations Exchange</w:t>
      </w:r>
      <w:r>
        <w:rPr>
          <w:rFonts w:ascii="Arial" w:cs="Arial" w:eastAsia="Arial" w:hAnsi="Arial"/>
          <w:sz w:val="18"/>
          <w:szCs w:val="18"/>
          <w:color w:val="auto"/>
        </w:rPr>
        <w:t>. If the Company completes a private equity or equity-linked financing at any time while any share of Series B Preferred Stock is outstanding, the Purchaser will have the right to exchange all or any such shares at their stated value, plus all accrued but unpaid dividends thereon, for securities in such financing.</w:t>
      </w:r>
    </w:p>
    <w:p>
      <w:pPr>
        <w:spacing w:after="0" w:line="23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5"/>
          <w:szCs w:val="15"/>
          <w:u w:val="single" w:color="auto"/>
          <w:color w:val="auto"/>
        </w:rPr>
        <w:t>Subsequent Financings</w:t>
      </w:r>
      <w:r>
        <w:rPr>
          <w:rFonts w:ascii="Arial" w:cs="Arial" w:eastAsia="Arial" w:hAnsi="Arial"/>
          <w:sz w:val="15"/>
          <w:szCs w:val="15"/>
          <w:color w:val="auto"/>
        </w:rPr>
        <w:t>.</w:t>
      </w:r>
    </w:p>
    <w:p>
      <w:pPr>
        <w:spacing w:after="0" w:line="279" w:lineRule="exact"/>
        <w:rPr>
          <w:sz w:val="20"/>
          <w:szCs w:val="20"/>
          <w:color w:val="auto"/>
        </w:rPr>
      </w:pPr>
    </w:p>
    <w:p>
      <w:pPr>
        <w:ind w:firstLine="1305"/>
        <w:spacing w:after="0" w:line="286" w:lineRule="auto"/>
        <w:tabs>
          <w:tab w:leader="none" w:pos="1712" w:val="left"/>
        </w:tabs>
        <w:numPr>
          <w:ilvl w:val="0"/>
          <w:numId w:val="58"/>
        </w:numPr>
        <w:rPr>
          <w:rFonts w:ascii="Arial" w:cs="Arial" w:eastAsia="Arial" w:hAnsi="Arial"/>
          <w:sz w:val="16"/>
          <w:szCs w:val="16"/>
          <w:color w:val="auto"/>
        </w:rPr>
      </w:pPr>
      <w:r>
        <w:rPr>
          <w:rFonts w:ascii="Arial" w:cs="Arial" w:eastAsia="Arial" w:hAnsi="Arial"/>
          <w:sz w:val="16"/>
          <w:szCs w:val="16"/>
          <w:color w:val="auto"/>
        </w:rPr>
        <w:t>Other than in connection with a Permitted Issuance (defined below), for the two-year period following the Closing Date, the Purchaser shall have the right to participate up to 100% of each such subsequent financing that involves the sale of securities of the Company (each such financing, a “</w:t>
      </w:r>
      <w:r>
        <w:rPr>
          <w:rFonts w:ascii="Arial" w:cs="Arial" w:eastAsia="Arial" w:hAnsi="Arial"/>
          <w:sz w:val="16"/>
          <w:szCs w:val="16"/>
          <w:u w:val="single" w:color="auto"/>
          <w:color w:val="auto"/>
        </w:rPr>
        <w:t>Subsequent Financing</w:t>
      </w:r>
      <w:r>
        <w:rPr>
          <w:rFonts w:ascii="Arial" w:cs="Arial" w:eastAsia="Arial" w:hAnsi="Arial"/>
          <w:sz w:val="16"/>
          <w:szCs w:val="16"/>
          <w:color w:val="auto"/>
        </w:rPr>
        <w:t>”). At least 15 days prior to the making or accepting of an offer for a Subsequent Financing, the Company shall deliver to the Purchaser a written notice of its intention to effect a Subsequent Financing and the details of such Subsequent Financing (a “</w:t>
      </w:r>
      <w:r>
        <w:rPr>
          <w:rFonts w:ascii="Arial" w:cs="Arial" w:eastAsia="Arial" w:hAnsi="Arial"/>
          <w:sz w:val="16"/>
          <w:szCs w:val="16"/>
          <w:u w:val="single" w:color="auto"/>
          <w:color w:val="auto"/>
        </w:rPr>
        <w:t>Subsequent Financing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The Subsequent Financing Notice shall describe in reasonable detail the proposed terms of such Subsequent Financing, the amount of proceeds intended to be raised thereunder and the Person (as defined in Section 2.13) with whom such Subsequent Financing is proposed to be effected, and shall include, as an attachment thereto, a term sheet or similar document relating thereto, if any exists. If the Purchaser elects to participate in the Subsequent Financing, the closing of such Subsequent Financing shall be as mutually agreed between the parties participating in such Subsequent Financing. If by 6:30 p.m. (Eastern Time) on the fifteenth day after the Purchaser has received the Subsequent Financing Notice, the Purchaser fails to notify the Company of its election to participate or elects to participate in an amount that is less than the total amount of the Subsequent Financing, then the Compa ny may effect the remaining portion of such Subsequent Financing on the terms and with the Persons set forth in the Subsequent Financing Notice. The Company must provide the Purchaser with a second Subsequent Financing Notice, and the Purchaser will again have the right of participation set forth above in this Section 1.5(a), if the Subsequent Financing subject to the initial Subsequent Financing Notice is not consummated for any reason on the terms set forth in such Subsequent Financing Notice within 90 days after the date of the initial Subsequent Financing Notice.</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48" w:name="page49"/>
    <w:bookmarkEnd w:id="48"/>
    <w:p>
      <w:pPr>
        <w:ind w:left="1740" w:hanging="435"/>
        <w:spacing w:after="0"/>
        <w:tabs>
          <w:tab w:leader="none" w:pos="17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Notwithstanding the foregoing, Section 1.5(a) shall not apply in respect to the issuance of the following (each, a “</w:t>
      </w:r>
      <w:r>
        <w:rPr>
          <w:rFonts w:ascii="Arial" w:cs="Arial" w:eastAsia="Arial" w:hAnsi="Arial"/>
          <w:sz w:val="17"/>
          <w:szCs w:val="17"/>
          <w:u w:val="single" w:color="auto"/>
          <w:color w:val="auto"/>
        </w:rPr>
        <w:t>Permitted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Issuance</w:t>
      </w:r>
      <w:r>
        <w:rPr>
          <w:rFonts w:ascii="Arial" w:cs="Arial" w:eastAsia="Arial" w:hAnsi="Arial"/>
          <w:sz w:val="18"/>
          <w:szCs w:val="18"/>
          <w:color w:val="auto"/>
        </w:rPr>
        <w:t>”):</w:t>
      </w:r>
    </w:p>
    <w:p>
      <w:pPr>
        <w:spacing w:after="0" w:line="265" w:lineRule="exact"/>
        <w:rPr>
          <w:sz w:val="20"/>
          <w:szCs w:val="20"/>
          <w:color w:val="auto"/>
        </w:rPr>
      </w:pPr>
    </w:p>
    <w:p>
      <w:pPr>
        <w:jc w:val="both"/>
        <w:ind w:right="40" w:firstLine="1953"/>
        <w:spacing w:after="0" w:line="264" w:lineRule="auto"/>
        <w:tabs>
          <w:tab w:leader="none" w:pos="2331"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shares of Common Stock or Options (defined below) issued or issuable in connection with any Approved Stock Plan (defined below), provided that the aggregate amount of Common Stock and Options issued and issuable under all such plans does not exceed ten percent (10%) of the then outstanding shares of Common Stock of the Company;</w:t>
      </w:r>
    </w:p>
    <w:p>
      <w:pPr>
        <w:spacing w:after="0" w:line="235" w:lineRule="exact"/>
        <w:rPr>
          <w:rFonts w:ascii="Arial" w:cs="Arial" w:eastAsia="Arial" w:hAnsi="Arial"/>
          <w:sz w:val="18"/>
          <w:szCs w:val="18"/>
          <w:color w:val="auto"/>
        </w:rPr>
      </w:pPr>
    </w:p>
    <w:p>
      <w:pPr>
        <w:ind w:right="180" w:firstLine="1953"/>
        <w:spacing w:after="0" w:line="259" w:lineRule="auto"/>
        <w:tabs>
          <w:tab w:leader="none" w:pos="2381"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shares of Common Stock issued upon conversion or exercise of any Options or Convertible Securities (defined below) that are outstanding on the day immediately preceding the Closing Date, provided that the terms of such Options or Convertible Securities are not amended, modified or changed on or after the Closing Date to lower the conversion or exercise price thereof and so long as the number of shares of Common Stock underlying such securities is not otherwise increased; and</w:t>
      </w:r>
    </w:p>
    <w:p>
      <w:pPr>
        <w:spacing w:after="0" w:line="240" w:lineRule="exact"/>
        <w:rPr>
          <w:rFonts w:ascii="Arial" w:cs="Arial" w:eastAsia="Arial" w:hAnsi="Arial"/>
          <w:sz w:val="18"/>
          <w:szCs w:val="18"/>
          <w:color w:val="auto"/>
        </w:rPr>
      </w:pPr>
    </w:p>
    <w:p>
      <w:pPr>
        <w:ind w:right="20" w:firstLine="1953"/>
        <w:spacing w:after="0" w:line="277" w:lineRule="auto"/>
        <w:tabs>
          <w:tab w:leader="none" w:pos="2431"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shares of Common Stock issued in an underwritten public offering in which the gross cash proceeds to the Company (before underwriting discounts, commissions and fees) are at least $10,000,000.</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Approved Stock Plan</w:t>
      </w:r>
      <w:r>
        <w:rPr>
          <w:rFonts w:ascii="Arial" w:cs="Arial" w:eastAsia="Arial" w:hAnsi="Arial"/>
          <w:sz w:val="18"/>
          <w:szCs w:val="18"/>
          <w:color w:val="auto"/>
        </w:rPr>
        <w:t>” means any employee benefit plan which has been approved by the Board of Directors of the Company, pursuant to which the Company’s securities may be issued to any employee, consultant, officer or director for services provided to the Company, “</w:t>
      </w:r>
      <w:r>
        <w:rPr>
          <w:rFonts w:ascii="Arial" w:cs="Arial" w:eastAsia="Arial" w:hAnsi="Arial"/>
          <w:sz w:val="18"/>
          <w:szCs w:val="18"/>
          <w:u w:val="single" w:color="auto"/>
          <w:color w:val="auto"/>
        </w:rPr>
        <w:t>Convertible Securities</w:t>
      </w:r>
      <w:r>
        <w:rPr>
          <w:rFonts w:ascii="Arial" w:cs="Arial" w:eastAsia="Arial" w:hAnsi="Arial"/>
          <w:sz w:val="18"/>
          <w:szCs w:val="18"/>
          <w:color w:val="auto"/>
        </w:rPr>
        <w:t>” means any stock or other securities (other than Options) directly or indirectly convertible into or exercisable or exchangeable for shares of Common Stock, and “</w:t>
      </w:r>
      <w:r>
        <w:rPr>
          <w:rFonts w:ascii="Arial" w:cs="Arial" w:eastAsia="Arial" w:hAnsi="Arial"/>
          <w:sz w:val="18"/>
          <w:szCs w:val="18"/>
          <w:u w:val="single" w:color="auto"/>
          <w:color w:val="auto"/>
        </w:rPr>
        <w:t>Options</w:t>
      </w:r>
      <w:r>
        <w:rPr>
          <w:rFonts w:ascii="Arial" w:cs="Arial" w:eastAsia="Arial" w:hAnsi="Arial"/>
          <w:sz w:val="18"/>
          <w:szCs w:val="18"/>
          <w:color w:val="auto"/>
        </w:rPr>
        <w:t>” means any rights, warrants or options to subscribe for or purchase shares of Common Stock or Convertible Securities.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SECURITY DOCUMENTS</w:t>
      </w:r>
    </w:p>
    <w:p>
      <w:pPr>
        <w:spacing w:after="0" w:line="211"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Security Agreement</w:t>
      </w:r>
      <w:r>
        <w:rPr>
          <w:rFonts w:ascii="Arial" w:cs="Arial" w:eastAsia="Arial" w:hAnsi="Arial"/>
          <w:sz w:val="18"/>
          <w:szCs w:val="18"/>
          <w:color w:val="auto"/>
        </w:rPr>
        <w:t xml:space="preserve">. All of the obligations of the Company under the Preferred Shares shall be secured by a lien on all the personal property and assets of the Company now existing or hereinafter acquired granted pursuant to a security agreement dated of even date herewith between the Company and the Purchaser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Security Agreement</w:t>
      </w:r>
      <w:r>
        <w:rPr>
          <w:rFonts w:ascii="Arial" w:cs="Arial" w:eastAsia="Arial" w:hAnsi="Arial"/>
          <w:sz w:val="18"/>
          <w:szCs w:val="18"/>
          <w:color w:val="auto"/>
        </w:rPr>
        <w: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9" w:name="page50"/>
    <w:bookmarkEnd w:id="49"/>
    <w:p>
      <w:pPr>
        <w:ind w:right="80" w:firstLine="648"/>
        <w:spacing w:after="0" w:line="308"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Guaranty</w:t>
      </w:r>
      <w:r>
        <w:rPr>
          <w:rFonts w:ascii="Arial" w:cs="Arial" w:eastAsia="Arial" w:hAnsi="Arial"/>
          <w:sz w:val="17"/>
          <w:szCs w:val="17"/>
          <w:color w:val="auto"/>
        </w:rPr>
        <w:t xml:space="preserve">. All of the obligations of the Company under the Preferred Shares shall be guaranteed pursuant to a guaranty agreement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w:t>
      </w:r>
      <w:r>
        <w:rPr>
          <w:rFonts w:ascii="Arial" w:cs="Arial" w:eastAsia="Arial" w:hAnsi="Arial"/>
          <w:sz w:val="17"/>
          <w:szCs w:val="17"/>
          <w:u w:val="single" w:color="auto"/>
          <w:color w:val="auto"/>
        </w:rPr>
        <w:t>Guaranty Agreement</w:t>
      </w:r>
      <w:r>
        <w:rPr>
          <w:rFonts w:ascii="Arial" w:cs="Arial" w:eastAsia="Arial" w:hAnsi="Arial"/>
          <w:sz w:val="17"/>
          <w:szCs w:val="17"/>
          <w:color w:val="auto"/>
        </w:rPr>
        <w:t xml:space="preserve">”) by each of the subsidiaries of the Company set forth on </w:t>
      </w:r>
      <w:r>
        <w:rPr>
          <w:rFonts w:ascii="Arial" w:cs="Arial" w:eastAsia="Arial" w:hAnsi="Arial"/>
          <w:sz w:val="17"/>
          <w:szCs w:val="17"/>
          <w:u w:val="single" w:color="auto"/>
          <w:color w:val="auto"/>
        </w:rPr>
        <w:t>Schedule 2.2</w:t>
      </w:r>
      <w:r>
        <w:rPr>
          <w:rFonts w:ascii="Arial" w:cs="Arial" w:eastAsia="Arial" w:hAnsi="Arial"/>
          <w:sz w:val="17"/>
          <w:szCs w:val="17"/>
          <w:color w:val="auto"/>
        </w:rPr>
        <w:t xml:space="preserve"> hereto.</w:t>
      </w:r>
    </w:p>
    <w:p>
      <w:pPr>
        <w:spacing w:after="0" w:line="147"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Guarantor Security Documents</w:t>
      </w:r>
      <w:r>
        <w:rPr>
          <w:rFonts w:ascii="Arial" w:cs="Arial" w:eastAsia="Arial" w:hAnsi="Arial"/>
          <w:sz w:val="17"/>
          <w:szCs w:val="17"/>
          <w:color w:val="auto"/>
        </w:rPr>
        <w:t xml:space="preserve">. All of the obligations of each Subsidiary under its Guaranty Agreement shall be secured by a lien on all the personal property and assets of such Subsidiary now existing or hereinafter acquired granted pursuant to a guarantor security agreement dated of even date herewith between such Subsidiary and the Purchaser in the form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w:t>
      </w:r>
      <w:r>
        <w:rPr>
          <w:rFonts w:ascii="Arial" w:cs="Arial" w:eastAsia="Arial" w:hAnsi="Arial"/>
          <w:sz w:val="17"/>
          <w:szCs w:val="17"/>
          <w:u w:val="single" w:color="auto"/>
          <w:color w:val="auto"/>
        </w:rPr>
        <w:t>Guarantor Security Agreement</w:t>
      </w:r>
      <w:r>
        <w:rPr>
          <w:rFonts w:ascii="Arial" w:cs="Arial" w:eastAsia="Arial" w:hAnsi="Arial"/>
          <w:sz w:val="17"/>
          <w:szCs w:val="17"/>
          <w:color w:val="auto"/>
        </w:rPr>
        <w:t>”).</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hereby represents and warrants to the Purchaser as of the date of this Agreement as follows: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The Company is a corporation duly organized and validly existing and in good standing under the laws of the jurisdiction in which it is incorporated, and has all requisite corporate power and authority to carry on its business as now conducted. The Company is duly qualified as a foreign corporation to do business and is in good standing in every jurisdiction in which its ownership of property or the nature of the business conducted by it makes such qualification necessary, except to the extent that the failure to be so qualified or be in good standing would not have a Material Adverse Effect. As used in thi s Agreement,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any material adverse effect on the business, properties, assets, operations, results of operations, or condition (financial or otherwise) of the Company and its Subsidiaries, taken as a whole, or on the transactions contemplated hereby or by the agreements and instruments to be entered into in connection herewith, or on the authority or ability of the Company to perform its obligations in all material respects under the Transaction Documents (as defined in Section 3.6 hereof).</w:t>
      </w:r>
    </w:p>
    <w:p>
      <w:pPr>
        <w:spacing w:after="0" w:line="17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Subsidiaries</w:t>
      </w:r>
      <w:r>
        <w:rPr>
          <w:rFonts w:ascii="Arial" w:cs="Arial" w:eastAsia="Arial" w:hAnsi="Arial"/>
          <w:sz w:val="16"/>
          <w:szCs w:val="16"/>
          <w:color w:val="auto"/>
        </w:rPr>
        <w:t xml:space="preserve">. The Company has no subsidiaries other than those disclosed on </w:t>
      </w:r>
      <w:r>
        <w:rPr>
          <w:rFonts w:ascii="Arial" w:cs="Arial" w:eastAsia="Arial" w:hAnsi="Arial"/>
          <w:sz w:val="16"/>
          <w:szCs w:val="16"/>
          <w:u w:val="single" w:color="auto"/>
          <w:color w:val="auto"/>
        </w:rPr>
        <w:t>Schedule 2.2</w:t>
      </w:r>
      <w:r>
        <w:rPr>
          <w:rFonts w:ascii="Arial" w:cs="Arial" w:eastAsia="Arial" w:hAnsi="Arial"/>
          <w:sz w:val="16"/>
          <w:szCs w:val="16"/>
          <w:color w:val="auto"/>
        </w:rPr>
        <w:t xml:space="preserve"> attached hereto (each a “</w:t>
      </w:r>
      <w:r>
        <w:rPr>
          <w:rFonts w:ascii="Arial" w:cs="Arial" w:eastAsia="Arial" w:hAnsi="Arial"/>
          <w:sz w:val="16"/>
          <w:szCs w:val="16"/>
          <w:u w:val="single" w:color="auto"/>
          <w:color w:val="auto"/>
        </w:rPr>
        <w:t>Subsidiary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Subsidiaries’</w:t>
      </w:r>
      <w:r>
        <w:rPr>
          <w:rFonts w:ascii="Arial" w:cs="Arial" w:eastAsia="Arial" w:hAnsi="Arial"/>
          <w:sz w:val="16"/>
          <w:szCs w:val="16"/>
          <w:color w:val="auto"/>
        </w:rPr>
        <w:t>). The Company owns, directly or indirectly, all of the capital stock of each Subsidiary, free and clear of any and all liens, and all the issued and outstanding shares of capital stock of each Subsidiary are validly issued and are fully paid, non-assessable and free of preemptive and similar rights. Each Subsidiary is a corporation duly organized and validly existing and in good standing under the laws of the jurisdiction in which it is incorporated, and has all requisite corporate power and authority to carry on its business as now conducted. Each Subsidiary is duly qualified as a foreign corporation to do business and is in good standing in every jurisdiction in which its ownership of property or the nature of the business conducted by it makes such qualification necessary, except to the extent that the failure to be so qualified or be in good standing would not have a Material Adverse Effect.</w:t>
      </w: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50" w:name="page51"/>
    <w:bookmarkEnd w:id="50"/>
    <w:p>
      <w:pPr>
        <w:ind w:left="660"/>
        <w:spacing w:after="0"/>
        <w:tabs>
          <w:tab w:leader="none" w:pos="10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Compliance</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255" w:lineRule="auto"/>
        <w:tabs>
          <w:tab w:leader="none" w:pos="1703"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Except as disclosed in </w:t>
      </w:r>
      <w:r>
        <w:rPr>
          <w:rFonts w:ascii="Arial" w:cs="Arial" w:eastAsia="Arial" w:hAnsi="Arial"/>
          <w:sz w:val="18"/>
          <w:szCs w:val="18"/>
          <w:u w:val="single" w:color="auto"/>
          <w:color w:val="auto"/>
        </w:rPr>
        <w:t>Schedule 3.3(a)</w:t>
      </w:r>
      <w:r>
        <w:rPr>
          <w:rFonts w:ascii="Arial" w:cs="Arial" w:eastAsia="Arial" w:hAnsi="Arial"/>
          <w:sz w:val="18"/>
          <w:szCs w:val="18"/>
          <w:color w:val="auto"/>
        </w:rPr>
        <w:t xml:space="preserve"> attached hereto,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except such that, individually or in the aggregate, such default(s) and violations(s) would no t have or reasonably be expect to have a Material Adverse Effect, (ii) is in violation of any order of any court, arbitrator or governmental body, or (iii) is in violation of any of the provisions of its certificate or articles of incorporation, bylaws or other organizational or charter documents.</w:t>
      </w:r>
    </w:p>
    <w:p>
      <w:pPr>
        <w:spacing w:after="0" w:line="189" w:lineRule="exact"/>
        <w:rPr>
          <w:rFonts w:ascii="Arial" w:cs="Arial" w:eastAsia="Arial" w:hAnsi="Arial"/>
          <w:sz w:val="18"/>
          <w:szCs w:val="18"/>
          <w:color w:val="auto"/>
        </w:rPr>
      </w:pPr>
    </w:p>
    <w:p>
      <w:pPr>
        <w:ind w:right="40" w:firstLine="1305"/>
        <w:spacing w:after="0" w:line="288" w:lineRule="auto"/>
        <w:tabs>
          <w:tab w:leader="none" w:pos="1713"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business of the Company and each Subsidiary is presently being conducted in accordance with all applicable foreign, federal, state and local governmental laws, rules, regulations and ordinances (including, without limitation, rules and regulations of each governmental and regulatory agency, self regulatory organization and Trading Market applicable to the Company or any Subsidiary), except such that, individually or in the aggregate, the noncompliance therewith would not have or reasonably be expect to have a Material Adverse Effect. The Company has all franchises, permits, licenses, consents and other governmental or regulatory authorizations and approvals necessary for the conduct of its business as now being con ducted by it unless the failure to possess such franchises, permits, licenses, consents and other governmental or regulatory authorizations and approvals, individually or in the aggregate, would not have or reasonably be expect to have a Material Adverse Effect, and the Company has not received any written notice of proceedings relating to the revocation or modification of any of the foregoing. For purposes of this Agreement, “</w:t>
      </w:r>
      <w:r>
        <w:rPr>
          <w:rFonts w:ascii="Arial" w:cs="Arial" w:eastAsia="Arial" w:hAnsi="Arial"/>
          <w:sz w:val="16"/>
          <w:szCs w:val="16"/>
          <w:u w:val="single" w:color="auto"/>
          <w:color w:val="auto"/>
        </w:rPr>
        <w:t>Trading Market</w:t>
      </w:r>
      <w:r>
        <w:rPr>
          <w:rFonts w:ascii="Arial" w:cs="Arial" w:eastAsia="Arial" w:hAnsi="Arial"/>
          <w:sz w:val="16"/>
          <w:szCs w:val="16"/>
          <w:color w:val="auto"/>
        </w:rPr>
        <w:t>” means the following markets or exchanges on which the Common Stock is listed or quoted for trading on the date in question: the NYSE Arca, the American Stock Exchange, the New York Stock Exchange, the Nasdaq Global Select Market, Nasdaq Global Market, the Nasdaq Capital Market, or any tier of the over-the-counter (“</w:t>
      </w:r>
      <w:r>
        <w:rPr>
          <w:rFonts w:ascii="Arial" w:cs="Arial" w:eastAsia="Arial" w:hAnsi="Arial"/>
          <w:sz w:val="16"/>
          <w:szCs w:val="16"/>
          <w:u w:val="single" w:color="auto"/>
          <w:color w:val="auto"/>
        </w:rPr>
        <w:t>OTC</w:t>
      </w:r>
      <w:r>
        <w:rPr>
          <w:rFonts w:ascii="Arial" w:cs="Arial" w:eastAsia="Arial" w:hAnsi="Arial"/>
          <w:sz w:val="16"/>
          <w:szCs w:val="16"/>
          <w:color w:val="auto"/>
        </w:rPr>
        <w:t>”) market.</w:t>
      </w:r>
    </w:p>
    <w:p>
      <w:pPr>
        <w:spacing w:after="0" w:line="16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225" w:lineRule="exact"/>
        <w:rPr>
          <w:sz w:val="20"/>
          <w:szCs w:val="20"/>
          <w:color w:val="auto"/>
        </w:rPr>
      </w:pPr>
    </w:p>
    <w:p>
      <w:pPr>
        <w:ind w:right="180" w:firstLine="1305"/>
        <w:spacing w:after="0" w:line="259" w:lineRule="auto"/>
        <w:tabs>
          <w:tab w:leader="none" w:pos="1703"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authorized capital stock of the Company, the number of shares of such capital stock issued and outstanding, and the number of shares of capital stock reserved for issuance upon the exercise or conversion of all outstanding warrants, stock options, and other securities issued by the Company, as of the date hereof, are set forth on </w:t>
      </w:r>
      <w:r>
        <w:rPr>
          <w:rFonts w:ascii="Arial" w:cs="Arial" w:eastAsia="Arial" w:hAnsi="Arial"/>
          <w:sz w:val="18"/>
          <w:szCs w:val="18"/>
          <w:u w:val="single" w:color="auto"/>
          <w:color w:val="auto"/>
        </w:rPr>
        <w:t>Schedule 3.4(a)</w:t>
      </w:r>
      <w:r>
        <w:rPr>
          <w:rFonts w:ascii="Arial" w:cs="Arial" w:eastAsia="Arial" w:hAnsi="Arial"/>
          <w:sz w:val="18"/>
          <w:szCs w:val="18"/>
          <w:color w:val="auto"/>
        </w:rPr>
        <w:t xml:space="preserve"> attached hereto. All of such outstanding shares have been, or upon issuance will be, validly issued, are fully paid and nonassessable.</w:t>
      </w:r>
    </w:p>
    <w:p>
      <w:pPr>
        <w:spacing w:after="0" w:line="186" w:lineRule="exact"/>
        <w:rPr>
          <w:rFonts w:ascii="Arial" w:cs="Arial" w:eastAsia="Arial" w:hAnsi="Arial"/>
          <w:sz w:val="18"/>
          <w:szCs w:val="18"/>
          <w:color w:val="auto"/>
        </w:rPr>
      </w:pPr>
    </w:p>
    <w:p>
      <w:pPr>
        <w:ind w:left="1720" w:hanging="415"/>
        <w:spacing w:after="0"/>
        <w:tabs>
          <w:tab w:leader="none" w:pos="1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Except for the Securities, or as disclosed in </w:t>
      </w:r>
      <w:r>
        <w:rPr>
          <w:rFonts w:ascii="Arial" w:cs="Arial" w:eastAsia="Arial" w:hAnsi="Arial"/>
          <w:sz w:val="18"/>
          <w:szCs w:val="18"/>
          <w:u w:val="single" w:color="auto"/>
          <w:color w:val="auto"/>
        </w:rPr>
        <w:t>Schedule 3.4(b)</w:t>
      </w:r>
      <w:r>
        <w:rPr>
          <w:rFonts w:ascii="Arial" w:cs="Arial" w:eastAsia="Arial" w:hAnsi="Arial"/>
          <w:sz w:val="18"/>
          <w:szCs w:val="18"/>
          <w:color w:val="auto"/>
        </w:rPr>
        <w:t xml:space="preserve"> attached hereto:</w:t>
      </w:r>
    </w:p>
    <w:p>
      <w:pPr>
        <w:spacing w:after="0" w:line="225" w:lineRule="exact"/>
        <w:rPr>
          <w:rFonts w:ascii="Arial" w:cs="Arial" w:eastAsia="Arial" w:hAnsi="Arial"/>
          <w:sz w:val="18"/>
          <w:szCs w:val="18"/>
          <w:color w:val="auto"/>
        </w:rPr>
      </w:pPr>
    </w:p>
    <w:p>
      <w:pPr>
        <w:ind w:firstLine="2115"/>
        <w:spacing w:after="0" w:line="277" w:lineRule="auto"/>
        <w:tabs>
          <w:tab w:leader="none" w:pos="2882" w:val="left"/>
        </w:tabs>
        <w:numPr>
          <w:ilvl w:val="1"/>
          <w:numId w:val="62"/>
        </w:numPr>
        <w:rPr>
          <w:rFonts w:ascii="Arial" w:cs="Arial" w:eastAsia="Arial" w:hAnsi="Arial"/>
          <w:sz w:val="18"/>
          <w:szCs w:val="18"/>
          <w:color w:val="auto"/>
        </w:rPr>
      </w:pPr>
      <w:r>
        <w:rPr>
          <w:rFonts w:ascii="Arial" w:cs="Arial" w:eastAsia="Arial" w:hAnsi="Arial"/>
          <w:sz w:val="18"/>
          <w:szCs w:val="18"/>
          <w:color w:val="auto"/>
        </w:rPr>
        <w:t>no holder of shares of the Company’s capital stock has any preemptive rights or any other similar rights or has been granted or holds any Liens or encumbrances suffered or permitted by the Company;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1" w:name="page52"/>
    <w:bookmarkEnd w:id="51"/>
    <w:p>
      <w:pPr>
        <w:jc w:val="both"/>
        <w:ind w:firstLine="2115"/>
        <w:spacing w:after="0" w:line="297" w:lineRule="auto"/>
        <w:tabs>
          <w:tab w:leader="none" w:pos="3102"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there are no outstanding options, warrants, scrip, rights to subscribe to, calls or commitments of any character whatsoever relating to, or securities or rights convertible into, or exercisable or exchangeable for, any shares of capital stock of the Company or any Subsidiary, or contracts, commitments, understandings or arrangements by which the Company or any Subsidiary is or may become bound to issue additional shares of capital stock of the Company or any Subsidiary or options, warrants, scrip, rights to subscribe to, calls or commitments of any character whatsoever relating to, or securities or rights convertible into, or exercisable or exchangeable for, any shares of capital stock of the Company or any Subsidiary;</w:t>
      </w:r>
    </w:p>
    <w:p>
      <w:pPr>
        <w:spacing w:after="0" w:line="158" w:lineRule="exact"/>
        <w:rPr>
          <w:rFonts w:ascii="Arial" w:cs="Arial" w:eastAsia="Arial" w:hAnsi="Arial"/>
          <w:sz w:val="16"/>
          <w:szCs w:val="16"/>
          <w:color w:val="auto"/>
        </w:rPr>
      </w:pPr>
    </w:p>
    <w:p>
      <w:pPr>
        <w:jc w:val="both"/>
        <w:ind w:firstLine="2115"/>
        <w:spacing w:after="0" w:line="264" w:lineRule="auto"/>
        <w:tabs>
          <w:tab w:leader="none" w:pos="29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 are no outstanding debt securities, notes, credit agreements, credit facilities or other agreements, documents or instruments evidencing Indebtedness (as defined in Section 3.13 hereof) of the Company or any Subsidiary in excess of $100,000 or by which the Company or any Subsidiary is or may become bound and involves Indebtedness in excess of $100,000;</w:t>
      </w:r>
    </w:p>
    <w:p>
      <w:pPr>
        <w:spacing w:after="0" w:line="181" w:lineRule="exact"/>
        <w:rPr>
          <w:rFonts w:ascii="Arial" w:cs="Arial" w:eastAsia="Arial" w:hAnsi="Arial"/>
          <w:sz w:val="18"/>
          <w:szCs w:val="18"/>
          <w:color w:val="auto"/>
        </w:rPr>
      </w:pPr>
    </w:p>
    <w:p>
      <w:pPr>
        <w:ind w:firstLine="2115"/>
        <w:spacing w:after="0" w:line="277" w:lineRule="auto"/>
        <w:tabs>
          <w:tab w:leader="none" w:pos="289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 are no financing statements securing obligations in any material amounts, either singly or in the aggregate, filed in connection with the Company or its Subsidiaries;</w:t>
      </w:r>
    </w:p>
    <w:p>
      <w:pPr>
        <w:spacing w:after="0" w:line="170" w:lineRule="exact"/>
        <w:rPr>
          <w:rFonts w:ascii="Arial" w:cs="Arial" w:eastAsia="Arial" w:hAnsi="Arial"/>
          <w:sz w:val="18"/>
          <w:szCs w:val="18"/>
          <w:color w:val="auto"/>
        </w:rPr>
      </w:pPr>
    </w:p>
    <w:p>
      <w:pPr>
        <w:ind w:right="20" w:firstLine="2115"/>
        <w:spacing w:after="0" w:line="277" w:lineRule="auto"/>
        <w:tabs>
          <w:tab w:leader="none" w:pos="287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 are no agreements or arrangements under which the Company or any Subsidiary is obligated to register the sale of any of their securities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2115"/>
        <w:spacing w:after="0" w:line="264" w:lineRule="auto"/>
        <w:tabs>
          <w:tab w:leader="none" w:pos="29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a Subsidiary;</w:t>
      </w:r>
    </w:p>
    <w:p>
      <w:pPr>
        <w:spacing w:after="0" w:line="181" w:lineRule="exact"/>
        <w:rPr>
          <w:rFonts w:ascii="Arial" w:cs="Arial" w:eastAsia="Arial" w:hAnsi="Arial"/>
          <w:sz w:val="18"/>
          <w:szCs w:val="18"/>
          <w:color w:val="auto"/>
        </w:rPr>
      </w:pPr>
    </w:p>
    <w:p>
      <w:pPr>
        <w:ind w:left="3160" w:hanging="1045"/>
        <w:spacing w:after="0"/>
        <w:tabs>
          <w:tab w:leader="none" w:pos="31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there are no securities or instruments containing antidilution or similar provisions that will be triggered by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issuance of the Securities; and</w:t>
      </w:r>
    </w:p>
    <w:p>
      <w:pPr>
        <w:spacing w:after="0" w:line="210" w:lineRule="exact"/>
        <w:rPr>
          <w:rFonts w:ascii="Arial" w:cs="Arial" w:eastAsia="Arial" w:hAnsi="Arial"/>
          <w:sz w:val="17"/>
          <w:szCs w:val="17"/>
          <w:color w:val="auto"/>
        </w:rPr>
      </w:pPr>
    </w:p>
    <w:p>
      <w:pPr>
        <w:ind w:left="3100" w:hanging="985"/>
        <w:spacing w:after="0"/>
        <w:tabs>
          <w:tab w:leader="none" w:pos="31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does not have any stock appreciation rights or “phantom stock” plans or agreements or any similar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 or agreement.</w:t>
      </w:r>
    </w:p>
    <w:p>
      <w:pPr>
        <w:spacing w:after="0" w:line="21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Issuance of Securities</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97" w:lineRule="auto"/>
        <w:tabs>
          <w:tab w:leader="none" w:pos="1703"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Securities to be issued hereunder are duly authorized and, upon payment and issuance in accordance with the terms hereof, shall be free from all taxes, Liens and charges with respect to the issuance thereof. As of the Closing Date, the Company has authorized and has reserved free of preemptive rights and other similar contractual rights of stockholders, a number of its authorized but unissued shares of Common Stock equal to one hundred percent (100%) of the aggregate number of shares of Common Stock to effect the conversion of the Preferred Shares (the “</w:t>
      </w:r>
      <w:r>
        <w:rPr>
          <w:rFonts w:ascii="Arial" w:cs="Arial" w:eastAsia="Arial" w:hAnsi="Arial"/>
          <w:sz w:val="16"/>
          <w:szCs w:val="16"/>
          <w:u w:val="single" w:color="auto"/>
          <w:color w:val="auto"/>
        </w:rPr>
        <w:t>Conversion Shares</w:t>
      </w:r>
      <w:r>
        <w:rPr>
          <w:rFonts w:ascii="Arial" w:cs="Arial" w:eastAsia="Arial" w:hAnsi="Arial"/>
          <w:sz w:val="16"/>
          <w:szCs w:val="16"/>
          <w:color w:val="auto"/>
        </w:rPr>
        <w:t>”) and one hundred percent (100%) of the aggregate number of shares of Common Sto ck to effect the exercise of the Warrant (the “</w:t>
      </w:r>
      <w:r>
        <w:rPr>
          <w:rFonts w:ascii="Arial" w:cs="Arial" w:eastAsia="Arial" w:hAnsi="Arial"/>
          <w:sz w:val="16"/>
          <w:szCs w:val="16"/>
          <w:u w:val="single" w:color="auto"/>
          <w:color w:val="auto"/>
        </w:rPr>
        <w:t>Warrant Shares</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right="220" w:firstLine="1305"/>
        <w:spacing w:after="0" w:line="264" w:lineRule="auto"/>
        <w:tabs>
          <w:tab w:leader="none" w:pos="171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Conversion Shares and Warrant Shares, when issued and paid for upon conversion of the Preferred Shares and exercise of the Warrant, as the case may be, will be validly issued, fully paid and nonassessable and free from all taxes, Liens and charges with respect to the issue thereof, with the holders being entitled to all rights accorded to a holder of the Common Stock.</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2" w:name="page53"/>
    <w:bookmarkEnd w:id="52"/>
    <w:p>
      <w:pPr>
        <w:ind w:right="160" w:firstLine="1305"/>
        <w:spacing w:after="0" w:line="264" w:lineRule="auto"/>
        <w:tabs>
          <w:tab w:leader="none" w:pos="1703"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Assuming the accuracy of each of the representations and warranties made by the Purchaser and set forth in Article IV hereof (and assuming no change in applicable law and no unlawful distribution of the Securities by the Purchaser or other Persons), the issuance by the Company to the Purchaser of the Securities is exempt from registration under the Securities Act.</w:t>
      </w:r>
    </w:p>
    <w:p>
      <w:pPr>
        <w:spacing w:after="0" w:line="181"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Authorization; Enforcement; Validity</w:t>
      </w:r>
      <w:r>
        <w:rPr>
          <w:rFonts w:ascii="Arial" w:cs="Arial" w:eastAsia="Arial" w:hAnsi="Arial"/>
          <w:sz w:val="16"/>
          <w:szCs w:val="16"/>
          <w:color w:val="auto"/>
        </w:rPr>
        <w:t xml:space="preserve">. The Company has the requisite corporate power and authority to enter into and perform its obligations under this Agreement, the Registration Rights Agreement to be entered into between the Company and the Purchaser on even date herewith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the Certificate of Designation for the Series B Preferred Stock, and the Warrant, and each of the other agreements or instruments entered into by the parties hereto in connectio n with the transactions contemplated by this Agreement (collectively, the “</w:t>
      </w:r>
      <w:r>
        <w:rPr>
          <w:rFonts w:ascii="Arial" w:cs="Arial" w:eastAsia="Arial" w:hAnsi="Arial"/>
          <w:sz w:val="16"/>
          <w:szCs w:val="16"/>
          <w:u w:val="single" w:color="auto"/>
          <w:color w:val="auto"/>
        </w:rPr>
        <w:t>Transaction Documents</w:t>
      </w:r>
      <w:r>
        <w:rPr>
          <w:rFonts w:ascii="Arial" w:cs="Arial" w:eastAsia="Arial" w:hAnsi="Arial"/>
          <w:sz w:val="16"/>
          <w:szCs w:val="16"/>
          <w:color w:val="auto"/>
        </w:rPr>
        <w:t>”) and to issue the Securities (including without limitation, the Conversion Shares and Warrant Shares) in accordance with the terms hereof and thereof. The execution and delivery of the Transaction Documents by the Company and the consummation by the Company of the transactions contemplated hereby and thereby, including, without limitation, the issuance of the Preferred Shares and the Warrant, have been duly authorized by the Board, and no further consent or authorization is required by the Company, the Board or its stockholders. This Agreement and the other Transaction Documents have been duly executed and delivered by the Company, and constitute the legal, valid and binding obligations of the Company enforceable against the Company in accordance with their respective terms, except (i) as limited by general equitable principles and appl icable bankruptcy, insolvency, reorganization, moratorium, fraudulent conveyance and other laws of general application affecting enforcement of creditors’ rights and remedies generally,</w:t>
      </w:r>
    </w:p>
    <w:p>
      <w:pPr>
        <w:spacing w:after="0" w:line="5" w:lineRule="exact"/>
        <w:rPr>
          <w:sz w:val="20"/>
          <w:szCs w:val="20"/>
          <w:color w:val="auto"/>
        </w:rPr>
      </w:pPr>
    </w:p>
    <w:p>
      <w:pPr>
        <w:ind w:right="60" w:firstLine="8"/>
        <w:spacing w:after="0" w:line="261" w:lineRule="auto"/>
        <w:tabs>
          <w:tab w:leader="none" w:pos="26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 limited by laws relating to the availability of specific performance, injunctive relief or other equitable remedies and (iii) insofar as indemnification and contribution provisions may be limited by applicable law or by principles of public policy thereunder.</w:t>
      </w:r>
    </w:p>
    <w:p>
      <w:pPr>
        <w:spacing w:after="0" w:line="184"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Dilutive Effect</w:t>
      </w:r>
      <w:r>
        <w:rPr>
          <w:rFonts w:ascii="Arial" w:cs="Arial" w:eastAsia="Arial" w:hAnsi="Arial"/>
          <w:sz w:val="18"/>
          <w:szCs w:val="18"/>
          <w:color w:val="auto"/>
        </w:rPr>
        <w:t>. The Company understands and acknowledges that its obligation to issue the Conversion Shares and Warrant Shares upon conversion of the Preferred Shares and exercise of the Warrant, as the case may be, is absolute and unconditional regardless of the dilutive effect that such issuance may have on the ownership interests of other stockholders of the Company.</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the Transaction Documents by the Company and the consummation by the Company of the transactions contemplated hereby and thereby (including, without limitation, the reservation for issuance of the Conversion Shares and Warrant Shares) will not (i) result in a violation of any articles or certificate of incorporation, any certificate of designation, preferences and rights of any outstanding series of preferred stock, bylaws or similar charter or organizational document of the Company or any Subsidiary or (ii) conflict with, or constitute a default (or an event which with notice or lapse of time or bot h would become a default) under, or give to others any rights of termination, amendment, acceleration or cancellation of, any material agreement, indenture or instrument to which the Company or any Subsidiary is a party (except where such defaults, conflicts, rights of termination, amendment, acceleration or cancellation have been waived or postponed until the fulfillment of the Company’s obligations under the Transaction Documents), or (iii) result in a violation of any federal, state, local or foreign statute, rule, regulation, order, judgment or decree (including federal and state securities laws and regulations and rules and regulations of any governmental or any regulatory agency, self-regulatory organization, or Trading Market applicable to the Company) or by which any property or asset of the Company are bound or affected, except in the case of clauses (ii) and (iii), for such breaches, violations or defaults as would not be reasonably expected to have a Material Adverse Effect.</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53" w:name="page54"/>
    <w:bookmarkEnd w:id="53"/>
    <w:p>
      <w:pPr>
        <w:ind w:right="120" w:firstLine="648"/>
        <w:spacing w:after="0" w:line="272"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Governmental Consents</w:t>
      </w:r>
      <w:r>
        <w:rPr>
          <w:rFonts w:ascii="Arial" w:cs="Arial" w:eastAsia="Arial" w:hAnsi="Arial"/>
          <w:sz w:val="17"/>
          <w:szCs w:val="17"/>
          <w:color w:val="auto"/>
        </w:rPr>
        <w:t>. Except for (i) the filing of a registration statement pursuant to the Registration Rights Agreement, (ii) application(s) to each Trading Market for the listing of the Conversion Shares and Warrant Shares for trading thereon in the time and manner required thereby, and (iii) the filing of Form D with the Commission and such filings as are required to be made under applicable state securities laws, the Company is not required to obtain any consent, authorization or order of, or make any filing or registration with, any court, governmental or any regulatory agency, self-regulatory organization or any other Person in order for it to execute, deliver or perform any of its obligations under or contemplated by the Transaction Documents, in each case, in accordance with the terms hereof or thereof. The Company is unaware of any facts or circumstances relating to the Company or its Subsidiaries which might prevent the Company from obtaining or effecting any of the foregoing.</w:t>
      </w:r>
    </w:p>
    <w:p>
      <w:pPr>
        <w:spacing w:after="0" w:line="178" w:lineRule="exact"/>
        <w:rPr>
          <w:sz w:val="20"/>
          <w:szCs w:val="20"/>
          <w:color w:val="auto"/>
        </w:rPr>
      </w:pPr>
    </w:p>
    <w:p>
      <w:pPr>
        <w:ind w:right="60" w:firstLine="648"/>
        <w:spacing w:after="0" w:line="283"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Registration and Approval of Sale of Securities</w:t>
      </w:r>
      <w:r>
        <w:rPr>
          <w:rFonts w:ascii="Arial" w:cs="Arial" w:eastAsia="Arial" w:hAnsi="Arial"/>
          <w:sz w:val="16"/>
          <w:szCs w:val="16"/>
          <w:color w:val="auto"/>
        </w:rPr>
        <w:t>. Based in material part upon the representations and warranties herein (and in the other Transaction Documents) of the Purchaser, the Company has complied and will comply with all applicable federal and state securities laws in connection with the offer, issuance and sale of the Securities hereunder. Assuming the accuracy of the representations and warranties in Article VI hereof (and assuming no change in applicable law and no unlawful distribution of the Securities by the Purchaser or other Persons), no registration under the Securities Act is required for the offer and sale of the Securities b y the Company to the Purchaser as is contemplated hereby. Neither the Company nor any Person acting on its behalf, directly or indirectly, has or will sell, offer to sell or solicit offers to buy any of the Securities or similar securities to, or solicit offers with respect thereto from, or enter into any negotiations relating thereto with, any Person, or has taken or will take any action so as to either (a) bring the issuance and sale of any of the Securities under the registration provisions of the Securities Act or applicable state securities laws, or (b) trigger stockholder approval provisions under the rules or regulations of any Trading Market. Neither the Company nor any of its affiliates that it controls, nor any Person acting on its or their behalf, has:</w:t>
      </w:r>
    </w:p>
    <w:p>
      <w:pPr>
        <w:spacing w:after="0" w:line="7" w:lineRule="exact"/>
        <w:rPr>
          <w:sz w:val="20"/>
          <w:szCs w:val="20"/>
          <w:color w:val="auto"/>
        </w:rPr>
      </w:pPr>
    </w:p>
    <w:p>
      <w:pPr>
        <w:ind w:firstLine="8"/>
        <w:spacing w:after="0" w:line="270" w:lineRule="auto"/>
        <w:tabs>
          <w:tab w:leader="none" w:pos="255" w:val="left"/>
        </w:tabs>
        <w:numPr>
          <w:ilvl w:val="0"/>
          <w:numId w:val="67"/>
        </w:numPr>
        <w:rPr>
          <w:rFonts w:ascii="Arial" w:cs="Arial" w:eastAsia="Arial" w:hAnsi="Arial"/>
          <w:sz w:val="17"/>
          <w:szCs w:val="17"/>
          <w:color w:val="auto"/>
        </w:rPr>
      </w:pPr>
      <w:r>
        <w:rPr>
          <w:rFonts w:ascii="Arial" w:cs="Arial" w:eastAsia="Arial" w:hAnsi="Arial"/>
          <w:sz w:val="17"/>
          <w:szCs w:val="17"/>
          <w:color w:val="auto"/>
        </w:rPr>
        <w:t>engaged in any form of general solicitation or general advertising (within the meaning of Regulation D under the Securities Act) in connection with the offer or sale of any of the Securities; or (y) directly or indirectly ma de any offers or sales of any security or solicited any offers to buy any security under circumstances that would cause the offering of the Securities pursuant to this Agreement to be integrated with prior offerings by the Company for purposes of the Securities Act in a manner that would prevent the Company from selling the Securities pursuant to Regulation D and Rule 506 thereof under the Securities Act, nor will the Company or any of its affiliates that it controls or Persons acting on its or their behalf engage in any form of general solicitation or take any action or steps that would cause the offering of the Securities to be integrated with other offerings.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4" w:name="page55"/>
    <w:bookmarkEnd w:id="54"/>
    <w:p>
      <w:pPr>
        <w:ind w:right="100" w:firstLine="648"/>
        <w:spacing w:after="0" w:line="255"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Placement Agent’s Fees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3.11</w:t>
      </w:r>
      <w:r>
        <w:rPr>
          <w:rFonts w:ascii="Arial" w:cs="Arial" w:eastAsia="Arial" w:hAnsi="Arial"/>
          <w:sz w:val="18"/>
          <w:szCs w:val="18"/>
          <w:color w:val="auto"/>
        </w:rPr>
        <w:t>, no brokerage or finder’s fee or commission are or will be payable to any Person with respect to the transactions contemplated by this Agreement based upon arrangements made by the Company or any of its affiliates. The Company agrees that it shall be responsible for the payment of any placement agent’s fees, financial advisory fees, or brokers’ commissions (other than for Persons engaged by the Purchaser or any of its affiliates) relating to or arising out of the transactions contemplated hereby. The Company shall pay, and hold the Purchaser harmless against, any liability, loss or expense (including, without limitation, reasonable attorney’s fees and out-of-pocket expenses) arising in connection with any claim for any such fees or commissions.</w:t>
      </w:r>
    </w:p>
    <w:p>
      <w:pPr>
        <w:spacing w:after="0" w:line="19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Except as disclosed in </w:t>
      </w:r>
      <w:r>
        <w:rPr>
          <w:rFonts w:ascii="Arial" w:cs="Arial" w:eastAsia="Arial" w:hAnsi="Arial"/>
          <w:sz w:val="16"/>
          <w:szCs w:val="16"/>
          <w:u w:val="single" w:color="auto"/>
          <w:color w:val="auto"/>
        </w:rPr>
        <w:t>Schedule 3.12</w:t>
      </w:r>
      <w:r>
        <w:rPr>
          <w:rFonts w:ascii="Arial" w:cs="Arial" w:eastAsia="Arial" w:hAnsi="Arial"/>
          <w:sz w:val="16"/>
          <w:szCs w:val="16"/>
          <w:color w:val="auto"/>
        </w:rPr>
        <w:t xml:space="preserve"> attached hereto, there is no action, suit, written notice of violation, or written notice of any proceeding pending or, to the knowledge of the Company, threatened against or affecting the Common Stock or the Company, any Subsidiary or any of their respective executive officers, directors or properties before or by any court, arbitrator, governmental or administrative agency, regulatory authority (federal, state, county, local or foreign), self regulatory authority or Trading Market (collectively, an “</w:t>
      </w:r>
      <w:r>
        <w:rPr>
          <w:rFonts w:ascii="Arial" w:cs="Arial" w:eastAsia="Arial" w:hAnsi="Arial"/>
          <w:sz w:val="16"/>
          <w:szCs w:val="16"/>
          <w:u w:val="single" w:color="auto"/>
          <w:color w:val="auto"/>
        </w:rPr>
        <w:t>Action</w:t>
      </w:r>
      <w:r>
        <w:rPr>
          <w:rFonts w:ascii="Arial" w:cs="Arial" w:eastAsia="Arial" w:hAnsi="Arial"/>
          <w:sz w:val="16"/>
          <w:szCs w:val="16"/>
          <w:color w:val="auto"/>
        </w:rPr>
        <w:t>”) which (i) adversely affects or challenges the legality, validity or enforceability of any of the Transaction Documents or the Securities or (ii) would, if there were an unfavorable decision, have or reasonably be expected to result in a Material Adverse Effect. To the Company’s knowledge, neither the Company nor any Subsidiary, nor any director or executive officer thereof (in his/her capacity as such), is or, within the last five years, has been the subject of any Action involving a claim of violation of or liability under federal or state securities laws or a claim of breach of fiduciary duty. To the knowledge of the Company, there has not been, and there is not pending or threatened in writing, any investigation by the United States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or “SEC”) involving the Company or any current director or executive officer of the Company. The Commission has not issued any stop order or other order suspending the effectiveness of any registration statement filed by the Company under the Securities Act. There is no action, suit, claim, investigation, arbitration, alternate dispute resolution proceeding or other proceeding pending or, to the knowledge of the Company, threatened in writing against or involving the Company or any of its properties or assets, which individually or in the aggregate, would reasonably be expected to have a Material Adverse Effect. There are no outstanding orders, judgments, injunctions, awards or decrees of any court, arbitrator or governmental or regulatory body against the Company or any executive officers or directors of the Company in their capacities as such, which individually or in the aggregate, would reasonably be expected to have a Material Adverse E ffect.</w:t>
      </w:r>
    </w:p>
    <w:p>
      <w:pPr>
        <w:spacing w:after="0" w:line="16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3.13 </w:t>
      </w:r>
      <w:r>
        <w:rPr>
          <w:rFonts w:ascii="Arial" w:cs="Arial" w:eastAsia="Arial" w:hAnsi="Arial"/>
          <w:sz w:val="16"/>
          <w:szCs w:val="16"/>
          <w:u w:val="single" w:color="auto"/>
          <w:color w:val="auto"/>
        </w:rPr>
        <w:t>Indebtedness and Other Contracts</w:t>
      </w:r>
      <w:r>
        <w:rPr>
          <w:rFonts w:ascii="Arial" w:cs="Arial" w:eastAsia="Arial" w:hAnsi="Arial"/>
          <w:sz w:val="16"/>
          <w:szCs w:val="16"/>
          <w:color w:val="auto"/>
        </w:rPr>
        <w:t xml:space="preserve">. Except as disclosed in </w:t>
      </w:r>
      <w:r>
        <w:rPr>
          <w:rFonts w:ascii="Arial" w:cs="Arial" w:eastAsia="Arial" w:hAnsi="Arial"/>
          <w:sz w:val="16"/>
          <w:szCs w:val="16"/>
          <w:u w:val="single" w:color="auto"/>
          <w:color w:val="auto"/>
        </w:rPr>
        <w:t>Schedule 3.13</w:t>
      </w:r>
      <w:r>
        <w:rPr>
          <w:rFonts w:ascii="Arial" w:cs="Arial" w:eastAsia="Arial" w:hAnsi="Arial"/>
          <w:sz w:val="16"/>
          <w:szCs w:val="16"/>
          <w:color w:val="auto"/>
        </w:rPr>
        <w:t xml:space="preserve"> attached hereto, neither the Company nor any Subsidiary (a) has any outstanding Indebtedness (as defined below in this Section 3.13), (b) is a party to any contract, agreement or instrument, the violation of which, or default under, by any other party to such contract, agreement or instrument would result in a Material Adverse Effect, (c) is in violation of any term of or in default under any contract, agreement or instrument relating to any Indebtedness, except where such violations and defaults would not result, in dividually or in the aggregate, in a Material Adverse Effect, or (d) is a party to any contract, agreement or instrument relating to any Indebtedness, the performance of which, in the judgment of the Company’s officers, has or is expected to have a Material Adverse Effect. For purposes of this Agreement: (x) “</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(i) all indebtedness for borrowed money, (ii) all obligations issued, undertaken or assumed as the deferred purchase price of property or services (other than trade payables entered into in the ordinary course of business),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 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generally accepted accounting principles, consistently applied for the periods covered thereby, is classified as a capital lease, (vii) all indebtedness referred to in clauses (i) through (vi) above secured by (or for which the holder of such Indebtedness has an existing right, contingent or otherwise, to be secured by) any mortgage, Lien, pledge, change, security interest or other encumbrance upon or in any property or assets (including accounts and contract rights) owned by any Person, even though th e Person which owns such assets or property has not assumed or become liable for the payment of such indebtedness, and (viii) all Contingent Obligations in respect of indebtedness or obligations of others of the kinds referred to in clauses (i) through (vii) above; (y) “</w:t>
      </w:r>
      <w:r>
        <w:rPr>
          <w:rFonts w:ascii="Arial" w:cs="Arial" w:eastAsia="Arial" w:hAnsi="Arial"/>
          <w:sz w:val="16"/>
          <w:szCs w:val="16"/>
          <w:u w:val="single" w:color="auto"/>
          <w:color w:val="auto"/>
        </w:rPr>
        <w:t>Contingent Obligation</w:t>
      </w:r>
      <w:r>
        <w:rPr>
          <w:rFonts w:ascii="Arial" w:cs="Arial" w:eastAsia="Arial" w:hAnsi="Arial"/>
          <w:sz w:val="16"/>
          <w:szCs w:val="16"/>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and (z) “</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a limited liability company, a partnership, a joint venture, a corporation, a trust, an unincorporated organization and a government or any department or agency thereof.</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55" w:name="page56"/>
    <w:bookmarkEnd w:id="55"/>
    <w:p>
      <w:pPr>
        <w:ind w:right="40" w:firstLine="648"/>
        <w:spacing w:after="0" w:line="286"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Securities Periodic Reporting</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Schedule 3.14</w:t>
      </w:r>
      <w:r>
        <w:rPr>
          <w:rFonts w:ascii="Arial" w:cs="Arial" w:eastAsia="Arial" w:hAnsi="Arial"/>
          <w:sz w:val="16"/>
          <w:szCs w:val="16"/>
          <w:color w:val="auto"/>
        </w:rPr>
        <w:t xml:space="preserve"> hereto, The Company has filed all reports, schedules, forms, statements and other documents required to be filed by it with the SEC pursuant to the reporting requirements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As of their respective dates, the Company’s reports, schedules, forms, statements and other documents required to be filed by it with the SEC pursuant to the reporting requirements of the Exchange Act p rior to the date hereof (the “</w:t>
      </w:r>
      <w:r>
        <w:rPr>
          <w:rFonts w:ascii="Arial" w:cs="Arial" w:eastAsia="Arial" w:hAnsi="Arial"/>
          <w:sz w:val="16"/>
          <w:szCs w:val="16"/>
          <w:u w:val="single" w:color="auto"/>
          <w:color w:val="auto"/>
        </w:rPr>
        <w:t>SEC Documents</w:t>
      </w:r>
      <w:r>
        <w:rPr>
          <w:rFonts w:ascii="Arial" w:cs="Arial" w:eastAsia="Arial" w:hAnsi="Arial"/>
          <w:sz w:val="16"/>
          <w:szCs w:val="16"/>
          <w:color w:val="auto"/>
        </w:rPr>
        <w:t>”) complied in all material respects with the requirements of the Exchange Act and the rules and regulations of the SEC promulgated thereunder applicable to such SEC Documents, and none of such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such SEC Documents complied as to form in all material respects with applicable accounting requirements and the published rules and regulations of the SEC with respect thereto. Such financial statements have been prepared in accordance with generally accepted accounting principles, consistently applied, during the period 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No other information provided by or on behalf of the Company to the Purchaser that is not included in the SEC Documents contains any untrue statement of a material fact or omits to state any material fact necessary in order to make the statements therein, in the light of the circumstance under which they are or were made, not misleading.</w:t>
      </w:r>
    </w:p>
    <w:p>
      <w:pPr>
        <w:spacing w:after="0" w:line="16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u w:val="single" w:color="auto"/>
          <w:color w:val="auto"/>
        </w:rPr>
        <w:t>Absence of Certain Changes or Developments</w:t>
      </w:r>
      <w:r>
        <w:rPr>
          <w:rFonts w:ascii="Arial" w:cs="Arial" w:eastAsia="Arial" w:hAnsi="Arial"/>
          <w:sz w:val="16"/>
          <w:szCs w:val="16"/>
          <w:color w:val="auto"/>
        </w:rPr>
        <w:t>. Except as disclosed in</w:t>
      </w:r>
      <w:r>
        <w:rPr>
          <w:rFonts w:ascii="Arial" w:cs="Arial" w:eastAsia="Arial" w:hAnsi="Arial"/>
          <w:sz w:val="16"/>
          <w:szCs w:val="16"/>
          <w:u w:val="single" w:color="auto"/>
          <w:color w:val="auto"/>
        </w:rPr>
        <w:t xml:space="preserve"> Schedule 3.15 </w:t>
      </w:r>
      <w:r>
        <w:rPr>
          <w:rFonts w:ascii="Arial" w:cs="Arial" w:eastAsia="Arial" w:hAnsi="Arial"/>
          <w:sz w:val="16"/>
          <w:szCs w:val="16"/>
          <w:color w:val="auto"/>
        </w:rPr>
        <w:t>attached hereto or as contemplated herein and in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Transaction Documents, since December 31, 2009:</w:t>
      </w:r>
    </w:p>
    <w:p>
      <w:pPr>
        <w:spacing w:after="0" w:line="211" w:lineRule="exact"/>
        <w:rPr>
          <w:sz w:val="20"/>
          <w:szCs w:val="20"/>
          <w:color w:val="auto"/>
        </w:rPr>
      </w:pPr>
    </w:p>
    <w:p>
      <w:pPr>
        <w:ind w:right="320" w:firstLine="1305"/>
        <w:spacing w:after="0" w:line="312" w:lineRule="auto"/>
        <w:tabs>
          <w:tab w:leader="none" w:pos="1703"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there has been no Material Adverse Effect, and no event or circumstance has occurred or exists with respect to the Company or its businesses, properties, operations or financial condition, which, under the Exchange Act, Securities Act, or rules or regulations of any Trading Market, required or requires public disclosure or announcement by the Company, but which has not been so publicly announced or disclosed;</w:t>
      </w:r>
    </w:p>
    <w:p>
      <w:pPr>
        <w:spacing w:after="0" w:line="146" w:lineRule="exact"/>
        <w:rPr>
          <w:rFonts w:ascii="Arial" w:cs="Arial" w:eastAsia="Arial" w:hAnsi="Arial"/>
          <w:sz w:val="16"/>
          <w:szCs w:val="16"/>
          <w:color w:val="auto"/>
        </w:rPr>
      </w:pPr>
    </w:p>
    <w:p>
      <w:pPr>
        <w:ind w:left="1720" w:hanging="415"/>
        <w:spacing w:after="0"/>
        <w:tabs>
          <w:tab w:leader="none" w:pos="1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has not:</w:t>
      </w:r>
    </w:p>
    <w:p>
      <w:pPr>
        <w:spacing w:after="0" w:line="225" w:lineRule="exact"/>
        <w:rPr>
          <w:rFonts w:ascii="Arial" w:cs="Arial" w:eastAsia="Arial" w:hAnsi="Arial"/>
          <w:sz w:val="18"/>
          <w:szCs w:val="18"/>
          <w:color w:val="auto"/>
        </w:rPr>
      </w:pPr>
    </w:p>
    <w:p>
      <w:pPr>
        <w:ind w:right="80" w:firstLine="1953"/>
        <w:spacing w:after="0" w:line="277" w:lineRule="auto"/>
        <w:tabs>
          <w:tab w:leader="none" w:pos="2322" w:val="left"/>
        </w:tabs>
        <w:numPr>
          <w:ilvl w:val="1"/>
          <w:numId w:val="68"/>
        </w:numPr>
        <w:rPr>
          <w:rFonts w:ascii="Arial" w:cs="Arial" w:eastAsia="Arial" w:hAnsi="Arial"/>
          <w:sz w:val="18"/>
          <w:szCs w:val="18"/>
          <w:color w:val="auto"/>
        </w:rPr>
      </w:pPr>
      <w:r>
        <w:rPr>
          <w:rFonts w:ascii="Arial" w:cs="Arial" w:eastAsia="Arial" w:hAnsi="Arial"/>
          <w:sz w:val="18"/>
          <w:szCs w:val="18"/>
          <w:color w:val="auto"/>
        </w:rPr>
        <w:t>issued any stock, bonds or other corporate securities or any right, options or warrants with respect thereto, except pursuant to the exercise or conversion of securities outstanding as of such date;</w:t>
      </w:r>
    </w:p>
    <w:p>
      <w:pPr>
        <w:spacing w:after="0" w:line="170" w:lineRule="exact"/>
        <w:rPr>
          <w:rFonts w:ascii="Arial" w:cs="Arial" w:eastAsia="Arial" w:hAnsi="Arial"/>
          <w:sz w:val="18"/>
          <w:szCs w:val="18"/>
          <w:color w:val="auto"/>
        </w:rPr>
      </w:pPr>
    </w:p>
    <w:p>
      <w:pPr>
        <w:ind w:right="20" w:firstLine="1953"/>
        <w:spacing w:after="0" w:line="259" w:lineRule="auto"/>
        <w:tabs>
          <w:tab w:leader="none" w:pos="2372" w:val="left"/>
        </w:tabs>
        <w:numPr>
          <w:ilvl w:val="1"/>
          <w:numId w:val="68"/>
        </w:numPr>
        <w:rPr>
          <w:rFonts w:ascii="Arial" w:cs="Arial" w:eastAsia="Arial" w:hAnsi="Arial"/>
          <w:sz w:val="18"/>
          <w:szCs w:val="18"/>
          <w:color w:val="auto"/>
        </w:rPr>
      </w:pPr>
      <w:r>
        <w:rPr>
          <w:rFonts w:ascii="Arial" w:cs="Arial" w:eastAsia="Arial" w:hAnsi="Arial"/>
          <w:sz w:val="18"/>
          <w:szCs w:val="18"/>
          <w:color w:val="auto"/>
        </w:rPr>
        <w:t>borrowed any amount in excess of $250,000 or incurred or become subject to any other liabilities in excess of $250,000 (absolute or contingent) except current liabilities incurred in the ordinary course of business which are comparable in nature and amount to the current liabilities incurred in the ordinary course of business during the comparable portion of its prior fiscal year, as adjusted to reflect the current nature and volume of the business of the Company;</w:t>
      </w:r>
    </w:p>
    <w:p>
      <w:pPr>
        <w:spacing w:after="0" w:line="186" w:lineRule="exact"/>
        <w:rPr>
          <w:rFonts w:ascii="Arial" w:cs="Arial" w:eastAsia="Arial" w:hAnsi="Arial"/>
          <w:sz w:val="18"/>
          <w:szCs w:val="18"/>
          <w:color w:val="auto"/>
        </w:rPr>
      </w:pPr>
    </w:p>
    <w:p>
      <w:pPr>
        <w:ind w:right="540" w:firstLine="1953"/>
        <w:spacing w:after="0" w:line="277" w:lineRule="auto"/>
        <w:tabs>
          <w:tab w:leader="none" w:pos="2422"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discharged or satisfied any Lien or encumbrance in excess of $250,000 or paid any obligation or liability (absolute or contingent) in excess of $250,000, other than current liabilities paid in the ordinary course of business;</w:t>
      </w:r>
    </w:p>
    <w:p>
      <w:pPr>
        <w:spacing w:after="0" w:line="170" w:lineRule="exact"/>
        <w:rPr>
          <w:rFonts w:ascii="Arial" w:cs="Arial" w:eastAsia="Arial" w:hAnsi="Arial"/>
          <w:sz w:val="18"/>
          <w:szCs w:val="18"/>
          <w:color w:val="auto"/>
        </w:rPr>
      </w:pPr>
    </w:p>
    <w:p>
      <w:pPr>
        <w:ind w:right="240" w:firstLine="1953"/>
        <w:spacing w:after="0" w:line="264" w:lineRule="auto"/>
        <w:tabs>
          <w:tab w:leader="none" w:pos="2412"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declared or made any payment or distribution of cash or other property to stockholders with respect to its stock, or purchased or redeemed, or made any agreements so to purchase or redeem, any shares of its capital stock, in each case in excess of $50,000 individually or $100,000 in the aggregate;</w:t>
      </w:r>
    </w:p>
    <w:p>
      <w:pPr>
        <w:spacing w:after="0" w:line="181" w:lineRule="exact"/>
        <w:rPr>
          <w:rFonts w:ascii="Arial" w:cs="Arial" w:eastAsia="Arial" w:hAnsi="Arial"/>
          <w:sz w:val="18"/>
          <w:szCs w:val="18"/>
          <w:color w:val="auto"/>
        </w:rPr>
      </w:pPr>
    </w:p>
    <w:p>
      <w:pPr>
        <w:ind w:right="220" w:firstLine="1953"/>
        <w:spacing w:after="0" w:line="277" w:lineRule="auto"/>
        <w:tabs>
          <w:tab w:leader="none" w:pos="2362" w:val="left"/>
        </w:tabs>
        <w:numPr>
          <w:ilvl w:val="1"/>
          <w:numId w:val="68"/>
        </w:numPr>
        <w:rPr>
          <w:rFonts w:ascii="Arial" w:cs="Arial" w:eastAsia="Arial" w:hAnsi="Arial"/>
          <w:sz w:val="18"/>
          <w:szCs w:val="18"/>
          <w:color w:val="auto"/>
        </w:rPr>
      </w:pPr>
      <w:r>
        <w:rPr>
          <w:rFonts w:ascii="Arial" w:cs="Arial" w:eastAsia="Arial" w:hAnsi="Arial"/>
          <w:sz w:val="18"/>
          <w:szCs w:val="18"/>
          <w:color w:val="auto"/>
        </w:rPr>
        <w:t>sold, assigned or transferred any other tangible assets, or canceled any debts or claims, in each case in excess of $250,000, except in the ordinary course of business;</w:t>
      </w:r>
    </w:p>
    <w:p>
      <w:pPr>
        <w:spacing w:after="0" w:line="170" w:lineRule="exact"/>
        <w:rPr>
          <w:rFonts w:ascii="Arial" w:cs="Arial" w:eastAsia="Arial" w:hAnsi="Arial"/>
          <w:sz w:val="18"/>
          <w:szCs w:val="18"/>
          <w:color w:val="auto"/>
        </w:rPr>
      </w:pPr>
    </w:p>
    <w:p>
      <w:pPr>
        <w:ind w:firstLine="1953"/>
        <w:spacing w:after="0" w:line="264" w:lineRule="auto"/>
        <w:tabs>
          <w:tab w:leader="none" w:pos="2412" w:val="left"/>
        </w:tabs>
        <w:numPr>
          <w:ilvl w:val="1"/>
          <w:numId w:val="68"/>
        </w:numPr>
        <w:rPr>
          <w:rFonts w:ascii="Arial" w:cs="Arial" w:eastAsia="Arial" w:hAnsi="Arial"/>
          <w:sz w:val="18"/>
          <w:szCs w:val="18"/>
          <w:color w:val="auto"/>
        </w:rPr>
      </w:pPr>
      <w:r>
        <w:rPr>
          <w:rFonts w:ascii="Arial" w:cs="Arial" w:eastAsia="Arial" w:hAnsi="Arial"/>
          <w:sz w:val="18"/>
          <w:szCs w:val="18"/>
          <w:color w:val="auto"/>
        </w:rPr>
        <w:t>sold, assigned or transferred any patent rights, trademarks, trade names, copyrights, trade secrets or other intangible assets or intellectual property rights in excess of $250,000, or disclosed any proprietary confidential information to any person except to customers in the ordinary course of business;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56" w:name="page57"/>
    <w:bookmarkEnd w:id="56"/>
    <w:p>
      <w:pPr>
        <w:ind w:right="240" w:firstLine="1953"/>
        <w:spacing w:after="0" w:line="277" w:lineRule="auto"/>
        <w:tabs>
          <w:tab w:leader="none" w:pos="2462"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suffered any material losses or waived any rights of material value, whether or not in the ordinary course of business, or suffered the loss of any material amount of prospective business;</w:t>
      </w:r>
    </w:p>
    <w:p>
      <w:pPr>
        <w:spacing w:after="0" w:line="170" w:lineRule="exact"/>
        <w:rPr>
          <w:rFonts w:ascii="Arial" w:cs="Arial" w:eastAsia="Arial" w:hAnsi="Arial"/>
          <w:sz w:val="18"/>
          <w:szCs w:val="18"/>
          <w:color w:val="auto"/>
        </w:rPr>
      </w:pPr>
    </w:p>
    <w:p>
      <w:pPr>
        <w:ind w:left="2520" w:hanging="567"/>
        <w:spacing w:after="0"/>
        <w:tabs>
          <w:tab w:leader="none" w:pos="25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made any changes in employee compensation except in the ordinary course of business and consistent with past practices;</w:t>
      </w:r>
    </w:p>
    <w:p>
      <w:pPr>
        <w:spacing w:after="0" w:line="248" w:lineRule="exact"/>
        <w:rPr>
          <w:rFonts w:ascii="Arial" w:cs="Arial" w:eastAsia="Arial" w:hAnsi="Arial"/>
          <w:sz w:val="16"/>
          <w:szCs w:val="16"/>
          <w:color w:val="auto"/>
        </w:rPr>
      </w:pPr>
    </w:p>
    <w:p>
      <w:pPr>
        <w:ind w:left="2420" w:hanging="467"/>
        <w:spacing w:after="0"/>
        <w:tabs>
          <w:tab w:leader="none" w:pos="2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made capital expenditures or commitments therefor that aggregate in excess of $250,000;</w:t>
      </w:r>
    </w:p>
    <w:p>
      <w:pPr>
        <w:spacing w:after="0" w:line="225" w:lineRule="exact"/>
        <w:rPr>
          <w:rFonts w:ascii="Arial" w:cs="Arial" w:eastAsia="Arial" w:hAnsi="Arial"/>
          <w:sz w:val="18"/>
          <w:szCs w:val="18"/>
          <w:color w:val="auto"/>
        </w:rPr>
      </w:pPr>
    </w:p>
    <w:p>
      <w:pPr>
        <w:ind w:left="2360" w:hanging="407"/>
        <w:spacing w:after="0"/>
        <w:tabs>
          <w:tab w:leader="none" w:pos="23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entered into any material transaction outside the ordinary course of business;</w:t>
      </w:r>
    </w:p>
    <w:p>
      <w:pPr>
        <w:spacing w:after="0" w:line="225" w:lineRule="exact"/>
        <w:rPr>
          <w:rFonts w:ascii="Arial" w:cs="Arial" w:eastAsia="Arial" w:hAnsi="Arial"/>
          <w:sz w:val="18"/>
          <w:szCs w:val="18"/>
          <w:color w:val="auto"/>
        </w:rPr>
      </w:pPr>
    </w:p>
    <w:p>
      <w:pPr>
        <w:ind w:left="2420" w:hanging="467"/>
        <w:spacing w:after="0"/>
        <w:tabs>
          <w:tab w:leader="none" w:pos="2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made charitable contributions or pledges in excess of $10,000;</w:t>
      </w:r>
    </w:p>
    <w:p>
      <w:pPr>
        <w:spacing w:after="0" w:line="225" w:lineRule="exact"/>
        <w:rPr>
          <w:rFonts w:ascii="Arial" w:cs="Arial" w:eastAsia="Arial" w:hAnsi="Arial"/>
          <w:sz w:val="18"/>
          <w:szCs w:val="18"/>
          <w:color w:val="auto"/>
        </w:rPr>
      </w:pPr>
    </w:p>
    <w:p>
      <w:pPr>
        <w:ind w:left="2460" w:hanging="507"/>
        <w:spacing w:after="0"/>
        <w:tabs>
          <w:tab w:leader="none" w:pos="2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suffered any material damage, destruction or casualty loss, whether or not covered by insurance;</w:t>
      </w:r>
    </w:p>
    <w:p>
      <w:pPr>
        <w:spacing w:after="0" w:line="225" w:lineRule="exact"/>
        <w:rPr>
          <w:rFonts w:ascii="Arial" w:cs="Arial" w:eastAsia="Arial" w:hAnsi="Arial"/>
          <w:sz w:val="18"/>
          <w:szCs w:val="18"/>
          <w:color w:val="auto"/>
        </w:rPr>
      </w:pPr>
    </w:p>
    <w:p>
      <w:pPr>
        <w:ind w:left="2520" w:hanging="567"/>
        <w:spacing w:after="0"/>
        <w:tabs>
          <w:tab w:leader="none" w:pos="25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experienced any material problems with labor or management in connection with the terms and conditions of their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employment;</w:t>
      </w:r>
    </w:p>
    <w:p>
      <w:pPr>
        <w:spacing w:after="0" w:line="210" w:lineRule="exact"/>
        <w:rPr>
          <w:rFonts w:ascii="Arial" w:cs="Arial" w:eastAsia="Arial" w:hAnsi="Arial"/>
          <w:sz w:val="17"/>
          <w:szCs w:val="17"/>
          <w:color w:val="auto"/>
        </w:rPr>
      </w:pPr>
    </w:p>
    <w:p>
      <w:pPr>
        <w:ind w:left="2500" w:hanging="547"/>
        <w:spacing w:after="0"/>
        <w:tabs>
          <w:tab w:leader="none" w:pos="2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altered its method of accounting, except to the extent required by GAAP;</w:t>
      </w:r>
    </w:p>
    <w:p>
      <w:pPr>
        <w:spacing w:after="0" w:line="225" w:lineRule="exact"/>
        <w:rPr>
          <w:rFonts w:ascii="Arial" w:cs="Arial" w:eastAsia="Arial" w:hAnsi="Arial"/>
          <w:sz w:val="18"/>
          <w:szCs w:val="18"/>
          <w:color w:val="auto"/>
        </w:rPr>
      </w:pPr>
    </w:p>
    <w:p>
      <w:pPr>
        <w:ind w:right="200" w:firstLine="1953"/>
        <w:spacing w:after="0" w:line="277" w:lineRule="auto"/>
        <w:tabs>
          <w:tab w:leader="none" w:pos="24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issued any equity securities to any officer, director or affiliate (as such term is defined in Rule 144 of the Securities Act), except pursuant to existing Company stock, option, equity incentive or similar incentive plans; or</w:t>
      </w:r>
    </w:p>
    <w:p>
      <w:pPr>
        <w:spacing w:after="0" w:line="170" w:lineRule="exact"/>
        <w:rPr>
          <w:rFonts w:ascii="Arial" w:cs="Arial" w:eastAsia="Arial" w:hAnsi="Arial"/>
          <w:sz w:val="18"/>
          <w:szCs w:val="18"/>
          <w:color w:val="auto"/>
        </w:rPr>
      </w:pPr>
    </w:p>
    <w:p>
      <w:pPr>
        <w:ind w:left="2500" w:hanging="547"/>
        <w:spacing w:after="0"/>
        <w:tabs>
          <w:tab w:leader="none" w:pos="2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entered into an agreement, written or otherwise, to take any of the foregoing actions.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3.16 </w:t>
      </w:r>
      <w:r>
        <w:rPr>
          <w:rFonts w:ascii="Arial" w:cs="Arial" w:eastAsia="Arial" w:hAnsi="Arial"/>
          <w:sz w:val="16"/>
          <w:szCs w:val="16"/>
          <w:u w:val="single" w:color="auto"/>
          <w:color w:val="auto"/>
        </w:rPr>
        <w:t>Solvency</w:t>
      </w:r>
      <w:r>
        <w:rPr>
          <w:rFonts w:ascii="Arial" w:cs="Arial" w:eastAsia="Arial" w:hAnsi="Arial"/>
          <w:sz w:val="16"/>
          <w:szCs w:val="16"/>
          <w:color w:val="auto"/>
        </w:rPr>
        <w:t>. The Company has not taken, nor does it have any intention to take, any steps to seek protection pursuant to any bankruptcy or similar law. The Company does not have any actual knowledge nor has it received any written notice that its creditors intend to initiate involuntary bankruptcy proceedings or any actual knowledge of any fact that, as of the date hereof, would reasonably lead a creditor to do so. After giving effect to the transactions contemplated hereby to occur at the Closing, the Company will not be Insolvent (as hereinafter defined). For purposes of this Agreement, “Insolvent” means (i) the present fair saleable value of the Company’s assets is less than the amount required to pay the Company’s total Indebtedness, contingent or otherwise, (ii) the Company is unable to pay its debts and liabilities, subordinated, contingent or otherwise, as such debts and liabilities become absolute and matured, (iii) the Company intends to incur or believes that it will incur debts that would be beyond its ability to pay as such debts mature or</w:t>
      </w:r>
    </w:p>
    <w:p>
      <w:pPr>
        <w:spacing w:after="0" w:line="3" w:lineRule="exact"/>
        <w:rPr>
          <w:sz w:val="20"/>
          <w:szCs w:val="20"/>
          <w:color w:val="auto"/>
        </w:rPr>
      </w:pPr>
    </w:p>
    <w:p>
      <w:pPr>
        <w:ind w:right="620" w:firstLine="8"/>
        <w:spacing w:after="0" w:line="261" w:lineRule="auto"/>
        <w:tabs>
          <w:tab w:leader="none" w:pos="30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has unreasonably small capital with which to conduct the business in which it is engaged as such business is now conducted and is proposed to be conducted.</w:t>
      </w: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90" w:right="319" w:bottom="1440" w:gutter="0" w:footer="0" w:header="0"/>
        </w:sectPr>
      </w:pPr>
    </w:p>
    <w:bookmarkStart w:id="57" w:name="page58"/>
    <w:bookmarkEnd w:id="57"/>
    <w:p>
      <w:pPr>
        <w:ind w:firstLine="648"/>
        <w:spacing w:after="0" w:line="264"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Off-Balance Sheet Arrangements</w:t>
      </w:r>
      <w:r>
        <w:rPr>
          <w:rFonts w:ascii="Arial" w:cs="Arial" w:eastAsia="Arial" w:hAnsi="Arial"/>
          <w:sz w:val="18"/>
          <w:szCs w:val="18"/>
          <w:color w:val="auto"/>
        </w:rPr>
        <w:t>. There is no transaction, arrangement, or other relationship between the Company and an unconsolidated or other off-balance sheet entity that is required to be disclosed by the Company in its Exchange Act filings and is not so disclosed or that if made or not made would be reasonably likely to have a Material Adverse Effect.</w:t>
      </w:r>
    </w:p>
    <w:p>
      <w:pPr>
        <w:spacing w:after="0" w:line="181"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 xml:space="preserve">3.18 </w:t>
      </w:r>
      <w:r>
        <w:rPr>
          <w:rFonts w:ascii="Arial" w:cs="Arial" w:eastAsia="Arial" w:hAnsi="Arial"/>
          <w:sz w:val="17"/>
          <w:szCs w:val="17"/>
          <w:u w:val="single" w:color="auto"/>
          <w:color w:val="auto"/>
        </w:rPr>
        <w:t>Foreign Corrupt Practices</w:t>
      </w:r>
      <w:r>
        <w:rPr>
          <w:rFonts w:ascii="Arial" w:cs="Arial" w:eastAsia="Arial" w:hAnsi="Arial"/>
          <w:sz w:val="17"/>
          <w:szCs w:val="17"/>
          <w:color w:val="auto"/>
        </w:rPr>
        <w:t>. None of the Company, any Subsidiary, nor any of their respective directors, officers, agents, employees or other Persons acting on behalf of such subsidiaries has, in the course of their respective actions for or on behalf of the Company or any of its subsidiaries (a) used any corporate funds for any unlawful contribution, gift, entertainment or other unlawful expenses relating to political activity, (b) made any direct or indirect unlawful payment to any foreign or domestic government official or employee from corporate funds, (c) violated or is in violation of any provision of the U.S. Foreign Corrupt Practices Act of 1977, as amended or (d) made any unlawful bribe, rebate, payoff, influence payment, kickback or other unlawful payment to any foreign or domestic government official or employee.</w:t>
      </w:r>
    </w:p>
    <w:p>
      <w:pPr>
        <w:spacing w:after="0" w:line="17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3.19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Except as disclosed in </w:t>
      </w:r>
      <w:r>
        <w:rPr>
          <w:rFonts w:ascii="Arial" w:cs="Arial" w:eastAsia="Arial" w:hAnsi="Arial"/>
          <w:sz w:val="16"/>
          <w:szCs w:val="16"/>
          <w:u w:val="single" w:color="auto"/>
          <w:color w:val="auto"/>
        </w:rPr>
        <w:t>Schedule 3.19</w:t>
      </w:r>
      <w:r>
        <w:rPr>
          <w:rFonts w:ascii="Arial" w:cs="Arial" w:eastAsia="Arial" w:hAnsi="Arial"/>
          <w:sz w:val="16"/>
          <w:szCs w:val="16"/>
          <w:color w:val="auto"/>
        </w:rPr>
        <w:t xml:space="preserve"> attached hereto, none of the officers, directors or employees of the Company is presently a party to any transaction with the Company or any Subsidiary (other than for ordinary course services as employees, officers or directors), including any contract, agreement or other arrangement providing for the furnishing of services to or by, providing for rental of real or personal property to or from, or otherwise requiring payments to or from any such officer, director or employee or, to the knowledge of the Company, any corporat ion, partnership, trust or other entity in which any such officer, director, or employee has a substantial interest or is an officer, director, trustee or partner.</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Except as disclosed in </w:t>
      </w:r>
      <w:r>
        <w:rPr>
          <w:rFonts w:ascii="Arial" w:cs="Arial" w:eastAsia="Arial" w:hAnsi="Arial"/>
          <w:sz w:val="18"/>
          <w:szCs w:val="18"/>
          <w:u w:val="single" w:color="auto"/>
          <w:color w:val="auto"/>
        </w:rPr>
        <w:t>Schedule 3.20</w:t>
      </w:r>
      <w:r>
        <w:rPr>
          <w:rFonts w:ascii="Arial" w:cs="Arial" w:eastAsia="Arial" w:hAnsi="Arial"/>
          <w:sz w:val="18"/>
          <w:szCs w:val="18"/>
          <w:color w:val="auto"/>
        </w:rPr>
        <w:t xml:space="preserve"> attached hereto, the Company and each Subsidiary are insured by insurers of recognized financial responsibility against such losses and risks and in such amounts as management of the Company believes to be prudent and customary in the businesses in which the Company and each Subsidiary are engaged. Neither the Company nor any Subsidiary has been refused any insurance coverage sought or applied for and neither the Company nor any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9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3.21 </w:t>
      </w:r>
      <w:r>
        <w:rPr>
          <w:rFonts w:ascii="Arial" w:cs="Arial" w:eastAsia="Arial" w:hAnsi="Arial"/>
          <w:sz w:val="17"/>
          <w:szCs w:val="17"/>
          <w:u w:val="single" w:color="auto"/>
          <w:color w:val="auto"/>
        </w:rPr>
        <w:t>Employee Relations</w:t>
      </w:r>
      <w:r>
        <w:rPr>
          <w:rFonts w:ascii="Arial" w:cs="Arial" w:eastAsia="Arial" w:hAnsi="Arial"/>
          <w:sz w:val="17"/>
          <w:szCs w:val="17"/>
          <w:color w:val="auto"/>
        </w:rPr>
        <w:t>. Neither the Company nor any Subsidiary is a party to any collective bargaining agreement or employs any member of a union. No Executive Officer of the Company (as defined in Rule 501(f) of the Securities Act) has notified the Company that such officer intends to leave the Company or otherwise terminate such officer’s employment with the Company. No Executive Officer of the Company, to the knowledge of the Company, is, or is now, in violation of any material term of any employment contract, confidentiality, disclosure or proprietary information agreement, non-competition agreement, or any other contract or agreement or any restri ctive covenant, and, to the actual knowledge of the Company, the continued employment of each such executive officer does not subject the Company or any Subsidiary to any liability with respect to any of the foregoing matters. The Company and each Subsidiary are in compliance with all federal, state, local and foreign laws and regulations respecting employment and employment practices, terms and conditions of employment and wages and hours, except where failure to be in compliance would not, either individually or in the aggregate, reasonably be expected to result in a Material Adverse Effect.</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58" w:name="page59"/>
    <w:bookmarkEnd w:id="58"/>
    <w:p>
      <w:pPr>
        <w:ind w:right="40" w:firstLine="648"/>
        <w:spacing w:after="0" w:line="279" w:lineRule="auto"/>
        <w:rPr>
          <w:sz w:val="20"/>
          <w:szCs w:val="20"/>
          <w:color w:val="auto"/>
        </w:rPr>
      </w:pPr>
      <w:r>
        <w:rPr>
          <w:rFonts w:ascii="Arial" w:cs="Arial" w:eastAsia="Arial" w:hAnsi="Arial"/>
          <w:sz w:val="17"/>
          <w:szCs w:val="17"/>
          <w:color w:val="auto"/>
        </w:rPr>
        <w:t xml:space="preserve">3.22 </w:t>
      </w:r>
      <w:r>
        <w:rPr>
          <w:rFonts w:ascii="Arial" w:cs="Arial" w:eastAsia="Arial" w:hAnsi="Arial"/>
          <w:sz w:val="17"/>
          <w:szCs w:val="17"/>
          <w:u w:val="single" w:color="auto"/>
          <w:color w:val="auto"/>
        </w:rPr>
        <w:t>Title</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Schedule 3.22</w:t>
      </w:r>
      <w:r>
        <w:rPr>
          <w:rFonts w:ascii="Arial" w:cs="Arial" w:eastAsia="Arial" w:hAnsi="Arial"/>
          <w:sz w:val="17"/>
          <w:szCs w:val="17"/>
          <w:color w:val="auto"/>
        </w:rPr>
        <w:t>, the Company and each Subsidiary have good and marketable title to all personal property owned by them which is material to their respective business, in each case free and clear of all Liens. Any real property and facilities held under lease by the Company or any Subsidiary are held by them under valid, subsisting and enforceable leases with such exceptions as are not material and do not interfere with the use made and proposed to be made of such property and buildings by the Company or any Subsidiary.</w:t>
      </w:r>
    </w:p>
    <w:p>
      <w:pPr>
        <w:spacing w:after="0" w:line="17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3.23 </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The Company and its Subsidiaries own or possess the rights to use all patents, trademarks, domain names (whether or not registered) and any patentable improvements or copyrightable derivative works thereof, websites and intellectual property rights relating thereto, service marks, trade names, copyrights, licenses and authorizations which are necessary for the conduct of its business as now conducted (collectively, the “</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without any conflict with the rights of others, except any failures as, individually or in the aggre gate, are not reasonably likely to have a Material Adverse Effect. Neither the Company nor any Subsidiary has received a written notice that the Intellectual Property Rights used by the Company or any Subsidiary violates or infringes upon the rights of any Person. To the knowledge of the Company, all such Intellectual Property Rights are enforceable and there is no existing infringement by another Person of any of the Intellectual Property Rights. The Company and its Subsidiaries have taken reasonable measures to protect the value of the Intellectual Property Rights.</w:t>
      </w:r>
    </w:p>
    <w:p>
      <w:pPr>
        <w:spacing w:after="0" w:line="17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3.24 </w:t>
      </w:r>
      <w:r>
        <w:rPr>
          <w:rFonts w:ascii="Arial" w:cs="Arial" w:eastAsia="Arial" w:hAnsi="Arial"/>
          <w:sz w:val="17"/>
          <w:szCs w:val="17"/>
          <w:u w:val="single" w:color="auto"/>
          <w:color w:val="auto"/>
        </w:rPr>
        <w:t>Environmental Laws</w:t>
      </w:r>
      <w:r>
        <w:rPr>
          <w:rFonts w:ascii="Arial" w:cs="Arial" w:eastAsia="Arial" w:hAnsi="Arial"/>
          <w:sz w:val="17"/>
          <w:szCs w:val="17"/>
          <w:color w:val="auto"/>
        </w:rPr>
        <w:t>. The Company and each of its Subsidiaries (a) are in compliance with any and all Environmental Laws (as hereinafter defined), (b) have received all permits, licenses or other approvals required of them under applicable Environmental Laws to conduct their respective businesses and (c) are in compliance with all terms and conditions of any such permit, license or approval where, in each of the foregoing clauses (a), (b) and (c), the failure to so comply could be reasonably expected to have, individually or in the aggregate, a Material Adverse Effect. The term “</w:t>
      </w:r>
      <w:r>
        <w:rPr>
          <w:rFonts w:ascii="Arial" w:cs="Arial" w:eastAsia="Arial" w:hAnsi="Arial"/>
          <w:sz w:val="17"/>
          <w:szCs w:val="17"/>
          <w:u w:val="single" w:color="auto"/>
          <w:color w:val="auto"/>
        </w:rPr>
        <w:t>Environmental</w:t>
      </w:r>
      <w:r>
        <w:rPr>
          <w:rFonts w:ascii="Arial" w:cs="Arial" w:eastAsia="Arial" w:hAnsi="Arial"/>
          <w:sz w:val="17"/>
          <w:szCs w:val="17"/>
          <w:color w:val="auto"/>
        </w:rPr>
        <w:t xml:space="preserve"> </w:t>
      </w:r>
      <w:r>
        <w:rPr>
          <w:rFonts w:ascii="Arial" w:cs="Arial" w:eastAsia="Arial" w:hAnsi="Arial"/>
          <w:sz w:val="17"/>
          <w:szCs w:val="17"/>
          <w:u w:val="single" w:color="auto"/>
          <w:color w:val="auto"/>
        </w:rPr>
        <w:t>Laws</w:t>
      </w:r>
      <w:r>
        <w:rPr>
          <w:rFonts w:ascii="Arial" w:cs="Arial" w:eastAsia="Arial" w:hAnsi="Arial"/>
          <w:sz w:val="17"/>
          <w:szCs w:val="17"/>
          <w:color w:val="auto"/>
        </w:rPr>
        <w:t>”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3.25 </w:t>
      </w:r>
      <w:r>
        <w:rPr>
          <w:rFonts w:ascii="Arial" w:cs="Arial" w:eastAsia="Arial" w:hAnsi="Arial"/>
          <w:sz w:val="17"/>
          <w:szCs w:val="17"/>
          <w:u w:val="single" w:color="auto"/>
          <w:color w:val="auto"/>
        </w:rPr>
        <w:t>Tax Matters</w:t>
      </w:r>
      <w:r>
        <w:rPr>
          <w:rFonts w:ascii="Arial" w:cs="Arial" w:eastAsia="Arial" w:hAnsi="Arial"/>
          <w:sz w:val="17"/>
          <w:szCs w:val="17"/>
          <w:color w:val="auto"/>
        </w:rPr>
        <w:t>. The Company and each of its Subsidiaries (a) have made or filed all federal and state income and all other tax returns, reports and declarations required by any jurisdiction to which it is subject, (b) have paid all taxes and other governmental assessments and charges that are material in amount, shown or determined to be due on such returns, reports and declarations, except those being contested in good faith and (c) have set aside on its books reasonably adequate provision for the payment of all taxes for periods subsequent to the periods to which such returns, reports or declarations apply, except where such failure would n ot have a Material Adverse Effect. There are no unpaid taxes in any material amount claimed to be due by the taxing authority of any jurisdiction, and the officers of the Company know of no basis for any such claim.</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59" w:name="page60"/>
    <w:bookmarkEnd w:id="59"/>
    <w:p>
      <w:pPr>
        <w:ind w:firstLine="648"/>
        <w:spacing w:after="0" w:line="285" w:lineRule="auto"/>
        <w:rPr>
          <w:sz w:val="20"/>
          <w:szCs w:val="20"/>
          <w:color w:val="auto"/>
        </w:rPr>
      </w:pPr>
      <w:r>
        <w:rPr>
          <w:rFonts w:ascii="Arial" w:cs="Arial" w:eastAsia="Arial" w:hAnsi="Arial"/>
          <w:sz w:val="16"/>
          <w:szCs w:val="16"/>
          <w:color w:val="auto"/>
        </w:rPr>
        <w:t xml:space="preserve">3.26 </w:t>
      </w:r>
      <w:r>
        <w:rPr>
          <w:rFonts w:ascii="Arial" w:cs="Arial" w:eastAsia="Arial" w:hAnsi="Arial"/>
          <w:sz w:val="16"/>
          <w:szCs w:val="16"/>
          <w:u w:val="single" w:color="auto"/>
          <w:color w:val="auto"/>
        </w:rPr>
        <w:t>Sarbanes-Oxley Act</w:t>
      </w:r>
      <w:r>
        <w:rPr>
          <w:rFonts w:ascii="Arial" w:cs="Arial" w:eastAsia="Arial" w:hAnsi="Arial"/>
          <w:sz w:val="16"/>
          <w:szCs w:val="16"/>
          <w:color w:val="auto"/>
        </w:rPr>
        <w:t xml:space="preserve">; </w:t>
      </w:r>
      <w:r>
        <w:rPr>
          <w:rFonts w:ascii="Arial" w:cs="Arial" w:eastAsia="Arial" w:hAnsi="Arial"/>
          <w:sz w:val="16"/>
          <w:szCs w:val="16"/>
          <w:u w:val="single" w:color="auto"/>
          <w:color w:val="auto"/>
        </w:rPr>
        <w:t>Internal Accounting and Disclosure Controls</w:t>
      </w:r>
      <w:r>
        <w:rPr>
          <w:rFonts w:ascii="Arial" w:cs="Arial" w:eastAsia="Arial" w:hAnsi="Arial"/>
          <w:sz w:val="16"/>
          <w:szCs w:val="16"/>
          <w:color w:val="auto"/>
        </w:rPr>
        <w:t>. The Company is in compliance in all material respects with the requirements of the Sarbanes-Oxley Act of 2002 that are effective as of the date hereof and applicable to it, and any and all rules and regulations promulgated by the SEC thereunder that are effective and applicable to it as of the date hereof. The Company maintains a system of internal accounting controls sufficient, in the judgment of the Company’s board of directors, to provide reasonable assurance that (i) transactions are executed in acco 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actions are taken with respect to any differences. The Company has established disclosure controls and procedures (as defined in Exchange Act Rules 13a-15(e) and 15d-15(e)) for the Company and designed such disclosure controls and procedures to ensure that material information relating to the Company, including its Subsidiaries, is made known to the certifying officers by others within those entities, particularly during the period in which the Company’s most recently filed periodic report under the Exchange Act, as the case may be, is bei ng prepared. The Company’s certifying officers have evaluated the effectiveness of the Company’s controls and procedures as of the date prior to the filing date of the most recently filed periodic report under the Exchange Act (such date, the “</w:t>
      </w:r>
      <w:r>
        <w:rPr>
          <w:rFonts w:ascii="Arial" w:cs="Arial" w:eastAsia="Arial" w:hAnsi="Arial"/>
          <w:sz w:val="16"/>
          <w:szCs w:val="16"/>
          <w:u w:val="single" w:color="auto"/>
          <w:color w:val="auto"/>
        </w:rPr>
        <w:t>Evaluation Date</w:t>
      </w:r>
      <w:r>
        <w:rPr>
          <w:rFonts w:ascii="Arial" w:cs="Arial" w:eastAsia="Arial" w:hAnsi="Arial"/>
          <w:sz w:val="16"/>
          <w:szCs w:val="16"/>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significant changes in the Company’s internal controls (as such term is defined in Item 307(c) of Regulation S-K under the Exchange Act) or, to the Company’s knowledge, in other factors that could significantly affect the Company’s internal controls. The Company maintains and will continue to maintain a standar d system of accounting established and administered in accordance with GAAP and the applicable requirements of the Exchange Act.</w:t>
      </w:r>
    </w:p>
    <w:p>
      <w:pPr>
        <w:spacing w:after="0" w:line="17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3.27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The Company is not, and immediately after receipt of payment for the Securities will not be, an “investment company,” an “affiliated person” of, “promoter” for or “principal underwriter” for, or an entity “controlled” by an “investment company,” within the meaning of the Investment Company Act of 1940, as amended.</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3.28 </w:t>
      </w:r>
      <w:r>
        <w:rPr>
          <w:rFonts w:ascii="Arial" w:cs="Arial" w:eastAsia="Arial" w:hAnsi="Arial"/>
          <w:sz w:val="18"/>
          <w:szCs w:val="18"/>
          <w:u w:val="single" w:color="auto"/>
          <w:color w:val="auto"/>
        </w:rPr>
        <w:t>Material Contracts</w:t>
      </w:r>
      <w:r>
        <w:rPr>
          <w:rFonts w:ascii="Arial" w:cs="Arial" w:eastAsia="Arial" w:hAnsi="Arial"/>
          <w:sz w:val="18"/>
          <w:szCs w:val="18"/>
          <w:color w:val="auto"/>
        </w:rPr>
        <w:t>. Each contract of the Company that involves expenditures or receipts in excess of $500,000 (each, a “</w:t>
      </w:r>
      <w:r>
        <w:rPr>
          <w:rFonts w:ascii="Arial" w:cs="Arial" w:eastAsia="Arial" w:hAnsi="Arial"/>
          <w:sz w:val="18"/>
          <w:szCs w:val="18"/>
          <w:u w:val="single" w:color="auto"/>
          <w:color w:val="auto"/>
        </w:rPr>
        <w:t>Material Contract</w:t>
      </w:r>
      <w:r>
        <w:rPr>
          <w:rFonts w:ascii="Arial" w:cs="Arial" w:eastAsia="Arial" w:hAnsi="Arial"/>
          <w:sz w:val="18"/>
          <w:szCs w:val="18"/>
          <w:color w:val="auto"/>
        </w:rPr>
        <w:t>”) is in full force and effect and is valid and enforceable in accordance with its terms. The Company is and has been in material compliance with all applicable terms and requirements of each Material Contract and no event has occurred or circumstance exists that (with or without notice or lapse of time) may contravene, conflict with or result in a violation or breach of, or give the Company or any other entity the right to declare a default or exercise any remedy under, or to accelerate the maturity or performance of, or to cancel, terminate or modify any Material Contract. The Company has not given or received from any other Person any notice or other communication (whether oral or written) regarding any actual, alleged, possible or potential violation or breach of, or default under, any Material Contract.</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60" w:name="page61"/>
    <w:bookmarkEnd w:id="60"/>
    <w:p>
      <w:pPr>
        <w:ind w:left="660"/>
        <w:spacing w:after="0"/>
        <w:tabs>
          <w:tab w:leader="none" w:pos="1160" w:val="left"/>
        </w:tabs>
        <w:rPr>
          <w:sz w:val="20"/>
          <w:szCs w:val="20"/>
          <w:color w:val="auto"/>
        </w:rPr>
      </w:pPr>
      <w:r>
        <w:rPr>
          <w:rFonts w:ascii="Arial" w:cs="Arial" w:eastAsia="Arial" w:hAnsi="Arial"/>
          <w:sz w:val="18"/>
          <w:szCs w:val="18"/>
          <w:color w:val="auto"/>
        </w:rPr>
        <w:t>3.29</w:t>
      </w:r>
      <w:r>
        <w:rPr>
          <w:sz w:val="20"/>
          <w:szCs w:val="20"/>
          <w:color w:val="auto"/>
        </w:rPr>
        <w:tab/>
      </w:r>
      <w:r>
        <w:rPr>
          <w:rFonts w:ascii="Arial" w:cs="Arial" w:eastAsia="Arial" w:hAnsi="Arial"/>
          <w:sz w:val="17"/>
          <w:szCs w:val="17"/>
          <w:color w:val="auto"/>
        </w:rPr>
        <w:t>[Intentionally Omitted].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3.30 </w:t>
      </w:r>
      <w:r>
        <w:rPr>
          <w:rFonts w:ascii="Arial" w:cs="Arial" w:eastAsia="Arial" w:hAnsi="Arial"/>
          <w:sz w:val="18"/>
          <w:szCs w:val="18"/>
          <w:u w:val="single" w:color="auto"/>
          <w:color w:val="auto"/>
        </w:rPr>
        <w:t>No Disagreements with Accountants</w:t>
      </w:r>
      <w:r>
        <w:rPr>
          <w:rFonts w:ascii="Arial" w:cs="Arial" w:eastAsia="Arial" w:hAnsi="Arial"/>
          <w:sz w:val="18"/>
          <w:szCs w:val="18"/>
          <w:color w:val="auto"/>
        </w:rPr>
        <w:t>. There are no disagreements of any kind presently existing, or reasonably anticipated by the Company to arise, between the Company and the accountants formerly or presently employed by the Company.</w:t>
      </w:r>
    </w:p>
    <w:p>
      <w:pPr>
        <w:spacing w:after="0" w:line="170" w:lineRule="exact"/>
        <w:rPr>
          <w:sz w:val="20"/>
          <w:szCs w:val="20"/>
          <w:color w:val="auto"/>
        </w:rPr>
      </w:pPr>
    </w:p>
    <w:p>
      <w:pPr>
        <w:jc w:val="both"/>
        <w:ind w:right="240" w:firstLine="648"/>
        <w:spacing w:after="0" w:line="308" w:lineRule="auto"/>
        <w:rPr>
          <w:sz w:val="20"/>
          <w:szCs w:val="20"/>
          <w:color w:val="auto"/>
        </w:rPr>
      </w:pPr>
      <w:r>
        <w:rPr>
          <w:rFonts w:ascii="Arial" w:cs="Arial" w:eastAsia="Arial" w:hAnsi="Arial"/>
          <w:sz w:val="17"/>
          <w:szCs w:val="17"/>
          <w:color w:val="auto"/>
        </w:rPr>
        <w:t xml:space="preserve">3.31 </w:t>
      </w:r>
      <w:r>
        <w:rPr>
          <w:rFonts w:ascii="Arial" w:cs="Arial" w:eastAsia="Arial" w:hAnsi="Arial"/>
          <w:sz w:val="17"/>
          <w:szCs w:val="17"/>
          <w:u w:val="single" w:color="auto"/>
          <w:color w:val="auto"/>
        </w:rPr>
        <w:t>Ranking of Series B Preferred Stock</w:t>
      </w:r>
      <w:r>
        <w:rPr>
          <w:rFonts w:ascii="Arial" w:cs="Arial" w:eastAsia="Arial" w:hAnsi="Arial"/>
          <w:sz w:val="17"/>
          <w:szCs w:val="17"/>
          <w:color w:val="auto"/>
        </w:rPr>
        <w:t>. No capital stock or other security issued by the Company is senior to the Series B Preferred Stock in right of payment, whether with respect of payment of redemptions, interest, damages or upon liquidation or dissolution or otherwise.</w:t>
      </w:r>
    </w:p>
    <w:p>
      <w:pPr>
        <w:spacing w:after="0" w:line="147"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u w:val="single" w:color="auto"/>
          <w:color w:val="auto"/>
        </w:rPr>
        <w:t>Manipulation of Price</w:t>
      </w:r>
      <w:r>
        <w:rPr>
          <w:rFonts w:ascii="Arial" w:cs="Arial" w:eastAsia="Arial" w:hAnsi="Arial"/>
          <w:sz w:val="18"/>
          <w:szCs w:val="18"/>
          <w:color w:val="auto"/>
        </w:rPr>
        <w:t>. The Company has not, and to its knowledge no one acting on its behalf has, taken, directly or indirectly, any action designed to cause or to result or that could reasonably be expected to cause or result, in the stabilization or manipulation of the price of any security of the Company to facilitate the sale or resale of any of the Securities.</w:t>
      </w:r>
    </w:p>
    <w:p>
      <w:pPr>
        <w:spacing w:after="0" w:line="181"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 xml:space="preserve">3.33 </w:t>
      </w:r>
      <w:r>
        <w:rPr>
          <w:rFonts w:ascii="Arial" w:cs="Arial" w:eastAsia="Arial" w:hAnsi="Arial"/>
          <w:sz w:val="16"/>
          <w:szCs w:val="16"/>
          <w:u w:val="single" w:color="auto"/>
          <w:color w:val="auto"/>
        </w:rPr>
        <w:t>Listing and Maintenance Requirements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Except as set forth on Schedule 3.33, the</w:t>
      </w:r>
      <w:r>
        <w:rPr>
          <w:rFonts w:ascii="Arial" w:cs="Arial" w:eastAsia="Arial" w:hAnsi="Arial"/>
          <w:sz w:val="16"/>
          <w:szCs w:val="16"/>
          <w:color w:val="auto"/>
        </w:rPr>
        <w:t xml:space="preserve"> Company has not, in the 12 months preceding the date hereof, received notice from any Trading Market on which the Common Stock is or has been listed or quoted to the effect that the Company is not in compliance with the listing or main tenance requirements of such Trading Market. The Company is in compliance with all such maintenance requirements.</w:t>
      </w:r>
    </w:p>
    <w:p>
      <w:pPr>
        <w:spacing w:after="0" w:line="147"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 xml:space="preserve">3.34 </w:t>
      </w:r>
      <w:r>
        <w:rPr>
          <w:rFonts w:ascii="Arial" w:cs="Arial" w:eastAsia="Arial" w:hAnsi="Arial"/>
          <w:sz w:val="17"/>
          <w:szCs w:val="17"/>
          <w:u w:val="single" w:color="auto"/>
          <w:color w:val="auto"/>
        </w:rPr>
        <w:t>Application of Takeover Protections</w:t>
      </w:r>
      <w:r>
        <w:rPr>
          <w:rFonts w:ascii="Arial" w:cs="Arial" w:eastAsia="Arial" w:hAnsi="Arial"/>
          <w:sz w:val="17"/>
          <w:szCs w:val="17"/>
          <w:color w:val="auto"/>
        </w:rPr>
        <w:t>. The Company and its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 as a result of the Purchaser and the Company fulfilling their obligations or exercising their rights under the Transaction Documents, including without limitation the Compan y’s issuance of the Securities and the Purchaser’s ownership of the Securities.</w:t>
      </w:r>
    </w:p>
    <w:p>
      <w:pPr>
        <w:spacing w:after="0" w:line="173"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3.35 </w:t>
      </w:r>
      <w:r>
        <w:rPr>
          <w:rFonts w:ascii="Arial" w:cs="Arial" w:eastAsia="Arial" w:hAnsi="Arial"/>
          <w:sz w:val="16"/>
          <w:szCs w:val="16"/>
          <w:u w:val="single" w:color="auto"/>
          <w:color w:val="auto"/>
        </w:rPr>
        <w:t>OFAC</w:t>
      </w:r>
      <w:r>
        <w:rPr>
          <w:rFonts w:ascii="Arial" w:cs="Arial" w:eastAsia="Arial" w:hAnsi="Arial"/>
          <w:sz w:val="16"/>
          <w:szCs w:val="16"/>
          <w:color w:val="auto"/>
        </w:rPr>
        <w:t>. Neither the issuance of the Securities to the Purchaser, nor the use of the respective proceeds thereof by the Company, shall cause the Company to violate the U.S. Bank Secrecy Act, as amended, and any applicable regulations thereunder or any of the sanctions programs administered by the U.S. Department of the Treasury’s Office of Foreign Assets Control (“</w:t>
      </w:r>
      <w:r>
        <w:rPr>
          <w:rFonts w:ascii="Arial" w:cs="Arial" w:eastAsia="Arial" w:hAnsi="Arial"/>
          <w:sz w:val="16"/>
          <w:szCs w:val="16"/>
          <w:u w:val="single" w:color="auto"/>
          <w:color w:val="auto"/>
        </w:rPr>
        <w:t>OFAC</w:t>
      </w:r>
      <w:r>
        <w:rPr>
          <w:rFonts w:ascii="Arial" w:cs="Arial" w:eastAsia="Arial" w:hAnsi="Arial"/>
          <w:sz w:val="16"/>
          <w:szCs w:val="16"/>
          <w:color w:val="auto"/>
        </w:rPr>
        <w:t>”) of the United States Department of Treasury, any regulations promulgated thereunder by OFAC or under any affiliated or successor governmental or quasi-governmental office, bureau or agency and any enabling le gislation or executive order relating thereto. Without limiting the foregoing, the Lender (i) is not a person whose property or interests in property are blocked or subject to blocking pursuant to Section 1 of Executive Order 13224 of September 23, 200l Blocking Property and Prohibiting Transactions With Persons Who Commit, Threaten to Commit, or Support Terrorism (66 Fed. Reg. 49079 (2001)), (ii) does not engage in any dealings or transactions prohibited by Section 2 of such executive order, or is otherwise associated with any such person in any manner violative of Section 2, or (iii) is not a person on the list of Specially Designated Nationals and Blocked Persons or subject to the limitations or prohibitions under any other OFAC regulation or executive order.</w:t>
      </w:r>
    </w:p>
    <w:p>
      <w:pPr>
        <w:spacing w:after="0" w:line="16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3.36 </w:t>
      </w:r>
      <w:r>
        <w:rPr>
          <w:rFonts w:ascii="Arial" w:cs="Arial" w:eastAsia="Arial" w:hAnsi="Arial"/>
          <w:sz w:val="18"/>
          <w:szCs w:val="18"/>
          <w:u w:val="single" w:color="auto"/>
          <w:color w:val="auto"/>
        </w:rPr>
        <w:t>Disclosure</w:t>
      </w:r>
      <w:r>
        <w:rPr>
          <w:rFonts w:ascii="Arial" w:cs="Arial" w:eastAsia="Arial" w:hAnsi="Arial"/>
          <w:sz w:val="18"/>
          <w:szCs w:val="18"/>
          <w:color w:val="auto"/>
        </w:rPr>
        <w:t>. All disclosure provided to the Purchaser regarding the Company, its business and the transactions contemplated hereby, including the Schedules to this Agreement, furnished by or on behalf of the Company are true and correct and do not contain any untrue statement of a material fact or omit to state any material fact necessary in order to make the statements made therein, in light of the circumstances under which they were made, not misleading; provided however, the Company makes no representation as to studies and reports prepared by third parties not engaged by the Company and included in the materials delivered to Purchaser.</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PURCHASER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Purchaser hereby represents and warrants to the Company as of the date of this Agreement as follows: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Organization; Authority</w:t>
      </w:r>
      <w:r>
        <w:rPr>
          <w:rFonts w:ascii="Arial" w:cs="Arial" w:eastAsia="Arial" w:hAnsi="Arial"/>
          <w:sz w:val="17"/>
          <w:szCs w:val="17"/>
          <w:color w:val="auto"/>
        </w:rPr>
        <w:t>. The Purchaser is an entity duly organized, validly existing and in good standing under the laws of the jurisdiction of its organization with full right, corporate or partnership power and authority to enter into and to consummate the transactions contemplated by the Transaction Documents and otherwise to carry out its obligations thereunder. The execution, delivery and performance by the Purchaser of the transactions contemplated by this Agreement have been duly authorized by all necessary corporate or similar action on the part of the Purchaser. Each Transaction Document to which it is a party has been duly executed by the Purchaser, and when delivered by the Purchaser in accordance with the terms hereof, will constitute the valid and legally binding obligation of the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Own Account</w:t>
      </w:r>
      <w:r>
        <w:rPr>
          <w:rFonts w:ascii="Arial" w:cs="Arial" w:eastAsia="Arial" w:hAnsi="Arial"/>
          <w:sz w:val="16"/>
          <w:szCs w:val="16"/>
          <w:color w:val="auto"/>
        </w:rPr>
        <w:t>. The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except in compliance with the Securities Act, has no present intention of distributing any of such Securities and has no arrangement or understanding with any other persons regarding the distribution of such Securities (this representation and warranty not limiting the Purchaser’s right to sell the Securiti es pursuant to a Registration Statement (defined below) or otherwise in compliance with applicable federal and state securities laws), except in compliance with the Securities Act. The Purchaser is acquiring the Securities hereunder in the ordinary course of its business. The Purchaser does not have any agreement or understanding, directly or indirectly, with any Person to distribute any of the Securities.</w:t>
      </w:r>
    </w:p>
    <w:p>
      <w:pPr>
        <w:spacing w:after="0" w:line="16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Purchaser Status</w:t>
      </w:r>
      <w:r>
        <w:rPr>
          <w:rFonts w:ascii="Arial" w:cs="Arial" w:eastAsia="Arial" w:hAnsi="Arial"/>
          <w:sz w:val="18"/>
          <w:szCs w:val="18"/>
          <w:color w:val="auto"/>
        </w:rPr>
        <w:t>. At the time the Purchaser was offered the Securities, it was, and at the date hereof it is, either: (i) an “accredited investor” as defined in Rule 501(a)(1), (a)(2), (a)(3), (a)(7) or (a)(8) under the Securities Act or (ii) a “qualified institutional buyer” as defined in Rule 144A(a) under the Securities Act.</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Experience of Such Purchaser</w:t>
      </w:r>
      <w:r>
        <w:rPr>
          <w:rFonts w:ascii="Arial" w:cs="Arial" w:eastAsia="Arial" w:hAnsi="Arial"/>
          <w:sz w:val="18"/>
          <w:szCs w:val="18"/>
          <w:color w:val="auto"/>
        </w:rPr>
        <w:t>. The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The Purchaser is able to bear the economic risk of an investment in the Securities and, at the present time, is able to afford a complete loss of such investment.</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General Solicitation</w:t>
      </w:r>
      <w:r>
        <w:rPr>
          <w:rFonts w:ascii="Arial" w:cs="Arial" w:eastAsia="Arial" w:hAnsi="Arial"/>
          <w:sz w:val="18"/>
          <w:szCs w:val="18"/>
          <w:color w:val="auto"/>
        </w:rPr>
        <w:t>. The Purchaser is not purchasing the Securities as a result of any advertisement, article, notice or other communication regarding the Securities published in any newspaper, magazine or similar media or broadcast over television or radio or presented at any seminar or any other general solicitation or general advertisement.</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CLOSING OF THE PURCHASER</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obligation of the Purchaser to purchase the Securities at each Closing is subject to the fulfillment to the Purchaser’s satisfaction on or prior to such Closing Date of each of the following conditions, any of which may be waived by such Purchaser:</w:t>
      </w:r>
    </w:p>
    <w:p>
      <w:pPr>
        <w:spacing w:after="0" w:line="170"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Representations and Warranties Correct</w:t>
      </w:r>
      <w:r>
        <w:rPr>
          <w:rFonts w:ascii="Arial" w:cs="Arial" w:eastAsia="Arial" w:hAnsi="Arial"/>
          <w:sz w:val="17"/>
          <w:szCs w:val="17"/>
          <w:color w:val="auto"/>
        </w:rPr>
        <w:t>. The representations and warranties in Article III hereof shall be true and correct when made, and shall be true and correct on such Closing Date with the same force and effect as if they had been made on and as of such Closing Date.</w:t>
      </w:r>
    </w:p>
    <w:p>
      <w:pPr>
        <w:spacing w:after="0" w:line="14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Performance</w:t>
      </w:r>
      <w:r>
        <w:rPr>
          <w:rFonts w:ascii="Arial" w:cs="Arial" w:eastAsia="Arial" w:hAnsi="Arial"/>
          <w:sz w:val="18"/>
          <w:szCs w:val="18"/>
          <w:color w:val="auto"/>
        </w:rPr>
        <w:t>. All covenants, agreements and conditions contained in this Agreement to be performed or complied with by the Company on or prior to such Closing Date shall have been performed or complied with by the Company in all material respects.</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No Impediments</w:t>
      </w:r>
      <w:r>
        <w:rPr>
          <w:rFonts w:ascii="Arial" w:cs="Arial" w:eastAsia="Arial" w:hAnsi="Arial"/>
          <w:sz w:val="17"/>
          <w:szCs w:val="17"/>
          <w:color w:val="auto"/>
        </w:rPr>
        <w:t>. Neither the Company nor the Purchaser shall be subject to any order, decree or injunction of a court or administrative agency of competent jurisdiction that prohibits the transactions contemplated hereby or would impose any material limitation on the ability of such Purchaser to exercise full rights of ownership of the Securities. At the time of the Closing, the purchase of the Securities to be purchased by the Purchaser hereunder shall be legally permitted by all laws and regulations to which the Purchaser and the Company are subject.</w:t>
      </w:r>
    </w:p>
    <w:p>
      <w:pPr>
        <w:spacing w:after="0" w:line="17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Other Agreements and Documents</w:t>
      </w:r>
      <w:r>
        <w:rPr>
          <w:rFonts w:ascii="Arial" w:cs="Arial" w:eastAsia="Arial" w:hAnsi="Arial"/>
          <w:sz w:val="16"/>
          <w:szCs w:val="16"/>
          <w:color w:val="auto"/>
        </w:rPr>
        <w:t>.</w:t>
      </w:r>
    </w:p>
    <w:p>
      <w:pPr>
        <w:spacing w:after="0" w:line="225" w:lineRule="exact"/>
        <w:rPr>
          <w:sz w:val="20"/>
          <w:szCs w:val="20"/>
          <w:color w:val="auto"/>
        </w:rPr>
      </w:pPr>
    </w:p>
    <w:p>
      <w:pPr>
        <w:ind w:left="1720" w:hanging="415"/>
        <w:spacing w:after="0"/>
        <w:tabs>
          <w:tab w:leader="none" w:pos="1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With respect to the Initial Closing, the Company shall have delivered the following agreements and documents:</w:t>
      </w:r>
    </w:p>
    <w:p>
      <w:pPr>
        <w:spacing w:after="0" w:line="225" w:lineRule="exact"/>
        <w:rPr>
          <w:rFonts w:ascii="Arial" w:cs="Arial" w:eastAsia="Arial" w:hAnsi="Arial"/>
          <w:sz w:val="18"/>
          <w:szCs w:val="18"/>
          <w:color w:val="auto"/>
        </w:rPr>
      </w:pPr>
    </w:p>
    <w:p>
      <w:pPr>
        <w:ind w:left="2320" w:hanging="367"/>
        <w:spacing w:after="0"/>
        <w:tabs>
          <w:tab w:leader="none" w:pos="23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Certificates, registered in the name of the Purchaser, representing 15 Preferred Shares;</w:t>
      </w:r>
    </w:p>
    <w:p>
      <w:pPr>
        <w:spacing w:after="0" w:line="225" w:lineRule="exact"/>
        <w:rPr>
          <w:rFonts w:ascii="Arial" w:cs="Arial" w:eastAsia="Arial" w:hAnsi="Arial"/>
          <w:sz w:val="18"/>
          <w:szCs w:val="18"/>
          <w:color w:val="auto"/>
        </w:rPr>
      </w:pPr>
    </w:p>
    <w:p>
      <w:pPr>
        <w:ind w:right="140" w:firstLine="1953"/>
        <w:spacing w:after="0" w:line="277" w:lineRule="auto"/>
        <w:tabs>
          <w:tab w:leader="none" w:pos="2372"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A Series B Warrant to purchase an aggregate of 3,000,000 shares of Common Stock of the Company initially at an exercise price of $3.00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ind w:left="2420" w:hanging="467"/>
        <w:spacing w:after="0"/>
        <w:tabs>
          <w:tab w:leader="none" w:pos="24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The Registration Rights Agreement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executed by the Company;</w:t>
      </w:r>
    </w:p>
    <w:p>
      <w:pPr>
        <w:spacing w:after="0" w:line="225" w:lineRule="exact"/>
        <w:rPr>
          <w:rFonts w:ascii="Arial" w:cs="Arial" w:eastAsia="Arial" w:hAnsi="Arial"/>
          <w:sz w:val="18"/>
          <w:szCs w:val="18"/>
          <w:color w:val="auto"/>
        </w:rPr>
      </w:pPr>
    </w:p>
    <w:p>
      <w:pPr>
        <w:ind w:left="2420" w:hanging="467"/>
        <w:spacing w:after="0"/>
        <w:tabs>
          <w:tab w:leader="none" w:pos="24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The Amended and Restated Security Agreement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executed by the Company;</w:t>
      </w:r>
    </w:p>
    <w:p>
      <w:pPr>
        <w:spacing w:after="0" w:line="225" w:lineRule="exact"/>
        <w:rPr>
          <w:rFonts w:ascii="Arial" w:cs="Arial" w:eastAsia="Arial" w:hAnsi="Arial"/>
          <w:sz w:val="18"/>
          <w:szCs w:val="18"/>
          <w:color w:val="auto"/>
        </w:rPr>
      </w:pPr>
    </w:p>
    <w:p>
      <w:pPr>
        <w:ind w:left="2360" w:hanging="407"/>
        <w:spacing w:after="0"/>
        <w:tabs>
          <w:tab w:leader="none" w:pos="23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The Guaranty Agreement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attached hereto executed by each Subsidiary;</w:t>
      </w:r>
    </w:p>
    <w:p>
      <w:pPr>
        <w:spacing w:after="0" w:line="225" w:lineRule="exact"/>
        <w:rPr>
          <w:rFonts w:ascii="Arial" w:cs="Arial" w:eastAsia="Arial" w:hAnsi="Arial"/>
          <w:sz w:val="18"/>
          <w:szCs w:val="18"/>
          <w:color w:val="auto"/>
        </w:rPr>
      </w:pPr>
    </w:p>
    <w:p>
      <w:pPr>
        <w:ind w:left="2420" w:hanging="467"/>
        <w:spacing w:after="0"/>
        <w:tabs>
          <w:tab w:leader="none" w:pos="2420" w:val="left"/>
        </w:tabs>
        <w:numPr>
          <w:ilvl w:val="1"/>
          <w:numId w:val="71"/>
        </w:numPr>
        <w:rPr>
          <w:rFonts w:ascii="Arial" w:cs="Arial" w:eastAsia="Arial" w:hAnsi="Arial"/>
          <w:sz w:val="17"/>
          <w:szCs w:val="17"/>
          <w:color w:val="auto"/>
        </w:rPr>
      </w:pPr>
      <w:r>
        <w:rPr>
          <w:rFonts w:ascii="Arial" w:cs="Arial" w:eastAsia="Arial" w:hAnsi="Arial"/>
          <w:sz w:val="17"/>
          <w:szCs w:val="17"/>
          <w:color w:val="auto"/>
        </w:rPr>
        <w:t xml:space="preserve">The Amended and Restated Guarantor Security Agreement in the form of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attached hereto, executed by each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Subsidiary;</w:t>
      </w:r>
    </w:p>
    <w:p>
      <w:pPr>
        <w:spacing w:after="0" w:line="210" w:lineRule="exact"/>
        <w:rPr>
          <w:rFonts w:ascii="Arial" w:cs="Arial" w:eastAsia="Arial" w:hAnsi="Arial"/>
          <w:sz w:val="17"/>
          <w:szCs w:val="17"/>
          <w:color w:val="auto"/>
        </w:rPr>
      </w:pPr>
    </w:p>
    <w:p>
      <w:pPr>
        <w:ind w:right="300" w:firstLine="1953"/>
        <w:spacing w:after="0" w:line="277" w:lineRule="auto"/>
        <w:tabs>
          <w:tab w:leader="none" w:pos="2462"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An opinion of counsel to the Company, dated the date of the Closing,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 with such exceptions and limitations as shall be reasonably acceptable to counsel to the Purchaser;</w:t>
      </w:r>
    </w:p>
    <w:p>
      <w:pPr>
        <w:spacing w:after="0" w:line="170" w:lineRule="exact"/>
        <w:rPr>
          <w:rFonts w:ascii="Arial" w:cs="Arial" w:eastAsia="Arial" w:hAnsi="Arial"/>
          <w:sz w:val="18"/>
          <w:szCs w:val="18"/>
          <w:color w:val="auto"/>
        </w:rPr>
      </w:pPr>
    </w:p>
    <w:p>
      <w:pPr>
        <w:ind w:left="2520" w:hanging="567"/>
        <w:spacing w:after="0"/>
        <w:tabs>
          <w:tab w:leader="none" w:pos="25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Certificate of Good Standing from the state of incorporation of the Company and each Subsidiary; and</w:t>
      </w:r>
    </w:p>
    <w:p>
      <w:pPr>
        <w:spacing w:after="0" w:line="225" w:lineRule="exact"/>
        <w:rPr>
          <w:rFonts w:ascii="Arial" w:cs="Arial" w:eastAsia="Arial" w:hAnsi="Arial"/>
          <w:sz w:val="18"/>
          <w:szCs w:val="18"/>
          <w:color w:val="auto"/>
        </w:rPr>
      </w:pPr>
    </w:p>
    <w:p>
      <w:pPr>
        <w:ind w:right="80" w:firstLine="1953"/>
        <w:spacing w:after="0" w:line="259" w:lineRule="auto"/>
        <w:tabs>
          <w:tab w:leader="none" w:pos="2412"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certificate of an officer of the Company, dated such Closing Date, certifying (i) the fulfillment of the conditions specified in Sections 5.1 and 5.2 of this Agreement, (ii) the Board resolutions approving this Agreement and the transactions contemplated hereby, (iii) the articles of incorporation and bylaws of the Company, each as amended as of such Closing Date; (iv) the names of each officer and director of the Company as of such Closing Date; and (v) such other matters as the Purchaser shall reasonably request.</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63" w:name="page64"/>
    <w:bookmarkEnd w:id="63"/>
    <w:p>
      <w:pPr>
        <w:ind w:left="1720" w:hanging="415"/>
        <w:spacing w:after="0"/>
        <w:tabs>
          <w:tab w:leader="none" w:pos="17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With respect to the Subsequent Closing, if any, the Company shall have delivered the following agreements and documents:</w:t>
      </w:r>
    </w:p>
    <w:p>
      <w:pPr>
        <w:spacing w:after="0" w:line="236" w:lineRule="exact"/>
        <w:rPr>
          <w:rFonts w:ascii="Arial" w:cs="Arial" w:eastAsia="Arial" w:hAnsi="Arial"/>
          <w:sz w:val="17"/>
          <w:szCs w:val="17"/>
          <w:color w:val="auto"/>
        </w:rPr>
      </w:pPr>
    </w:p>
    <w:p>
      <w:pPr>
        <w:ind w:right="520" w:firstLine="1953"/>
        <w:spacing w:after="0" w:line="277" w:lineRule="auto"/>
        <w:tabs>
          <w:tab w:leader="none" w:pos="2322" w:val="left"/>
        </w:tabs>
        <w:numPr>
          <w:ilvl w:val="1"/>
          <w:numId w:val="72"/>
        </w:numPr>
        <w:rPr>
          <w:rFonts w:ascii="Arial" w:cs="Arial" w:eastAsia="Arial" w:hAnsi="Arial"/>
          <w:sz w:val="18"/>
          <w:szCs w:val="18"/>
          <w:color w:val="auto"/>
        </w:rPr>
      </w:pPr>
      <w:r>
        <w:rPr>
          <w:rFonts w:ascii="Arial" w:cs="Arial" w:eastAsia="Arial" w:hAnsi="Arial"/>
          <w:sz w:val="18"/>
          <w:szCs w:val="18"/>
          <w:color w:val="auto"/>
        </w:rPr>
        <w:t>Certificates, registered in the name of the Purchaser, representing the number of Preferred Shares corresponding to the amount to be sold by the Company;</w:t>
      </w:r>
    </w:p>
    <w:p>
      <w:pPr>
        <w:spacing w:after="0" w:line="170" w:lineRule="exact"/>
        <w:rPr>
          <w:rFonts w:ascii="Arial" w:cs="Arial" w:eastAsia="Arial" w:hAnsi="Arial"/>
          <w:sz w:val="18"/>
          <w:szCs w:val="18"/>
          <w:color w:val="auto"/>
        </w:rPr>
      </w:pPr>
    </w:p>
    <w:p>
      <w:pPr>
        <w:ind w:right="100" w:firstLine="1953"/>
        <w:spacing w:after="0" w:line="277" w:lineRule="auto"/>
        <w:tabs>
          <w:tab w:leader="none" w:pos="2372" w:val="left"/>
        </w:tabs>
        <w:numPr>
          <w:ilvl w:val="1"/>
          <w:numId w:val="72"/>
        </w:numPr>
        <w:rPr>
          <w:rFonts w:ascii="Arial" w:cs="Arial" w:eastAsia="Arial" w:hAnsi="Arial"/>
          <w:sz w:val="18"/>
          <w:szCs w:val="18"/>
          <w:color w:val="auto"/>
        </w:rPr>
      </w:pPr>
      <w:r>
        <w:rPr>
          <w:rFonts w:ascii="Arial" w:cs="Arial" w:eastAsia="Arial" w:hAnsi="Arial"/>
          <w:sz w:val="18"/>
          <w:szCs w:val="18"/>
          <w:color w:val="auto"/>
        </w:rPr>
        <w:t xml:space="preserve">A Series B Warrant to purchase an aggregate of 1,000,000 shares of Common Stock of the Company initially at an exercise price of $3.00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ind w:right="300" w:firstLine="1953"/>
        <w:spacing w:after="0" w:line="277" w:lineRule="auto"/>
        <w:tabs>
          <w:tab w:leader="none" w:pos="2422" w:val="left"/>
        </w:tabs>
        <w:numPr>
          <w:ilvl w:val="1"/>
          <w:numId w:val="72"/>
        </w:numPr>
        <w:rPr>
          <w:rFonts w:ascii="Arial" w:cs="Arial" w:eastAsia="Arial" w:hAnsi="Arial"/>
          <w:sz w:val="18"/>
          <w:szCs w:val="18"/>
          <w:color w:val="auto"/>
        </w:rPr>
      </w:pPr>
      <w:r>
        <w:rPr>
          <w:rFonts w:ascii="Arial" w:cs="Arial" w:eastAsia="Arial" w:hAnsi="Arial"/>
          <w:sz w:val="18"/>
          <w:szCs w:val="18"/>
          <w:color w:val="auto"/>
        </w:rPr>
        <w:t xml:space="preserve">An opinion of counsel to the Company, dated the date of the Closing,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 with such exceptions and limitations as shall be reasonably acceptable to counsel to the Purchaser;</w:t>
      </w:r>
    </w:p>
    <w:p>
      <w:pPr>
        <w:spacing w:after="0" w:line="170" w:lineRule="exact"/>
        <w:rPr>
          <w:rFonts w:ascii="Arial" w:cs="Arial" w:eastAsia="Arial" w:hAnsi="Arial"/>
          <w:sz w:val="18"/>
          <w:szCs w:val="18"/>
          <w:color w:val="auto"/>
        </w:rPr>
      </w:pPr>
    </w:p>
    <w:p>
      <w:pPr>
        <w:ind w:left="2420" w:hanging="467"/>
        <w:spacing w:after="0"/>
        <w:tabs>
          <w:tab w:leader="none" w:pos="24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 Certificate of Good Standing from the state of incorporation of the Company and each Subsidiary; and</w:t>
      </w:r>
    </w:p>
    <w:p>
      <w:pPr>
        <w:spacing w:after="0" w:line="225" w:lineRule="exact"/>
        <w:rPr>
          <w:rFonts w:ascii="Arial" w:cs="Arial" w:eastAsia="Arial" w:hAnsi="Arial"/>
          <w:sz w:val="18"/>
          <w:szCs w:val="18"/>
          <w:color w:val="auto"/>
        </w:rPr>
      </w:pPr>
    </w:p>
    <w:p>
      <w:pPr>
        <w:jc w:val="both"/>
        <w:ind w:right="100" w:firstLine="1953"/>
        <w:spacing w:after="0" w:line="259" w:lineRule="auto"/>
        <w:tabs>
          <w:tab w:leader="none" w:pos="2362" w:val="left"/>
        </w:tabs>
        <w:numPr>
          <w:ilvl w:val="1"/>
          <w:numId w:val="72"/>
        </w:numPr>
        <w:rPr>
          <w:rFonts w:ascii="Arial" w:cs="Arial" w:eastAsia="Arial" w:hAnsi="Arial"/>
          <w:sz w:val="18"/>
          <w:szCs w:val="18"/>
          <w:color w:val="auto"/>
        </w:rPr>
      </w:pPr>
      <w:r>
        <w:rPr>
          <w:rFonts w:ascii="Arial" w:cs="Arial" w:eastAsia="Arial" w:hAnsi="Arial"/>
          <w:sz w:val="18"/>
          <w:szCs w:val="18"/>
          <w:color w:val="auto"/>
        </w:rPr>
        <w:t>A certificate of an officer of the Company, dated such Closing Date, certifying (i) the fulfillment of the conditions specified in Sections 5.1 and 5.2 of this Agreement, (ii) the Board resolutions approving this Agreement and the transactions contemplated hereby, (iii) the articles of incorporation and bylaws of the Company, each as amended as of such Closing Date; (iv) the names of each officer and director of the Company as of such Closing Date; and (v) such other matters as the Purchaser shall reasonably request.</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Certificate of Designation</w:t>
      </w:r>
      <w:r>
        <w:rPr>
          <w:rFonts w:ascii="Arial" w:cs="Arial" w:eastAsia="Arial" w:hAnsi="Arial"/>
          <w:sz w:val="18"/>
          <w:szCs w:val="18"/>
          <w:color w:val="auto"/>
        </w:rPr>
        <w:t xml:space="preserve">. The Company shall have filed the Certificate of Designation for the Series B Preferred Stock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with the Nevada Secretary of State.</w:t>
      </w:r>
    </w:p>
    <w:p>
      <w:pPr>
        <w:spacing w:after="0" w:line="17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7"/>
          <w:szCs w:val="17"/>
          <w:color w:val="auto"/>
        </w:rPr>
        <w:t>[Intentionally Omitted</w:t>
      </w:r>
      <w:r>
        <w:rPr>
          <w:rFonts w:ascii="Arial" w:cs="Arial" w:eastAsia="Arial" w:hAnsi="Arial"/>
          <w:sz w:val="17"/>
          <w:szCs w:val="17"/>
          <w:u w:val="single" w:color="auto"/>
          <w:color w:val="auto"/>
        </w:rPr>
        <w:t>]</w:t>
      </w:r>
      <w:r>
        <w:rPr>
          <w:rFonts w:ascii="Arial" w:cs="Arial" w:eastAsia="Arial" w:hAnsi="Arial"/>
          <w:sz w:val="17"/>
          <w:szCs w:val="17"/>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Intellectual Property Assignment</w:t>
      </w:r>
      <w:r>
        <w:rPr>
          <w:rFonts w:ascii="Arial" w:cs="Arial" w:eastAsia="Arial" w:hAnsi="Arial"/>
          <w:sz w:val="18"/>
          <w:szCs w:val="18"/>
          <w:color w:val="auto"/>
        </w:rPr>
        <w:t>. The Company shall have delivered evidence reasonably satisfactory to the Purchaser that Mr. David Harrell has transferred certain patent applications and rights identified by the Purchaser to the Company.</w:t>
      </w:r>
    </w:p>
    <w:p>
      <w:pPr>
        <w:spacing w:after="0" w:line="170"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Due Diligence Investigation</w:t>
      </w:r>
      <w:r>
        <w:rPr>
          <w:rFonts w:ascii="Arial" w:cs="Arial" w:eastAsia="Arial" w:hAnsi="Arial"/>
          <w:sz w:val="17"/>
          <w:szCs w:val="17"/>
          <w:color w:val="auto"/>
        </w:rPr>
        <w:t>. No fact shall have been discovered, whether or not reflected in the Schedules hereto, which in the Purchaser’s determination would make the consummation of the transactions contemplated by this Agreement not in the Purchaser’s best interests.</w:t>
      </w: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CLOSING OF THE COMPANY</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Company’s obligation to sell the Securities at each Closing is subject to the fulfillment to its satisfaction on or prior to such Closing Date of each of the following conditions:</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Representations</w:t>
      </w:r>
      <w:r>
        <w:rPr>
          <w:rFonts w:ascii="Arial" w:cs="Arial" w:eastAsia="Arial" w:hAnsi="Arial"/>
          <w:sz w:val="18"/>
          <w:szCs w:val="18"/>
          <w:color w:val="auto"/>
        </w:rPr>
        <w:t>. The representations made by the Purchaser pursuant to Article VI hereof shall be true and correct when made and shall be true and correct on such Closing Date.</w:t>
      </w:r>
    </w:p>
    <w:p>
      <w:pPr>
        <w:spacing w:after="0" w:line="170"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No Impediments</w:t>
      </w:r>
      <w:r>
        <w:rPr>
          <w:rFonts w:ascii="Arial" w:cs="Arial" w:eastAsia="Arial" w:hAnsi="Arial"/>
          <w:sz w:val="17"/>
          <w:szCs w:val="17"/>
          <w:color w:val="auto"/>
        </w:rPr>
        <w:t>. Neither the Company nor the Purchaser shall be subject to any order, decree or injunction of a court or administrative agency of competent jurisdiction that prohibits the transactions contemplated hereby or would impose any material limitation on the ability of the Purchaser to exercise full rights of ownership of the Securities. At the time of such Closing, the purchase of the Securities to be purchased by the Purchaser hereunder shall be legally permitted by all laws and regulations to which the Purchaser and the Company are subject.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AFFIRMATIVE COVENANTS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hereby covenants and agrees, so long as any Preferred Share remains outstanding, as follows:</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Maintenance of Corporate Existence</w:t>
      </w:r>
      <w:r>
        <w:rPr>
          <w:rFonts w:ascii="Arial" w:cs="Arial" w:eastAsia="Arial" w:hAnsi="Arial"/>
          <w:sz w:val="17"/>
          <w:szCs w:val="17"/>
          <w:color w:val="auto"/>
        </w:rPr>
        <w:t>. The Company shall and shall cause its subsidiaries to, maintain in full force and effect its corporate existence, rights and franchises and all material terms of licenses and other rights to use licenses, trademarks, trade names, service marks, copyrights, patents or processes owned or possessed by it and necessary to the conduct of its business, except where the failure to maintain such corporate existence, rights, franchises, licenses and rights to use licenses, trademarks, trade names, service marks, copyrights, patents or processes would not (a) result in a Material Adverse Effect or (b) materially adversely affect the rights of Purchaser under any Transaction Document.</w:t>
      </w:r>
    </w:p>
    <w:p>
      <w:pPr>
        <w:spacing w:after="0" w:line="17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The Company shall and shall cause its subsidiaries to, keep each of its properties necessary to the conduct of its business in good repair, working order and condition, reasonable wear and tear excepted, and from time to time make all needful and proper repairs, renewals, replacements, additions and improvements thereto; and the Company shall and shall cause its subsidiaries to at all times comply with each material provision of all material leases to which it is a party or under which it occupies property.</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5" w:name="page66"/>
    <w:bookmarkEnd w:id="65"/>
    <w:p>
      <w:pPr>
        <w:ind w:right="80" w:firstLine="648"/>
        <w:spacing w:after="0" w:line="272"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Payment of Taxes</w:t>
      </w:r>
      <w:r>
        <w:rPr>
          <w:rFonts w:ascii="Arial" w:cs="Arial" w:eastAsia="Arial" w:hAnsi="Arial"/>
          <w:sz w:val="17"/>
          <w:szCs w:val="17"/>
          <w:color w:val="auto"/>
        </w:rPr>
        <w:t>. The Company shall and shall cause its subsidiaries to, promptly pay and discharge, or cause to be paid and discharged when due and payable, all lawful taxes, assessments and governmental charges or levies imposed upon the income, profits, assets, property or business of the Company and its subsidiaries; provided, however, that any such tax, assessment, charge or levy need not be paid if the validity thereof shall be contested timely and in good faith by appropriate proceedings, if the Company or its subsidiaries shall have set aside on its books adequate reserves with respect thereto, and the failure to pay shall not be prejudicial in an y material respect to the holders of the Securities, and provided, further, that the Company or its subsidiaries will pay or cause to be paid any such tax, assessment, charge or levy forthwith upon the commencement of proceedings to foreclose any Lien which may have attached as security therefor.</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Payment of Indebtedness</w:t>
      </w:r>
      <w:r>
        <w:rPr>
          <w:rFonts w:ascii="Arial" w:cs="Arial" w:eastAsia="Arial" w:hAnsi="Arial"/>
          <w:sz w:val="18"/>
          <w:szCs w:val="18"/>
          <w:color w:val="auto"/>
        </w:rPr>
        <w:t>. The Company shall, and shall cause its subsidiaries to, pay or cause to be paid when due all Indebtedness incident to the operations of the Company or its subsidiaries (including, without limitation, claims or demands of workmen, materialmen, vendors, suppliers, mechanics, carriers, warehousemen and landlords) which, if unpaid might become a Lien (except for Permitted Liens) upon the assets or property of the Company or its subsidiaries, except where the Company (or its subsidiary, as the case may be) disputes the payment of such Indebtedness in good faith by appropriate proceedings.</w:t>
      </w:r>
    </w:p>
    <w:p>
      <w:pPr>
        <w:spacing w:after="0" w:line="18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Reservation of Common Stock</w:t>
      </w:r>
      <w:r>
        <w:rPr>
          <w:rFonts w:ascii="Arial" w:cs="Arial" w:eastAsia="Arial" w:hAnsi="Arial"/>
          <w:sz w:val="18"/>
          <w:szCs w:val="18"/>
          <w:color w:val="auto"/>
        </w:rPr>
        <w:t>. The Company shall continue to reserve, free of preemptive rights and other similar contractual rights of stockholders, a number of its authorized but unissued shares of Common Stock not less than one hundred percent (100%) of the aggregate number of shares of Common Stock to effect the conversion of the Preferred Shares and one hundred percent (100%) of the aggregate number of shares of Common Stock to effect the exercise of the Warrant.</w:t>
      </w:r>
    </w:p>
    <w:p>
      <w:pPr>
        <w:spacing w:after="0" w:line="18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Maintenance of Insurance</w:t>
      </w:r>
      <w:r>
        <w:rPr>
          <w:rFonts w:ascii="Arial" w:cs="Arial" w:eastAsia="Arial" w:hAnsi="Arial"/>
          <w:sz w:val="16"/>
          <w:szCs w:val="16"/>
          <w:color w:val="auto"/>
        </w:rPr>
        <w:t>. The Company shall and shall cause its subsidiaries to, keep its assets which are of an insurable character insured by financially sound and reputable insurers against loss or damage by theft, fire, explosion and other risks customarily insured against by companies in the line of business of the Company or its subsidiaries, in amounts sufficient to prevent the Company and its subsidiaries from becoming a co-insurer of the property insured; and the Company shall and shall cause its subsidiaries to maintain, with financially sound and reputable insurers, insurance against other hazards and risks and liability to persons and property to the extent and in the manner customary for companies in similar businesses similarly situated or as may be required by law, including, without limitation, general liability, fire and business interruption insurance, and product liability insurance as may be required pursuant to any license agreement to which the Company or its subsidiaries is a party or by which it is bound.</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6" w:name="page67"/>
    <w:bookmarkEnd w:id="66"/>
    <w:p>
      <w:pPr>
        <w:ind w:left="660"/>
        <w:spacing w:after="0"/>
        <w:tabs>
          <w:tab w:leader="none" w:pos="10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u w:val="single" w:color="auto"/>
          <w:color w:val="auto"/>
        </w:rPr>
        <w:t>Notice of Adverse Change</w:t>
      </w:r>
      <w:r>
        <w:rPr>
          <w:rFonts w:ascii="Arial" w:cs="Arial" w:eastAsia="Arial" w:hAnsi="Arial"/>
          <w:sz w:val="16"/>
          <w:szCs w:val="16"/>
          <w:color w:val="auto"/>
        </w:rPr>
        <w:t>. The Company shall promptly give notice to all holders of any Securities (but in any event within seven (7) days)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after becoming aware of the existence of any condition or event which constitutes, or the occurrence of, any of the following:</w:t>
      </w:r>
    </w:p>
    <w:p>
      <w:pPr>
        <w:spacing w:after="0" w:line="211" w:lineRule="exact"/>
        <w:rPr>
          <w:sz w:val="20"/>
          <w:szCs w:val="20"/>
          <w:color w:val="auto"/>
        </w:rPr>
      </w:pPr>
    </w:p>
    <w:p>
      <w:pPr>
        <w:ind w:left="1720" w:hanging="415"/>
        <w:spacing w:after="0"/>
        <w:tabs>
          <w:tab w:leader="none" w:pos="1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event of noncompliance by the Company or its subsidiaries under this Agreement in any material respect;</w:t>
      </w:r>
    </w:p>
    <w:p>
      <w:pPr>
        <w:spacing w:after="0" w:line="225" w:lineRule="exact"/>
        <w:rPr>
          <w:rFonts w:ascii="Arial" w:cs="Arial" w:eastAsia="Arial" w:hAnsi="Arial"/>
          <w:sz w:val="18"/>
          <w:szCs w:val="18"/>
          <w:color w:val="auto"/>
        </w:rPr>
      </w:pPr>
    </w:p>
    <w:p>
      <w:pPr>
        <w:ind w:right="480" w:firstLine="1305"/>
        <w:spacing w:after="0" w:line="264" w:lineRule="auto"/>
        <w:tabs>
          <w:tab w:leader="none" w:pos="1713"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institution of an action, suit or proceeding against the Company or any subsidiary before any court, administrative agency or arbitrator, including, without limitation, any action of a foreign government or instrumentality, which, if adversely decided, would result in a Material Adverse Effect whether or not arising in the ordinary course of business; or</w:t>
      </w:r>
    </w:p>
    <w:p>
      <w:pPr>
        <w:spacing w:after="0" w:line="181" w:lineRule="exact"/>
        <w:rPr>
          <w:rFonts w:ascii="Arial" w:cs="Arial" w:eastAsia="Arial" w:hAnsi="Arial"/>
          <w:sz w:val="18"/>
          <w:szCs w:val="18"/>
          <w:color w:val="auto"/>
        </w:rPr>
      </w:pPr>
    </w:p>
    <w:p>
      <w:pPr>
        <w:ind w:right="160" w:firstLine="1305"/>
        <w:spacing w:after="0" w:line="277" w:lineRule="auto"/>
        <w:tabs>
          <w:tab w:leader="none" w:pos="1703"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information relating to the Company or any subsidiary which would reasonably be expected to result in a material adverse effect on its inability to perform its obligations of under any Transaction Document.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notice given under this Section 7.7 shall specify the nature and period of existence of the condition, event, information, development or circumstance, the anticipated effect thereof and what actions the Company has taken and/or proposes to take with respect thereto.</w:t>
      </w:r>
    </w:p>
    <w:p>
      <w:pPr>
        <w:spacing w:after="0" w:line="17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Compliance With Agreements</w:t>
      </w:r>
      <w:r>
        <w:rPr>
          <w:rFonts w:ascii="Arial" w:cs="Arial" w:eastAsia="Arial" w:hAnsi="Arial"/>
          <w:sz w:val="18"/>
          <w:szCs w:val="18"/>
          <w:color w:val="auto"/>
        </w:rPr>
        <w:t>. The Company shall and shall cause its subsidiaries to comply in all material respects, with the terms and conditions of all material agreements, commitments or instruments to which the Company or any of its subsidiaries is a party or by which it or they may be bound.</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Other Agreements</w:t>
      </w:r>
      <w:r>
        <w:rPr>
          <w:rFonts w:ascii="Arial" w:cs="Arial" w:eastAsia="Arial" w:hAnsi="Arial"/>
          <w:sz w:val="18"/>
          <w:szCs w:val="18"/>
          <w:color w:val="auto"/>
        </w:rPr>
        <w:t>. The Company shall not enter into any agreement in which the terms of such agreement would restrict or impair the right or ability to perform of the Company under any Transaction Document.</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 xml:space="preserve">7.10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The Company shall and shall cause each of its subsidiaries to duly comply in all material respects with any material laws, ordinances, rules and regulations of any foreign, federal, state or local government or any agency thereof, or any writ, order or decree, and conform to all valid requirements of governmental authorities relating to the conduct of their respective businesses, properties or assets.</w:t>
      </w:r>
    </w:p>
    <w:p>
      <w:pPr>
        <w:spacing w:after="0" w:line="166"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7.11 </w:t>
      </w:r>
      <w:r>
        <w:rPr>
          <w:rFonts w:ascii="Arial" w:cs="Arial" w:eastAsia="Arial" w:hAnsi="Arial"/>
          <w:sz w:val="17"/>
          <w:szCs w:val="17"/>
          <w:u w:val="single" w:color="auto"/>
          <w:color w:val="auto"/>
        </w:rPr>
        <w:t>Protection of Licenses, etc.</w:t>
      </w:r>
      <w:r>
        <w:rPr>
          <w:rFonts w:ascii="Arial" w:cs="Arial" w:eastAsia="Arial" w:hAnsi="Arial"/>
          <w:sz w:val="17"/>
          <w:szCs w:val="17"/>
          <w:color w:val="auto"/>
        </w:rPr>
        <w:t xml:space="preserve"> The Company shall and shall cause its subsidiaries to, maintain, defend and protect to the best of their ability licenses and sublicenses (and to the extent the Company or a subsidiary is a licensee or sublicensee under any license or sublicense, as permitted by the license or sublicense agreement), trademarks, trade names, service marks, patents and applications therefor and other proprietary information owned or used by it or them, (except where the failure to defend and protect such licenses and sublicenses would not (a) result in a Material Adverse Effect or (b) materially adversely affect the rights of Purchaser under an y Transaction Document) and shall keep duplicate copies of any licenses, trademarks, service marks or patents owned or used by it, if any, at a secure place selected by the Company.</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7" w:name="page68"/>
    <w:bookmarkEnd w:id="67"/>
    <w:p>
      <w:pPr>
        <w:ind w:left="660"/>
        <w:spacing w:after="0"/>
        <w:tabs>
          <w:tab w:leader="none" w:pos="116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6"/>
          <w:szCs w:val="16"/>
          <w:u w:val="single" w:color="auto"/>
          <w:color w:val="auto"/>
        </w:rPr>
        <w:t>Accounts and Records; Inspections</w:t>
      </w:r>
      <w:r>
        <w:rPr>
          <w:rFonts w:ascii="Arial" w:cs="Arial" w:eastAsia="Arial" w:hAnsi="Arial"/>
          <w:sz w:val="16"/>
          <w:szCs w:val="16"/>
          <w:color w:val="auto"/>
        </w:rPr>
        <w:t>.</w:t>
      </w:r>
    </w:p>
    <w:p>
      <w:pPr>
        <w:spacing w:after="0" w:line="225" w:lineRule="exact"/>
        <w:rPr>
          <w:sz w:val="20"/>
          <w:szCs w:val="20"/>
          <w:color w:val="auto"/>
        </w:rPr>
      </w:pPr>
    </w:p>
    <w:p>
      <w:pPr>
        <w:ind w:right="460" w:firstLine="1305"/>
        <w:spacing w:after="0" w:line="342" w:lineRule="auto"/>
        <w:tabs>
          <w:tab w:leader="none" w:pos="1703"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Company shall keep true records and books of account in which full, true and correct entries will be made of all dealings or transactions in relation to the business and affairs of the Company and its subsidiaries in accordance with GAAP applied on a consistent basis.</w:t>
      </w:r>
    </w:p>
    <w:p>
      <w:pPr>
        <w:spacing w:after="0" w:line="123" w:lineRule="exact"/>
        <w:rPr>
          <w:rFonts w:ascii="Arial" w:cs="Arial" w:eastAsia="Arial" w:hAnsi="Arial"/>
          <w:sz w:val="16"/>
          <w:szCs w:val="16"/>
          <w:color w:val="auto"/>
        </w:rPr>
      </w:pPr>
    </w:p>
    <w:p>
      <w:pPr>
        <w:ind w:right="60" w:firstLine="1305"/>
        <w:spacing w:after="0" w:line="259" w:lineRule="auto"/>
        <w:tabs>
          <w:tab w:leader="none" w:pos="1713"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shall permit each holder of any Securities or any of such holder’s officers, employees or representatives during regular business hours of the Company, upon reasonable notice and as often as such holder may reasonably request, to visit and inspect the offices and properties of the Company and its subsidiaries and to make extracts or copies of the books, accounts and records of the Company or its subsidiaries at such holder’s expense.</w:t>
      </w:r>
    </w:p>
    <w:p>
      <w:pPr>
        <w:spacing w:after="0" w:line="186" w:lineRule="exact"/>
        <w:rPr>
          <w:rFonts w:ascii="Arial" w:cs="Arial" w:eastAsia="Arial" w:hAnsi="Arial"/>
          <w:sz w:val="18"/>
          <w:szCs w:val="18"/>
          <w:color w:val="auto"/>
        </w:rPr>
      </w:pPr>
    </w:p>
    <w:p>
      <w:pPr>
        <w:ind w:firstLine="1305"/>
        <w:spacing w:after="0" w:line="308" w:lineRule="auto"/>
        <w:tabs>
          <w:tab w:leader="none" w:pos="1703" w:val="left"/>
        </w:tabs>
        <w:numPr>
          <w:ilvl w:val="0"/>
          <w:numId w:val="74"/>
        </w:numPr>
        <w:rPr>
          <w:rFonts w:ascii="Arial" w:cs="Arial" w:eastAsia="Arial" w:hAnsi="Arial"/>
          <w:sz w:val="17"/>
          <w:szCs w:val="17"/>
          <w:color w:val="auto"/>
        </w:rPr>
      </w:pPr>
      <w:r>
        <w:rPr>
          <w:rFonts w:ascii="Arial" w:cs="Arial" w:eastAsia="Arial" w:hAnsi="Arial"/>
          <w:sz w:val="17"/>
          <w:szCs w:val="17"/>
          <w:color w:val="auto"/>
        </w:rPr>
        <w:t>Nothing contained in this Section 7.12 shall be construed to limit any rights which a holder of any Securities may otherwise have with respect to the books and records of the Company and its subsidiaries, to inspect its properties or to discuss its affairs, finances and accounts.</w:t>
      </w:r>
    </w:p>
    <w:p>
      <w:pPr>
        <w:spacing w:after="0" w:line="14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 xml:space="preserve">7.13 </w:t>
      </w:r>
      <w:r>
        <w:rPr>
          <w:rFonts w:ascii="Arial" w:cs="Arial" w:eastAsia="Arial" w:hAnsi="Arial"/>
          <w:sz w:val="16"/>
          <w:szCs w:val="16"/>
          <w:u w:val="single" w:color="auto"/>
          <w:color w:val="auto"/>
        </w:rPr>
        <w:t>Maintenance of Office</w:t>
      </w:r>
      <w:r>
        <w:rPr>
          <w:rFonts w:ascii="Arial" w:cs="Arial" w:eastAsia="Arial" w:hAnsi="Arial"/>
          <w:sz w:val="16"/>
          <w:szCs w:val="16"/>
          <w:color w:val="auto"/>
        </w:rPr>
        <w:t>. The Company will maintain its principal office at the address of the Company set forth in Section 12.6 of this Agreement where notices, presentments and demands in respect of this Agreement and any of the Securities may be made upon the Company, until such time as the Company shall notify the holders of the Securities in writing, at least thirty (30) days prior thereto, of any change of location of such office.</w:t>
      </w:r>
    </w:p>
    <w:p>
      <w:pPr>
        <w:spacing w:after="0" w:line="14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Payment of the Preferred Share Dividends</w:t>
      </w:r>
      <w:r>
        <w:rPr>
          <w:rFonts w:ascii="Arial" w:cs="Arial" w:eastAsia="Arial" w:hAnsi="Arial"/>
          <w:sz w:val="18"/>
          <w:szCs w:val="18"/>
          <w:color w:val="auto"/>
        </w:rPr>
        <w:t>. The Company shall pay the dividends on, and redeem, the Preferred Shares, in the time, the manner and the form as provided in the Certificate of Designation for the Series B Preferred Stock.</w:t>
      </w:r>
    </w:p>
    <w:p>
      <w:pPr>
        <w:spacing w:after="0" w:line="170"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7.15 </w:t>
      </w:r>
      <w:r>
        <w:rPr>
          <w:rFonts w:ascii="Arial" w:cs="Arial" w:eastAsia="Arial" w:hAnsi="Arial"/>
          <w:sz w:val="16"/>
          <w:szCs w:val="16"/>
          <w:u w:val="single" w:color="auto"/>
          <w:color w:val="auto"/>
        </w:rPr>
        <w:t>SEC Reporting Requirements</w:t>
      </w:r>
      <w:r>
        <w:rPr>
          <w:rFonts w:ascii="Arial" w:cs="Arial" w:eastAsia="Arial" w:hAnsi="Arial"/>
          <w:sz w:val="16"/>
          <w:szCs w:val="16"/>
          <w:color w:val="auto"/>
        </w:rPr>
        <w:t>. For so long as the Purchaser beneficially owns any of the Securities, and until such time as all the Conversion Shares and Warrant Shares are saleable by the Purchaser without restriction as to volume or manner of sale under Rule 144 under the Securities Act, the Company shall, once it has filed a registration statement pursuant to the Registration Rights Agreement, timely file all reports required to be filed with the Commission pursuant to the Exchange Act, and the Company shall not terminate its status as an issuer required to file reports under the Exchange Act even if the Exchange Act or the rules and regulations thereund er would permit such termination. As long as the Purchaser owns Securities, Conversion Shares or Warrant Shares, the Company will prepare and furnish to the Purchaser and make publicly available in accordance with Rule 144 or any successor rule such information as is required for the Purchaser to sell the Securities under Rule 144 without regard to the volume and manner of sale limitations. The Company further covenants that it will take such further action as any holder of Securities, Conversion Shares or Warrant Shares may reasonably request, all to the extent required from time to time to enable such Person to sell such Securities, Conversion Shares or Warrant Shares without registration under the Securities Act within the limitation of the exemptions provided by Rule 144 or any successor rule thereto.</w:t>
      </w: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68" w:name="page69"/>
    <w:bookmarkEnd w:id="68"/>
    <w:p>
      <w:pPr>
        <w:ind w:right="80" w:firstLine="648"/>
        <w:spacing w:after="0" w:line="271" w:lineRule="auto"/>
        <w:rPr>
          <w:sz w:val="20"/>
          <w:szCs w:val="20"/>
          <w:color w:val="auto"/>
        </w:rPr>
      </w:pPr>
      <w:r>
        <w:rPr>
          <w:rFonts w:ascii="Arial" w:cs="Arial" w:eastAsia="Arial" w:hAnsi="Arial"/>
          <w:sz w:val="17"/>
          <w:szCs w:val="17"/>
          <w:color w:val="auto"/>
        </w:rPr>
        <w:t xml:space="preserve">7.16 </w:t>
      </w:r>
      <w:r>
        <w:rPr>
          <w:rFonts w:ascii="Arial" w:cs="Arial" w:eastAsia="Arial" w:hAnsi="Arial"/>
          <w:sz w:val="17"/>
          <w:szCs w:val="17"/>
          <w:u w:val="single" w:color="auto"/>
          <w:color w:val="auto"/>
        </w:rPr>
        <w:t>Listing Maintenance</w:t>
      </w:r>
      <w:r>
        <w:rPr>
          <w:rFonts w:ascii="Arial" w:cs="Arial" w:eastAsia="Arial" w:hAnsi="Arial"/>
          <w:sz w:val="17"/>
          <w:szCs w:val="17"/>
          <w:color w:val="auto"/>
        </w:rPr>
        <w:t>. The Company hereby agrees to use best efforts to maintain the listing or trading of the Common Stock on a Trading Market, and once the Conversion Shares or Warrant shares are registered under an effective registration statement or are saleable under Rule 144, the Company agrees to promptly to take such action as may be necessary to have such shares approved for trading on the Trading Market by the applicable Trading Market Authority. The Company further agrees, if the Company applies to have the Common Stock traded on any other Trading Market, it will include in such application all of the Conversion Shares and Warrant Shares, and wi ll take such other action as is necessary to cause all of the Conversion Shares and Warrant Shares to be listed on such other Trading Market as promptly as possible. The Company will take all action reasonably necessary to continue the listing and trading of its Common Stock on, and will comply in all respects with the Company’s reporting, filing and other obligations under the bylaws or rules of, each such Trading Market on which the Company’s Common Stock is listed or trades.</w:t>
      </w:r>
    </w:p>
    <w:p>
      <w:pPr>
        <w:spacing w:after="0" w:line="17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7.17</w:t>
      </w:r>
      <w:r>
        <w:rPr>
          <w:sz w:val="20"/>
          <w:szCs w:val="20"/>
          <w:color w:val="auto"/>
        </w:rPr>
        <w:tab/>
      </w:r>
      <w:r>
        <w:rPr>
          <w:rFonts w:ascii="Arial" w:cs="Arial" w:eastAsia="Arial" w:hAnsi="Arial"/>
          <w:sz w:val="16"/>
          <w:szCs w:val="16"/>
          <w:u w:val="single" w:color="auto"/>
          <w:color w:val="auto"/>
        </w:rPr>
        <w:t>Implementation of Series B Preferred Stockholders’ Rights to Elect Directors</w:t>
      </w:r>
      <w:r>
        <w:rPr>
          <w:rFonts w:ascii="Arial" w:cs="Arial" w:eastAsia="Arial" w:hAnsi="Arial"/>
          <w:sz w:val="16"/>
          <w:szCs w:val="16"/>
          <w:color w:val="auto"/>
        </w:rPr>
        <w:t>. Promptly after Closing, the Company shall take the following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actions:</w:t>
      </w:r>
    </w:p>
    <w:p>
      <w:pPr>
        <w:spacing w:after="0" w:line="211" w:lineRule="exact"/>
        <w:rPr>
          <w:sz w:val="20"/>
          <w:szCs w:val="20"/>
          <w:color w:val="auto"/>
        </w:rPr>
      </w:pPr>
    </w:p>
    <w:p>
      <w:pPr>
        <w:jc w:val="both"/>
        <w:ind w:right="300" w:firstLine="1305"/>
        <w:spacing w:after="0" w:line="264" w:lineRule="auto"/>
        <w:tabs>
          <w:tab w:leader="none" w:pos="1703" w:val="left"/>
        </w:tabs>
        <w:numPr>
          <w:ilvl w:val="0"/>
          <w:numId w:val="75"/>
        </w:numPr>
        <w:rPr>
          <w:rFonts w:ascii="Arial" w:cs="Arial" w:eastAsia="Arial" w:hAnsi="Arial"/>
          <w:sz w:val="18"/>
          <w:szCs w:val="18"/>
          <w:color w:val="auto"/>
        </w:rPr>
      </w:pPr>
      <w:r>
        <w:rPr>
          <w:rFonts w:ascii="Arial" w:cs="Arial" w:eastAsia="Arial" w:hAnsi="Arial"/>
          <w:sz w:val="18"/>
          <w:szCs w:val="18"/>
          <w:color w:val="auto"/>
        </w:rPr>
        <w:t>amend its bylaws and take such other action at any such time as necessary to implement the rights of holders of Series B Preferred Stock to nominate and elect one member of the Board of Directors as set forth in the Certificate of Designation for the Series B Preferred Stock beginning with the first meeting of the stockholders of the Company following Closing; and</w:t>
      </w:r>
    </w:p>
    <w:p>
      <w:pPr>
        <w:spacing w:after="0" w:line="181" w:lineRule="exact"/>
        <w:rPr>
          <w:rFonts w:ascii="Arial" w:cs="Arial" w:eastAsia="Arial" w:hAnsi="Arial"/>
          <w:sz w:val="18"/>
          <w:szCs w:val="18"/>
          <w:color w:val="auto"/>
        </w:rPr>
      </w:pPr>
    </w:p>
    <w:p>
      <w:pPr>
        <w:ind w:right="40" w:firstLine="1305"/>
        <w:spacing w:after="0" w:line="259" w:lineRule="auto"/>
        <w:tabs>
          <w:tab w:leader="none" w:pos="1713"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necessary, expand the current size of the Board by one (1) member and appoint the person who will be designated by the Purchaser, to the Board of Directors; provided that, the Company shall not be obligated to appoint any designee if (i) the nomination of such designee would violate rules, regulations or other standards of the Commission or the Trading Market, or (ii) the designee does not meet the Company’s reasonable written director qualification standards.</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 xml:space="preserve">7.18 </w:t>
      </w:r>
      <w:r>
        <w:rPr>
          <w:rFonts w:ascii="Arial" w:cs="Arial" w:eastAsia="Arial" w:hAnsi="Arial"/>
          <w:sz w:val="17"/>
          <w:szCs w:val="17"/>
          <w:u w:val="single" w:color="auto"/>
          <w:color w:val="auto"/>
        </w:rPr>
        <w:t>Further Assurances</w:t>
      </w:r>
      <w:r>
        <w:rPr>
          <w:rFonts w:ascii="Arial" w:cs="Arial" w:eastAsia="Arial" w:hAnsi="Arial"/>
          <w:sz w:val="17"/>
          <w:szCs w:val="17"/>
          <w:color w:val="auto"/>
        </w:rPr>
        <w:t>. From time to time the Company shall execute and deliver to the Purchaser and the Purchaser shall execute and deliver to the Company such other instruments, certificates, agreements and documents and take such other action and do all other things as may be reasonably requested by the other party in order to implement or effectuate the terms and provisions of this Agreement and any of the Securities.</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purposes of Articles VII–IX, the term “subsidiary” shall be deemed to include each Subsidiary and any subsidiary of the Company acquired or formed after the date hereof.</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NEGATIVE COVENANTS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hereby covenants and agrees, so long as any Preferred Share remains outstanding, it will not (and not allow any subsidiary to), without the prior written consent of the holder(s) of more than 50% of the number of shares of Series B Preferred Stock outstanding (the “</w:t>
      </w:r>
      <w:r>
        <w:rPr>
          <w:rFonts w:ascii="Arial" w:cs="Arial" w:eastAsia="Arial" w:hAnsi="Arial"/>
          <w:sz w:val="18"/>
          <w:szCs w:val="18"/>
          <w:u w:val="single" w:color="auto"/>
          <w:color w:val="auto"/>
        </w:rPr>
        <w:t>Majority Holders</w:t>
      </w:r>
      <w:r>
        <w:rPr>
          <w:rFonts w:ascii="Arial" w:cs="Arial" w:eastAsia="Arial" w:hAnsi="Arial"/>
          <w:sz w:val="18"/>
          <w:szCs w:val="18"/>
          <w:color w:val="auto"/>
        </w:rPr>
        <w:t>”), directly or indirectly:</w:t>
      </w:r>
    </w:p>
    <w:p>
      <w:pPr>
        <w:spacing w:after="0" w:line="18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Distributions and Redemptions</w:t>
      </w:r>
      <w:r>
        <w:rPr>
          <w:rFonts w:ascii="Arial" w:cs="Arial" w:eastAsia="Arial" w:hAnsi="Arial"/>
          <w:sz w:val="16"/>
          <w:szCs w:val="16"/>
          <w:color w:val="auto"/>
        </w:rPr>
        <w:t>. (i) Except with respect to the Series B Preferred Stock, or forward stock splits in the form of a dividend, declare or pay any dividends or make any distributions to any holder(s) of any shares of capital stock of the Company or (ii) purchase, redeem or otherwise acquire for value, directly or indirectly, any shares of Common Stock of the Company or warrants or rights to acquire such Common Stock, except as may be required by the terms of the Series B Preferred Stock; or (iii) purchase, redeem or otherwise acquire for value, directly or indirectly, any shares of preferred stock of the Company or warrants or rights to acquire such stock, except as may be required by the terms of such preferred stock.</w:t>
      </w:r>
    </w:p>
    <w:p>
      <w:pPr>
        <w:spacing w:after="0" w:line="158"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Reclassification</w:t>
      </w:r>
      <w:r>
        <w:rPr>
          <w:rFonts w:ascii="Arial" w:cs="Arial" w:eastAsia="Arial" w:hAnsi="Arial"/>
          <w:sz w:val="16"/>
          <w:szCs w:val="16"/>
          <w:color w:val="auto"/>
        </w:rPr>
        <w:t>. Effect any reclassification, combination or reverse stock split of the Common Stock.</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Liens</w:t>
      </w:r>
      <w:r>
        <w:rPr>
          <w:rFonts w:ascii="Arial" w:cs="Arial" w:eastAsia="Arial" w:hAnsi="Arial"/>
          <w:sz w:val="17"/>
          <w:szCs w:val="17"/>
          <w:color w:val="auto"/>
        </w:rPr>
        <w:t>. Except as otherwise provided in this Agreement, create, incur, assume or permit to exist any mortgage, lien, pledge, charge, security interest or other encumbrance, or any interest or title of any vendor, lessor, lender or other secured party to or of the Company or any subsidiary under any conditional sale or other title retention agreement or any capital lease, upon or with respect to any property or asset of the Company or any subsidiary (each a “</w:t>
      </w:r>
      <w:r>
        <w:rPr>
          <w:rFonts w:ascii="Arial" w:cs="Arial" w:eastAsia="Arial" w:hAnsi="Arial"/>
          <w:sz w:val="17"/>
          <w:szCs w:val="17"/>
          <w:u w:val="single" w:color="auto"/>
          <w:color w:val="auto"/>
        </w:rPr>
        <w:t>Lien</w:t>
      </w:r>
      <w:r>
        <w:rPr>
          <w:rFonts w:ascii="Arial" w:cs="Arial" w:eastAsia="Arial" w:hAnsi="Arial"/>
          <w:sz w:val="17"/>
          <w:szCs w:val="17"/>
          <w:color w:val="auto"/>
        </w:rPr>
        <w:t>” and collectively, “</w:t>
      </w:r>
      <w:r>
        <w:rPr>
          <w:rFonts w:ascii="Arial" w:cs="Arial" w:eastAsia="Arial" w:hAnsi="Arial"/>
          <w:sz w:val="17"/>
          <w:szCs w:val="17"/>
          <w:u w:val="single" w:color="auto"/>
          <w:color w:val="auto"/>
        </w:rPr>
        <w:t>Liens</w:t>
      </w:r>
      <w:r>
        <w:rPr>
          <w:rFonts w:ascii="Arial" w:cs="Arial" w:eastAsia="Arial" w:hAnsi="Arial"/>
          <w:sz w:val="17"/>
          <w:szCs w:val="17"/>
          <w:color w:val="auto"/>
        </w:rPr>
        <w:t>”), except that th e foregoing restrictions shall not apply to:</w:t>
      </w:r>
    </w:p>
    <w:p>
      <w:pPr>
        <w:spacing w:after="0" w:line="171" w:lineRule="exact"/>
        <w:rPr>
          <w:sz w:val="20"/>
          <w:szCs w:val="20"/>
          <w:color w:val="auto"/>
        </w:rPr>
      </w:pPr>
    </w:p>
    <w:p>
      <w:pPr>
        <w:ind w:right="460" w:firstLine="1305"/>
        <w:spacing w:after="0" w:line="342" w:lineRule="auto"/>
        <w:tabs>
          <w:tab w:leader="none" w:pos="1703" w:val="left"/>
        </w:tabs>
        <w:numPr>
          <w:ilvl w:val="0"/>
          <w:numId w:val="76"/>
        </w:numPr>
        <w:rPr>
          <w:rFonts w:ascii="Arial" w:cs="Arial" w:eastAsia="Arial" w:hAnsi="Arial"/>
          <w:sz w:val="16"/>
          <w:szCs w:val="16"/>
          <w:color w:val="auto"/>
        </w:rPr>
      </w:pPr>
      <w:r>
        <w:rPr>
          <w:rFonts w:ascii="Arial" w:cs="Arial" w:eastAsia="Arial" w:hAnsi="Arial"/>
          <w:sz w:val="16"/>
          <w:szCs w:val="16"/>
          <w:color w:val="auto"/>
        </w:rPr>
        <w:t>liens for taxes, assessments and other governmental charges, if payment thereof shall not at the time be required to be made, and provided such reserve as shall be required by generally accepted accounting principles consistently applied shall have been made therefor;</w:t>
      </w:r>
    </w:p>
    <w:p>
      <w:pPr>
        <w:spacing w:after="0" w:line="123" w:lineRule="exact"/>
        <w:rPr>
          <w:rFonts w:ascii="Arial" w:cs="Arial" w:eastAsia="Arial" w:hAnsi="Arial"/>
          <w:sz w:val="16"/>
          <w:szCs w:val="16"/>
          <w:color w:val="auto"/>
        </w:rPr>
      </w:pPr>
    </w:p>
    <w:p>
      <w:pPr>
        <w:ind w:right="100" w:firstLine="1305"/>
        <w:spacing w:after="0" w:line="264" w:lineRule="auto"/>
        <w:tabs>
          <w:tab w:leader="none" w:pos="1713" w:val="left"/>
        </w:tabs>
        <w:numPr>
          <w:ilvl w:val="0"/>
          <w:numId w:val="76"/>
        </w:numPr>
        <w:rPr>
          <w:rFonts w:ascii="Arial" w:cs="Arial" w:eastAsia="Arial" w:hAnsi="Arial"/>
          <w:sz w:val="18"/>
          <w:szCs w:val="18"/>
          <w:color w:val="auto"/>
        </w:rPr>
      </w:pPr>
      <w:r>
        <w:rPr>
          <w:rFonts w:ascii="Arial" w:cs="Arial" w:eastAsia="Arial" w:hAnsi="Arial"/>
          <w:sz w:val="18"/>
          <w:szCs w:val="18"/>
          <w:color w:val="auto"/>
        </w:rPr>
        <w:t>liens of workmen, materialmen, vendors, suppliers, mechanics, carriers, warehouseman and landlords or other like liens, incurred in the ordinary course of business for sums not then due or being contested in good faith, if an adverse decision in which contest would not materially affect the business of the Company;</w:t>
      </w:r>
    </w:p>
    <w:p>
      <w:pPr>
        <w:spacing w:after="0" w:line="181" w:lineRule="exact"/>
        <w:rPr>
          <w:rFonts w:ascii="Arial" w:cs="Arial" w:eastAsia="Arial" w:hAnsi="Arial"/>
          <w:sz w:val="18"/>
          <w:szCs w:val="18"/>
          <w:color w:val="auto"/>
        </w:rPr>
      </w:pPr>
    </w:p>
    <w:p>
      <w:pPr>
        <w:ind w:firstLine="1305"/>
        <w:spacing w:after="0" w:line="277" w:lineRule="auto"/>
        <w:tabs>
          <w:tab w:leader="none" w:pos="1703" w:val="left"/>
        </w:tabs>
        <w:numPr>
          <w:ilvl w:val="0"/>
          <w:numId w:val="76"/>
        </w:numPr>
        <w:rPr>
          <w:rFonts w:ascii="Arial" w:cs="Arial" w:eastAsia="Arial" w:hAnsi="Arial"/>
          <w:sz w:val="18"/>
          <w:szCs w:val="18"/>
          <w:color w:val="auto"/>
        </w:rPr>
      </w:pPr>
      <w:r>
        <w:rPr>
          <w:rFonts w:ascii="Arial" w:cs="Arial" w:eastAsia="Arial" w:hAnsi="Arial"/>
          <w:sz w:val="18"/>
          <w:szCs w:val="18"/>
          <w:color w:val="auto"/>
        </w:rPr>
        <w:t>liens securing indebtedness of the Company or any subsidiaries which is in an aggregate principal amount not exceeding $100,000 and which liens are subordinate to liens on the same assets held by the Purchaser;</w:t>
      </w:r>
    </w:p>
    <w:p>
      <w:pPr>
        <w:spacing w:after="0" w:line="170" w:lineRule="exact"/>
        <w:rPr>
          <w:rFonts w:ascii="Arial" w:cs="Arial" w:eastAsia="Arial" w:hAnsi="Arial"/>
          <w:sz w:val="18"/>
          <w:szCs w:val="18"/>
          <w:color w:val="auto"/>
        </w:rPr>
      </w:pPr>
    </w:p>
    <w:p>
      <w:pPr>
        <w:ind w:right="120" w:firstLine="1305"/>
        <w:spacing w:after="0" w:line="259" w:lineRule="auto"/>
        <w:tabs>
          <w:tab w:leader="none" w:pos="1713" w:val="left"/>
        </w:tabs>
        <w:numPr>
          <w:ilvl w:val="0"/>
          <w:numId w:val="76"/>
        </w:numPr>
        <w:rPr>
          <w:rFonts w:ascii="Arial" w:cs="Arial" w:eastAsia="Arial" w:hAnsi="Arial"/>
          <w:sz w:val="18"/>
          <w:szCs w:val="18"/>
          <w:color w:val="auto"/>
        </w:rPr>
      </w:pPr>
      <w:r>
        <w:rPr>
          <w:rFonts w:ascii="Arial" w:cs="Arial" w:eastAsia="Arial" w:hAnsi="Arial"/>
          <w:sz w:val="18"/>
          <w:szCs w:val="18"/>
          <w:color w:val="auto"/>
        </w:rPr>
        <w:t>statutory liens of landlords, statutory liens of banks and rights of set-off, and other liens imposed by law, in each case incurred in the ordinary course of business (i) for amounts not yet overdue or (ii) for amounts that are overdue and that are being contested in good faith by appropriate proceedings, so long as such reserves or other appropriate provisions, if any, as shall be required by generally accepted accounting principles shall have been made for any such contested amounts;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70" w:name="page71"/>
    <w:bookmarkEnd w:id="70"/>
    <w:p>
      <w:pPr>
        <w:ind w:right="160" w:firstLine="1305"/>
        <w:spacing w:after="0" w:line="259" w:lineRule="auto"/>
        <w:tabs>
          <w:tab w:leader="none" w:pos="1703" w:val="left"/>
        </w:tabs>
        <w:numPr>
          <w:ilvl w:val="1"/>
          <w:numId w:val="77"/>
        </w:numPr>
        <w:rPr>
          <w:rFonts w:ascii="Arial" w:cs="Arial" w:eastAsia="Arial" w:hAnsi="Arial"/>
          <w:sz w:val="18"/>
          <w:szCs w:val="18"/>
          <w:color w:val="auto"/>
        </w:rPr>
      </w:pPr>
      <w:r>
        <w:rPr>
          <w:rFonts w:ascii="Arial" w:cs="Arial" w:eastAsia="Arial" w:hAnsi="Arial"/>
          <w:sz w:val="18"/>
          <w:szCs w:val="18"/>
          <w:color w:val="auto"/>
        </w:rPr>
        <w:t>liens incurred or deposits made in the ordinary course of business in connection with workers’ compensation, unemployment insurance and other types of social security, or to secure the performance of tenders, statutory obligations, surety and appeal bonds, bids, leases, government contracts, trade contracts, performance and return-of-money bonds and other similar obligations (exclusive of obligations for the payment of borrowed money);</w:t>
      </w:r>
    </w:p>
    <w:p>
      <w:pPr>
        <w:spacing w:after="0" w:line="186" w:lineRule="exact"/>
        <w:rPr>
          <w:rFonts w:ascii="Arial" w:cs="Arial" w:eastAsia="Arial" w:hAnsi="Arial"/>
          <w:sz w:val="18"/>
          <w:szCs w:val="18"/>
          <w:color w:val="auto"/>
        </w:rPr>
      </w:pPr>
    </w:p>
    <w:p>
      <w:pPr>
        <w:ind w:left="1700" w:hanging="395"/>
        <w:spacing w:after="0"/>
        <w:tabs>
          <w:tab w:leader="none" w:pos="17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attachment or judgment lien not constituting an Event of Default (as defined below);</w:t>
      </w:r>
    </w:p>
    <w:p>
      <w:pPr>
        <w:spacing w:after="0" w:line="225" w:lineRule="exact"/>
        <w:rPr>
          <w:rFonts w:ascii="Arial" w:cs="Arial" w:eastAsia="Arial" w:hAnsi="Arial"/>
          <w:sz w:val="18"/>
          <w:szCs w:val="18"/>
          <w:color w:val="auto"/>
        </w:rPr>
      </w:pPr>
    </w:p>
    <w:p>
      <w:pPr>
        <w:ind w:right="120" w:firstLine="1305"/>
        <w:spacing w:after="0" w:line="277" w:lineRule="auto"/>
        <w:tabs>
          <w:tab w:leader="none" w:pos="1713" w:val="left"/>
        </w:tabs>
        <w:numPr>
          <w:ilvl w:val="1"/>
          <w:numId w:val="77"/>
        </w:numPr>
        <w:rPr>
          <w:rFonts w:ascii="Arial" w:cs="Arial" w:eastAsia="Arial" w:hAnsi="Arial"/>
          <w:sz w:val="18"/>
          <w:szCs w:val="18"/>
          <w:color w:val="auto"/>
        </w:rPr>
      </w:pPr>
      <w:r>
        <w:rPr>
          <w:rFonts w:ascii="Arial" w:cs="Arial" w:eastAsia="Arial" w:hAnsi="Arial"/>
          <w:sz w:val="18"/>
          <w:szCs w:val="18"/>
          <w:color w:val="auto"/>
        </w:rPr>
        <w:t>easements, rights-of-way, restrictions, encroachments, and other minor defects or irregularities in title, in each case which do not and will not interfere in any material respect with the ordinary conduct of the business of the Company or any of its subsidiaries;</w:t>
      </w:r>
    </w:p>
    <w:p>
      <w:pPr>
        <w:spacing w:after="0" w:line="170" w:lineRule="exact"/>
        <w:rPr>
          <w:rFonts w:ascii="Arial" w:cs="Arial" w:eastAsia="Arial" w:hAnsi="Arial"/>
          <w:sz w:val="18"/>
          <w:szCs w:val="18"/>
          <w:color w:val="auto"/>
        </w:rPr>
      </w:pPr>
    </w:p>
    <w:p>
      <w:pPr>
        <w:ind w:left="1720" w:hanging="415"/>
        <w:spacing w:after="0"/>
        <w:tabs>
          <w:tab w:leader="none" w:pos="1720" w:val="left"/>
        </w:tabs>
        <w:numPr>
          <w:ilvl w:val="1"/>
          <w:numId w:val="77"/>
        </w:numPr>
        <w:rPr>
          <w:rFonts w:ascii="Arial" w:cs="Arial" w:eastAsia="Arial" w:hAnsi="Arial"/>
          <w:sz w:val="17"/>
          <w:szCs w:val="17"/>
          <w:color w:val="auto"/>
        </w:rPr>
      </w:pPr>
      <w:r>
        <w:rPr>
          <w:rFonts w:ascii="Arial" w:cs="Arial" w:eastAsia="Arial" w:hAnsi="Arial"/>
          <w:sz w:val="17"/>
          <w:szCs w:val="17"/>
          <w:color w:val="auto"/>
        </w:rPr>
        <w:t>any (i) interest or title of a lessor or sublessor under any lease, including liens relating to Indebtedness identified in Section 8.4(f),</w:t>
      </w:r>
    </w:p>
    <w:p>
      <w:pPr>
        <w:spacing w:after="0" w:line="34" w:lineRule="exact"/>
        <w:rPr>
          <w:rFonts w:ascii="Arial" w:cs="Arial" w:eastAsia="Arial" w:hAnsi="Arial"/>
          <w:sz w:val="17"/>
          <w:szCs w:val="17"/>
          <w:color w:val="auto"/>
        </w:rPr>
      </w:pPr>
    </w:p>
    <w:p>
      <w:pPr>
        <w:ind w:right="140" w:firstLine="8"/>
        <w:spacing w:after="0" w:line="255" w:lineRule="auto"/>
        <w:tabs>
          <w:tab w:leader="none" w:pos="265"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restriction or encumbrance that the interest or title of such lessor or sublessor may be subject to, or (iii) subordination of the interest of the lessee or sublessee under such lease to any restriction or encumbrance referred to in the preceding clause (ii), so long as the holder of such restriction or encumbrance agrees to recognize the rights of such lessee or sublessee under such lease;</w:t>
      </w:r>
    </w:p>
    <w:p>
      <w:pPr>
        <w:spacing w:after="0" w:line="190" w:lineRule="exact"/>
        <w:rPr>
          <w:rFonts w:ascii="Arial" w:cs="Arial" w:eastAsia="Arial" w:hAnsi="Arial"/>
          <w:sz w:val="18"/>
          <w:szCs w:val="18"/>
          <w:color w:val="auto"/>
        </w:rPr>
      </w:pPr>
    </w:p>
    <w:p>
      <w:pPr>
        <w:ind w:left="1680" w:hanging="375"/>
        <w:spacing w:after="0"/>
        <w:tabs>
          <w:tab w:leader="none" w:pos="1680" w:val="left"/>
        </w:tabs>
        <w:numPr>
          <w:ilvl w:val="1"/>
          <w:numId w:val="78"/>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arising as a matter of law to secure payment of customs duties in connection with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importation of goods;</w:t>
      </w:r>
    </w:p>
    <w:p>
      <w:pPr>
        <w:spacing w:after="0" w:line="210" w:lineRule="exact"/>
        <w:rPr>
          <w:rFonts w:ascii="Arial" w:cs="Arial" w:eastAsia="Arial" w:hAnsi="Arial"/>
          <w:sz w:val="16"/>
          <w:szCs w:val="16"/>
          <w:color w:val="auto"/>
        </w:rPr>
      </w:pPr>
    </w:p>
    <w:p>
      <w:pPr>
        <w:ind w:left="1680" w:hanging="375"/>
        <w:spacing w:after="0"/>
        <w:tabs>
          <w:tab w:leader="none" w:pos="1680" w:val="left"/>
        </w:tabs>
        <w:numPr>
          <w:ilvl w:val="1"/>
          <w:numId w:val="78"/>
        </w:numPr>
        <w:rPr>
          <w:rFonts w:ascii="Arial" w:cs="Arial" w:eastAsia="Arial" w:hAnsi="Arial"/>
          <w:sz w:val="16"/>
          <w:szCs w:val="16"/>
          <w:color w:val="auto"/>
        </w:rPr>
      </w:pPr>
      <w:r>
        <w:rPr>
          <w:rFonts w:ascii="Arial" w:cs="Arial" w:eastAsia="Arial" w:hAnsi="Arial"/>
          <w:sz w:val="16"/>
          <w:szCs w:val="16"/>
          <w:color w:val="auto"/>
        </w:rPr>
        <w:t>any zoning or similar law or right reserved to or vested in any governmental office or agency to control or regulate the use of any real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property;</w:t>
      </w:r>
    </w:p>
    <w:p>
      <w:pPr>
        <w:spacing w:after="0" w:line="210" w:lineRule="exact"/>
        <w:rPr>
          <w:rFonts w:ascii="Arial" w:cs="Arial" w:eastAsia="Arial" w:hAnsi="Arial"/>
          <w:sz w:val="16"/>
          <w:szCs w:val="16"/>
          <w:color w:val="auto"/>
        </w:rPr>
      </w:pPr>
    </w:p>
    <w:p>
      <w:pPr>
        <w:ind w:right="420" w:firstLine="1305"/>
        <w:spacing w:after="0" w:line="277" w:lineRule="auto"/>
        <w:tabs>
          <w:tab w:leader="none" w:pos="1713" w:val="left"/>
        </w:tabs>
        <w:numPr>
          <w:ilvl w:val="1"/>
          <w:numId w:val="78"/>
        </w:numPr>
        <w:rPr>
          <w:rFonts w:ascii="Arial" w:cs="Arial" w:eastAsia="Arial" w:hAnsi="Arial"/>
          <w:sz w:val="18"/>
          <w:szCs w:val="18"/>
          <w:color w:val="auto"/>
        </w:rPr>
      </w:pPr>
      <w:r>
        <w:rPr>
          <w:rFonts w:ascii="Arial" w:cs="Arial" w:eastAsia="Arial" w:hAnsi="Arial"/>
          <w:sz w:val="18"/>
          <w:szCs w:val="18"/>
          <w:color w:val="auto"/>
        </w:rPr>
        <w:t>liens securing obligations (other than obligations representing debt for borrowed money) under operating, reciprocal easement or similar agreements entered into in the ordinary course of business of the Company and its subsidiaries; and</w:t>
      </w:r>
    </w:p>
    <w:p>
      <w:pPr>
        <w:spacing w:after="0" w:line="170" w:lineRule="exact"/>
        <w:rPr>
          <w:rFonts w:ascii="Arial" w:cs="Arial" w:eastAsia="Arial" w:hAnsi="Arial"/>
          <w:sz w:val="18"/>
          <w:szCs w:val="18"/>
          <w:color w:val="auto"/>
        </w:rPr>
      </w:pPr>
    </w:p>
    <w:p>
      <w:pPr>
        <w:ind w:right="380" w:firstLine="1305"/>
        <w:spacing w:after="0" w:line="342" w:lineRule="auto"/>
        <w:tabs>
          <w:tab w:leader="none" w:pos="1673"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replacement, extension or renewal of any lien permitted by this Section upon or in the same property theretofore subject or the replacement, extension or renewal (without increase in the amount or change in any direct or contingent obligor) of the indebtedness secured thereby.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All of the Foregoing Liens described in subsections (a) – (l) above shall be referred to as “</w:t>
      </w:r>
      <w:r>
        <w:rPr>
          <w:rFonts w:ascii="Arial" w:cs="Arial" w:eastAsia="Arial" w:hAnsi="Arial"/>
          <w:sz w:val="18"/>
          <w:szCs w:val="18"/>
          <w:u w:val="single" w:color="auto"/>
          <w:color w:val="auto"/>
        </w:rPr>
        <w:t>Permitted Liens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Indebtedness</w:t>
      </w:r>
      <w:r>
        <w:rPr>
          <w:rFonts w:ascii="Arial" w:cs="Arial" w:eastAsia="Arial" w:hAnsi="Arial"/>
          <w:sz w:val="18"/>
          <w:szCs w:val="18"/>
          <w:color w:val="auto"/>
        </w:rPr>
        <w:t>. Create, incur, assume, suffer, permit to exist, or guarantee, directly or indirectly, any Indebtedness, excluding, however, from the operation of this covenant:</w:t>
      </w:r>
    </w:p>
    <w:p>
      <w:pPr>
        <w:spacing w:after="0" w:line="170" w:lineRule="exact"/>
        <w:rPr>
          <w:sz w:val="20"/>
          <w:szCs w:val="20"/>
          <w:color w:val="auto"/>
        </w:rPr>
      </w:pPr>
    </w:p>
    <w:p>
      <w:pPr>
        <w:ind w:left="1720" w:hanging="415"/>
        <w:spacing w:after="0"/>
        <w:tabs>
          <w:tab w:leader="none" w:pos="1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Indebtedness to the extent existing on the date hereof or any replacement Indebtedness to existing Indebtedness;</w:t>
      </w:r>
    </w:p>
    <w:p>
      <w:pPr>
        <w:spacing w:after="0" w:line="225" w:lineRule="exact"/>
        <w:rPr>
          <w:rFonts w:ascii="Arial" w:cs="Arial" w:eastAsia="Arial" w:hAnsi="Arial"/>
          <w:sz w:val="18"/>
          <w:szCs w:val="18"/>
          <w:color w:val="auto"/>
        </w:rPr>
      </w:pPr>
    </w:p>
    <w:p>
      <w:pPr>
        <w:ind w:left="1720" w:hanging="415"/>
        <w:spacing w:after="0"/>
        <w:tabs>
          <w:tab w:leader="none" w:pos="17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Indebtedness which may, from time to time be incurred or guaranteed by the Company which in the aggregate principal amount does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 exceed $500,000;</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1" w:name="page72"/>
    <w:bookmarkEnd w:id="71"/>
    <w:p>
      <w:pPr>
        <w:ind w:left="1720" w:hanging="415"/>
        <w:spacing w:after="0"/>
        <w:tabs>
          <w:tab w:leader="none" w:pos="1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endorsement of instruments for the purpose of deposit or collection in the ordinary course of business;</w:t>
      </w:r>
    </w:p>
    <w:p>
      <w:pPr>
        <w:spacing w:after="0" w:line="225" w:lineRule="exact"/>
        <w:rPr>
          <w:rFonts w:ascii="Arial" w:cs="Arial" w:eastAsia="Arial" w:hAnsi="Arial"/>
          <w:sz w:val="18"/>
          <w:szCs w:val="18"/>
          <w:color w:val="auto"/>
        </w:rPr>
      </w:pPr>
    </w:p>
    <w:p>
      <w:pPr>
        <w:ind w:firstLine="1305"/>
        <w:spacing w:after="0" w:line="277" w:lineRule="auto"/>
        <w:tabs>
          <w:tab w:leader="none" w:pos="1713"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Indebtedness relating to contingent obligations of the Company and its subsidiaries under guaranties in the ordinary course of business of the obligations of suppliers, customers, and licensees of the Company and its subsidiaries;</w:t>
      </w:r>
    </w:p>
    <w:p>
      <w:pPr>
        <w:spacing w:after="0" w:line="170" w:lineRule="exact"/>
        <w:rPr>
          <w:rFonts w:ascii="Arial" w:cs="Arial" w:eastAsia="Arial" w:hAnsi="Arial"/>
          <w:sz w:val="18"/>
          <w:szCs w:val="18"/>
          <w:color w:val="auto"/>
        </w:rPr>
      </w:pPr>
    </w:p>
    <w:p>
      <w:pPr>
        <w:ind w:left="1720" w:hanging="415"/>
        <w:spacing w:after="0"/>
        <w:tabs>
          <w:tab w:leader="none" w:pos="1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Indebtedness relating to loans from the Company to its subsidiaries;</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Indebtedness relating to capital leases in an amount not to exceed $500,000;</w:t>
      </w:r>
    </w:p>
    <w:p>
      <w:pPr>
        <w:spacing w:after="0" w:line="225" w:lineRule="exact"/>
        <w:rPr>
          <w:rFonts w:ascii="Arial" w:cs="Arial" w:eastAsia="Arial" w:hAnsi="Arial"/>
          <w:sz w:val="18"/>
          <w:szCs w:val="18"/>
          <w:color w:val="auto"/>
        </w:rPr>
      </w:pPr>
    </w:p>
    <w:p>
      <w:pPr>
        <w:ind w:firstLine="1305"/>
        <w:spacing w:after="0" w:line="277" w:lineRule="auto"/>
        <w:tabs>
          <w:tab w:leader="none" w:pos="1713" w:val="left"/>
        </w:tabs>
        <w:numPr>
          <w:ilvl w:val="0"/>
          <w:numId w:val="80"/>
        </w:numPr>
        <w:rPr>
          <w:rFonts w:ascii="Arial" w:cs="Arial" w:eastAsia="Arial" w:hAnsi="Arial"/>
          <w:sz w:val="18"/>
          <w:szCs w:val="18"/>
          <w:color w:val="auto"/>
        </w:rPr>
      </w:pPr>
      <w:r>
        <w:rPr>
          <w:rFonts w:ascii="Arial" w:cs="Arial" w:eastAsia="Arial" w:hAnsi="Arial"/>
          <w:sz w:val="18"/>
          <w:szCs w:val="18"/>
          <w:color w:val="auto"/>
        </w:rPr>
        <w:t>accounts or notes payable arising out of the purchase of merchandise, supplies, equipment, software, computer programs or services in the ordinary course of business;</w:t>
      </w:r>
    </w:p>
    <w:p>
      <w:pPr>
        <w:spacing w:after="0" w:line="170" w:lineRule="exact"/>
        <w:rPr>
          <w:rFonts w:ascii="Arial" w:cs="Arial" w:eastAsia="Arial" w:hAnsi="Arial"/>
          <w:sz w:val="18"/>
          <w:szCs w:val="18"/>
          <w:color w:val="auto"/>
        </w:rPr>
      </w:pPr>
    </w:p>
    <w:p>
      <w:pPr>
        <w:ind w:right="620" w:firstLine="1305"/>
        <w:spacing w:after="0" w:line="277" w:lineRule="auto"/>
        <w:tabs>
          <w:tab w:leader="none" w:pos="1713"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Common Stock issued or issuable to financial institutions, or lessors, pursuant to a commercial credit arrangement, equipment financing transaction, accounts receivable factoring, or a similar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foregoing Indebtedness described in subsections (a) – (h) above shall be referred to as “</w:t>
      </w:r>
      <w:r>
        <w:rPr>
          <w:rFonts w:ascii="Arial" w:cs="Arial" w:eastAsia="Arial" w:hAnsi="Arial"/>
          <w:sz w:val="18"/>
          <w:szCs w:val="18"/>
          <w:u w:val="single" w:color="auto"/>
          <w:color w:val="auto"/>
        </w:rPr>
        <w:t>Permitted Indebtedness</w:t>
      </w:r>
      <w:r>
        <w:rPr>
          <w:rFonts w:ascii="Arial" w:cs="Arial" w:eastAsia="Arial" w:hAnsi="Arial"/>
          <w:sz w:val="18"/>
          <w:szCs w:val="18"/>
          <w:color w:val="auto"/>
        </w:rPr>
        <w:t>”.</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Capital Stock</w:t>
      </w:r>
      <w:r>
        <w:rPr>
          <w:rFonts w:ascii="Arial" w:cs="Arial" w:eastAsia="Arial" w:hAnsi="Arial"/>
          <w:sz w:val="18"/>
          <w:szCs w:val="18"/>
          <w:color w:val="auto"/>
        </w:rPr>
        <w:t xml:space="preserve">. Except for issuances to the Purchaser and issuances required by securities issued and outstanding on the date hereof, issue any security that is senior to or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B Preferred Stock, whether with respect to right of payment of redemptions, interest, damages or upon liquidation or dissolution or otherwise.</w:t>
      </w:r>
    </w:p>
    <w:p>
      <w:pPr>
        <w:spacing w:after="0" w:line="18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Liquidation or Sale</w:t>
      </w:r>
      <w:r>
        <w:rPr>
          <w:rFonts w:ascii="Arial" w:cs="Arial" w:eastAsia="Arial" w:hAnsi="Arial"/>
          <w:sz w:val="18"/>
          <w:szCs w:val="18"/>
          <w:color w:val="auto"/>
        </w:rPr>
        <w:t>. Sell, transfer, lease or otherwise dispose of 20% or more of its consolidated assets (as shown on the most recent financial statements of the Company or the subsidiary, as the case may be) in any single transaction or series of related transactions (other than the sale of inventory in the ordinary course of business), or liquidate, dissolve, recapitalize or reorganize in any form of transaction.</w:t>
      </w:r>
    </w:p>
    <w:p>
      <w:pPr>
        <w:spacing w:after="0" w:line="18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Change of Control Transaction</w:t>
      </w:r>
      <w:r>
        <w:rPr>
          <w:rFonts w:ascii="Arial" w:cs="Arial" w:eastAsia="Arial" w:hAnsi="Arial"/>
          <w:sz w:val="16"/>
          <w:szCs w:val="16"/>
          <w:color w:val="auto"/>
        </w:rPr>
        <w:t>. Enter into a Change in Control Transaction. For purposes of this Agreement, “</w:t>
      </w:r>
      <w:r>
        <w:rPr>
          <w:rFonts w:ascii="Arial" w:cs="Arial" w:eastAsia="Arial" w:hAnsi="Arial"/>
          <w:sz w:val="16"/>
          <w:szCs w:val="16"/>
          <w:u w:val="single" w:color="auto"/>
          <w:color w:val="auto"/>
        </w:rPr>
        <w:t>Change in Control Transaction</w:t>
      </w:r>
      <w:r>
        <w:rPr>
          <w:rFonts w:ascii="Arial" w:cs="Arial" w:eastAsia="Arial" w:hAnsi="Arial"/>
          <w:sz w:val="16"/>
          <w:szCs w:val="16"/>
          <w:color w:val="auto"/>
        </w:rPr>
        <w:t>” means the occurrence of (a) an acquisition by an individual or legal entity or “group” (as described in Rule 13d-5(b)(1) promulgated under the Exchange Act) of effective control (whether through legal or beneficial ownership of capital stock of the Company, by contract or otherwise) of in excess of fifty percent (50%) of the voting securities of the Company, (b) a replacement at one time or over time of more than one-half of the members of the Board of the Company which is not approved by a majority of those individuals who are members of the Board on the date hereof (or by those individuals who are serving as members of the Board on any date whose nomination to the Board was approved by a majority of the members of the Board who are members on the date hereof), (c) the merger or consolidation of the Company or any subsidiary of the Company in one or a series of related transactions with or into another entity (except in connection with a merger involving the Company solely for the purpose, and with the sole effect, of reorganizing the Company under the laws of another jurisdiction; provided that the certificate of incorporation and bylaws (or similar charter or organizational documents) of the surviving entity are substantively identical to those of the Company and do not otherwise adversely impair the rights of the Purchaser), or (d) the execution by the Company of an agreement to which the Company is a party or by which it is bound, providing for any of the events set forth above in (a), (b) or (c).</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2" w:name="page73"/>
    <w:bookmarkEnd w:id="72"/>
    <w:p>
      <w:pPr>
        <w:ind w:left="660"/>
        <w:spacing w:after="0"/>
        <w:tabs>
          <w:tab w:leader="none" w:pos="106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u w:val="single" w:color="auto"/>
          <w:color w:val="auto"/>
        </w:rPr>
        <w:t>Board Changes; Amendment of Charter Documents</w:t>
      </w:r>
      <w:r>
        <w:rPr>
          <w:rFonts w:ascii="Arial" w:cs="Arial" w:eastAsia="Arial" w:hAnsi="Arial"/>
          <w:sz w:val="16"/>
          <w:szCs w:val="16"/>
          <w:color w:val="auto"/>
        </w:rPr>
        <w:t>.</w:t>
      </w:r>
    </w:p>
    <w:p>
      <w:pPr>
        <w:spacing w:after="0" w:line="225" w:lineRule="exact"/>
        <w:rPr>
          <w:sz w:val="20"/>
          <w:szCs w:val="20"/>
          <w:color w:val="auto"/>
        </w:rPr>
      </w:pPr>
    </w:p>
    <w:p>
      <w:pPr>
        <w:ind w:left="1720" w:hanging="415"/>
        <w:spacing w:after="0"/>
        <w:tabs>
          <w:tab w:leader="none" w:pos="1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Expand the size of the Board of Directors, except as may be required hereunder; or</w:t>
      </w:r>
    </w:p>
    <w:p>
      <w:pPr>
        <w:spacing w:after="0" w:line="225" w:lineRule="exact"/>
        <w:rPr>
          <w:rFonts w:ascii="Arial" w:cs="Arial" w:eastAsia="Arial" w:hAnsi="Arial"/>
          <w:sz w:val="18"/>
          <w:szCs w:val="18"/>
          <w:color w:val="auto"/>
        </w:rPr>
      </w:pPr>
    </w:p>
    <w:p>
      <w:pPr>
        <w:ind w:right="80" w:firstLine="1305"/>
        <w:spacing w:after="0" w:line="277" w:lineRule="auto"/>
        <w:tabs>
          <w:tab w:leader="none" w:pos="1713"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Amend or waive any provision of its Articles of Incorporation or Bylaws in any way that materially adversely affects the rights of the Purchaser without the prior written consent of the Purchaser.</w:t>
      </w:r>
    </w:p>
    <w:p>
      <w:pPr>
        <w:spacing w:after="0" w:line="17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w:t>
      </w:r>
    </w:p>
    <w:p>
      <w:pPr>
        <w:spacing w:after="0" w:line="225" w:lineRule="exact"/>
        <w:rPr>
          <w:sz w:val="20"/>
          <w:szCs w:val="20"/>
          <w:color w:val="auto"/>
        </w:rPr>
      </w:pPr>
    </w:p>
    <w:p>
      <w:pPr>
        <w:ind w:right="180" w:firstLine="1305"/>
        <w:spacing w:after="0" w:line="277" w:lineRule="auto"/>
        <w:tabs>
          <w:tab w:leader="none" w:pos="1703"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Engage in any transaction with any of the officers, directors, employees or affiliates of the Company or of its subsidiaries, except on terms no less favorable to the Company or the subsidiary as could be obtained in an arm’s length transaction.</w:t>
      </w:r>
    </w:p>
    <w:p>
      <w:pPr>
        <w:spacing w:after="0" w:line="170" w:lineRule="exact"/>
        <w:rPr>
          <w:rFonts w:ascii="Arial" w:cs="Arial" w:eastAsia="Arial" w:hAnsi="Arial"/>
          <w:sz w:val="18"/>
          <w:szCs w:val="18"/>
          <w:color w:val="auto"/>
        </w:rPr>
      </w:pPr>
    </w:p>
    <w:p>
      <w:pPr>
        <w:ind w:left="1720" w:hanging="415"/>
        <w:spacing w:after="0"/>
        <w:tabs>
          <w:tab w:leader="none" w:pos="17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Divert (or permit anyone to divert) any business or opportunity of the Company or subsidiary to any other corporate or business entity.</w:t>
      </w:r>
    </w:p>
    <w:p>
      <w:pPr>
        <w:spacing w:after="0" w:line="248"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u w:val="single" w:color="auto"/>
          <w:color w:val="auto"/>
        </w:rPr>
        <w:t>Registration Statements</w:t>
      </w:r>
      <w:r>
        <w:rPr>
          <w:rFonts w:ascii="Arial" w:cs="Arial" w:eastAsia="Arial" w:hAnsi="Arial"/>
          <w:sz w:val="16"/>
          <w:szCs w:val="16"/>
          <w:color w:val="auto"/>
        </w:rPr>
        <w:t>. File any registration statement with the Commission until the earlier of: (i) 60 Trading Days following the date that a registration statement or registration statements registering all the Conversion Shares, Warrant Shares and other Registrable Securities is declared effective by the Commission; and (ii) the date the Conversion Shares and Warrant Shares are saleable by Purchaser under Rule 144 under the Securities Act without limitation as to volume or manner of sale; provided that this Section shall not prohibit the Company from filing a registration statement on Form S-4 or other applicable form for securities to be issued in connection with acquisitions of businesses by the Company or its subsidiaries, or post effective amendments to registration statements that were declared effective prior to the date hereof or to a registration statement filed with the Commission on Forms S-4 or S-8.</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EVENTS OF DEFAULT</w:t>
      </w:r>
    </w:p>
    <w:p>
      <w:pPr>
        <w:spacing w:after="0" w:line="21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and continuance of any of the following events shall constitute an event of default under this Agreement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and, collectively,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170" w:lineRule="exact"/>
        <w:rPr>
          <w:sz w:val="20"/>
          <w:szCs w:val="20"/>
          <w:color w:val="auto"/>
        </w:rPr>
      </w:pPr>
    </w:p>
    <w:p>
      <w:pPr>
        <w:jc w:val="both"/>
        <w:ind w:firstLine="1305"/>
        <w:spacing w:after="0" w:line="264" w:lineRule="auto"/>
        <w:tabs>
          <w:tab w:leader="none" w:pos="1703"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the Company shall default in the payment of any dividend on or redemption of any Preferred Share when the same shall become due and payable; and in each case such default shall have continued without cure for five (5) Trading Days after written notice (a “</w:t>
      </w:r>
      <w:r>
        <w:rPr>
          <w:rFonts w:ascii="Arial" w:cs="Arial" w:eastAsia="Arial" w:hAnsi="Arial"/>
          <w:sz w:val="18"/>
          <w:szCs w:val="18"/>
          <w:u w:val="single" w:color="auto"/>
          <w:color w:val="auto"/>
        </w:rPr>
        <w:t>Default Notice</w:t>
      </w:r>
      <w:r>
        <w:rPr>
          <w:rFonts w:ascii="Arial" w:cs="Arial" w:eastAsia="Arial" w:hAnsi="Arial"/>
          <w:sz w:val="18"/>
          <w:szCs w:val="18"/>
          <w:color w:val="auto"/>
        </w:rPr>
        <w:t>”) is given to the Company of such default;</w:t>
      </w:r>
    </w:p>
    <w:p>
      <w:pPr>
        <w:spacing w:after="0" w:line="181" w:lineRule="exact"/>
        <w:rPr>
          <w:rFonts w:ascii="Arial" w:cs="Arial" w:eastAsia="Arial" w:hAnsi="Arial"/>
          <w:sz w:val="18"/>
          <w:szCs w:val="18"/>
          <w:color w:val="auto"/>
        </w:rPr>
      </w:pPr>
    </w:p>
    <w:p>
      <w:pPr>
        <w:ind w:right="60" w:firstLine="1305"/>
        <w:spacing w:after="0" w:line="257" w:lineRule="auto"/>
        <w:tabs>
          <w:tab w:leader="none" w:pos="1713"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subject to any grace periods and the ability of the Company to delay the effectiveness of the Registration Statement pursuant the Registration Rights Agreement, any registration statement (each a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providing for the resale of Conversion Shares and Warrant Shares is not declared effective by the Commission on or prior to the date which is thirty (30) days after the date required therefor by the Registration Rights Agreement, unless the failure of such Registration Statement to become effective results from the Commission’s refusal to grant effectiveness by reason of its application of Rule 415 under the Securities Act;</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3" w:name="page74"/>
    <w:bookmarkEnd w:id="73"/>
    <w:p>
      <w:pPr>
        <w:ind w:left="-20" w:right="120" w:firstLine="1305"/>
        <w:spacing w:after="0" w:line="281" w:lineRule="auto"/>
        <w:tabs>
          <w:tab w:leader="none" w:pos="1683"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suspension from listing, without subsequent listing on any one of, or the failure of the Common Stock to be listed or quoted on at least one of the following: the OTC Bulletin Board or Pink Sheets Market, the American Stock Exchange, the Nasdaq Global Market, the Nasdaq Capital Market or The New York Stock Exchange, Inc. for a period of ten (10) consecutive Trading Days and such suspension from listing (or listing on an alternate exchange or quotation system) is not cured within ten (10) days after the tenth (10</w:t>
      </w:r>
      <w:r>
        <w:rPr>
          <w:rFonts w:ascii="Arial" w:cs="Arial" w:eastAsia="Arial" w:hAnsi="Arial"/>
          <w:sz w:val="24"/>
          <w:szCs w:val="24"/>
          <w:color w:val="auto"/>
          <w:vertAlign w:val="superscript"/>
        </w:rPr>
        <w:t>th</w:t>
      </w:r>
      <w:r>
        <w:rPr>
          <w:rFonts w:ascii="Arial" w:cs="Arial" w:eastAsia="Arial" w:hAnsi="Arial"/>
          <w:sz w:val="17"/>
          <w:szCs w:val="17"/>
          <w:color w:val="auto"/>
        </w:rPr>
        <w:t>) consecutive day of such suspension from listing;</w:t>
      </w:r>
    </w:p>
    <w:p>
      <w:pPr>
        <w:spacing w:after="0" w:line="70" w:lineRule="exact"/>
        <w:rPr>
          <w:rFonts w:ascii="Arial" w:cs="Arial" w:eastAsia="Arial" w:hAnsi="Arial"/>
          <w:sz w:val="17"/>
          <w:szCs w:val="17"/>
          <w:color w:val="auto"/>
        </w:rPr>
      </w:pPr>
    </w:p>
    <w:p>
      <w:pPr>
        <w:ind w:left="-20" w:right="40" w:firstLine="1305"/>
        <w:spacing w:after="0" w:line="255" w:lineRule="auto"/>
        <w:tabs>
          <w:tab w:leader="none" w:pos="1693"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shall fail to (i) timely deliver the shares of Common Stock upon conversion of the Preferred Shares or exercise of a Warrant by the tenth (10th) Trading Day after the date of delivery required therefor or otherwise in accordance with the provisions of the Transaction Documents, (ii) file a Registration Statement in accordance with the terms of the Registration Rights Agreement, or (iii) make the payment of any fees and/or liquidated damages under this Agreement or any Transaction Document, which failure in the case of items (i) and (iii) of this Section is not remedied within ten (10) Trading Days after the incurrence thereof and, solely with respect to item (iii) above, ten (10) Trading Days after the Purchaser deliv ers a Default Notice to the Company of the incurrence thereof;</w:t>
      </w:r>
    </w:p>
    <w:p>
      <w:pPr>
        <w:spacing w:after="0" w:line="193" w:lineRule="exact"/>
        <w:rPr>
          <w:rFonts w:ascii="Arial" w:cs="Arial" w:eastAsia="Arial" w:hAnsi="Arial"/>
          <w:sz w:val="18"/>
          <w:szCs w:val="18"/>
          <w:color w:val="auto"/>
        </w:rPr>
      </w:pPr>
    </w:p>
    <w:p>
      <w:pPr>
        <w:ind w:left="-20" w:right="20" w:firstLine="1305"/>
        <w:spacing w:after="0" w:line="257" w:lineRule="auto"/>
        <w:tabs>
          <w:tab w:leader="none" w:pos="1683"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while a Registration Statement is required to be maintained effective pursuant to the terms of the Registration Rights Agreement, the effectiveness of the Registration Statement lapses for any reason (including, without limitation, the issuance of a stop order) or is unavailable to the Purchaser for sale of the Registrable Securities (as defined in the Registration Rights Agreement) in accordance with the terms of the Registration Rights Agreement, and such lapse or unavailability continues for a period of ten (10) consecutive Trading Days, provided that the Company has not exercised its rights pursuant to Section 3(n) of the Registration Rights Agreement;</w:t>
      </w:r>
    </w:p>
    <w:p>
      <w:pPr>
        <w:spacing w:after="0" w:line="188" w:lineRule="exact"/>
        <w:rPr>
          <w:rFonts w:ascii="Arial" w:cs="Arial" w:eastAsia="Arial" w:hAnsi="Arial"/>
          <w:sz w:val="18"/>
          <w:szCs w:val="18"/>
          <w:color w:val="auto"/>
        </w:rPr>
      </w:pPr>
    </w:p>
    <w:p>
      <w:pPr>
        <w:ind w:left="-20" w:firstLine="1305"/>
        <w:spacing w:after="0" w:line="264" w:lineRule="auto"/>
        <w:tabs>
          <w:tab w:leader="none" w:pos="1663"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Company’s notice to the Holder, including by way of public announcement, at any time, of its inability to comply for any reason or its intention not to comply with proper requests for issuance of, or its failure to timely deliver, Conversion Shares upon conversion of Preferred Shares or Warrant Shares upon exercise of the Warrant;</w:t>
      </w:r>
    </w:p>
    <w:p>
      <w:pPr>
        <w:spacing w:after="0" w:line="181" w:lineRule="exact"/>
        <w:rPr>
          <w:rFonts w:ascii="Arial" w:cs="Arial" w:eastAsia="Arial" w:hAnsi="Arial"/>
          <w:sz w:val="18"/>
          <w:szCs w:val="18"/>
          <w:color w:val="auto"/>
        </w:rPr>
      </w:pPr>
    </w:p>
    <w:p>
      <w:pPr>
        <w:ind w:left="-20" w:firstLine="1305"/>
        <w:spacing w:after="0" w:line="286" w:lineRule="auto"/>
        <w:tabs>
          <w:tab w:leader="none" w:pos="1693"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the Company or any subsidiary shall default in the performance of any of the covenants contained this Agreement or the Transaction Documents and (i) such default shall have continued without cure for ten (10) Trading Days after a Default Notice is given to the Company or (ii) such default shall have materially adversely affected the Purchaser regardless of any action taken by the Company to cure such default;</w:t>
      </w:r>
    </w:p>
    <w:p>
      <w:pPr>
        <w:spacing w:after="0" w:line="165" w:lineRule="exact"/>
        <w:rPr>
          <w:rFonts w:ascii="Arial" w:cs="Arial" w:eastAsia="Arial" w:hAnsi="Arial"/>
          <w:sz w:val="17"/>
          <w:szCs w:val="17"/>
          <w:color w:val="auto"/>
        </w:rPr>
      </w:pPr>
    </w:p>
    <w:p>
      <w:pPr>
        <w:ind w:left="-20" w:right="100" w:firstLine="1305"/>
        <w:spacing w:after="0" w:line="264" w:lineRule="auto"/>
        <w:tabs>
          <w:tab w:leader="none" w:pos="1693"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any of the Company or its subsidiaries shall default in the observance or performance of any term or provision of a material agreement to which it is a party or by which it is bound, which default will have or could reasonably be expected to have a Material Adverse Effect and such default is not waived or cured within the applicable grace period provided for in such agreement;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490" w:right="259" w:bottom="1440" w:gutter="0" w:footer="0" w:header="0"/>
        </w:sectPr>
      </w:pPr>
    </w:p>
    <w:bookmarkStart w:id="74" w:name="page75"/>
    <w:bookmarkEnd w:id="74"/>
    <w:p>
      <w:pPr>
        <w:ind w:left="-20" w:right="720" w:firstLine="1305"/>
        <w:spacing w:after="0" w:line="308" w:lineRule="auto"/>
        <w:tabs>
          <w:tab w:leader="none" w:pos="1653" w:val="left"/>
        </w:tabs>
        <w:numPr>
          <w:ilvl w:val="0"/>
          <w:numId w:val="85"/>
        </w:numPr>
        <w:rPr>
          <w:rFonts w:ascii="Arial" w:cs="Arial" w:eastAsia="Arial" w:hAnsi="Arial"/>
          <w:sz w:val="17"/>
          <w:szCs w:val="17"/>
          <w:color w:val="auto"/>
        </w:rPr>
      </w:pPr>
      <w:r>
        <w:rPr>
          <w:rFonts w:ascii="Arial" w:cs="Arial" w:eastAsia="Arial" w:hAnsi="Arial"/>
          <w:sz w:val="17"/>
          <w:szCs w:val="17"/>
          <w:color w:val="auto"/>
        </w:rPr>
        <w:t>if any representation or warranty made in this Agreement, any Transaction Document or in or any certificate delivered by the Company or its subsidiaries pursuant hereto or thereto shall prove to have been incorrect in any material respect when made;</w:t>
      </w:r>
    </w:p>
    <w:p>
      <w:pPr>
        <w:spacing w:after="0" w:line="146" w:lineRule="exact"/>
        <w:rPr>
          <w:rFonts w:ascii="Arial" w:cs="Arial" w:eastAsia="Arial" w:hAnsi="Arial"/>
          <w:sz w:val="17"/>
          <w:szCs w:val="17"/>
          <w:color w:val="auto"/>
        </w:rPr>
      </w:pPr>
    </w:p>
    <w:p>
      <w:pPr>
        <w:ind w:left="-20" w:right="80" w:firstLine="1305"/>
        <w:spacing w:after="0" w:line="276" w:lineRule="auto"/>
        <w:tabs>
          <w:tab w:leader="none" w:pos="1653"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Company shall (i) default in any payment of any amount or amounts of principal of or interest on any Indebtedness and the aggregate principal amount of which Indebtedness is in excess of $500,000 or (ii)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holders or beneficiary or beneficiaries of such Indebtedness to cause with the giving of notice if required, such Indebtedness to become due prior to its stated maturity;</w:t>
      </w:r>
    </w:p>
    <w:p>
      <w:pPr>
        <w:spacing w:after="0" w:line="172" w:lineRule="exact"/>
        <w:rPr>
          <w:rFonts w:ascii="Arial" w:cs="Arial" w:eastAsia="Arial" w:hAnsi="Arial"/>
          <w:sz w:val="17"/>
          <w:szCs w:val="17"/>
          <w:color w:val="auto"/>
        </w:rPr>
      </w:pPr>
    </w:p>
    <w:p>
      <w:pPr>
        <w:ind w:left="-20" w:right="40" w:firstLine="1305"/>
        <w:spacing w:after="0" w:line="264" w:lineRule="auto"/>
        <w:tabs>
          <w:tab w:leader="none" w:pos="1693"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a final judgment which, either alone or together with other outstanding final judgments against the Company and its subsidiaries, exceeds an aggregate of $500,000 shall be rendered against the Company or any subsidiary and such judgment shall have continued undischarged or unstayed for thirty-five (35) days after entry thereof;</w:t>
      </w:r>
    </w:p>
    <w:p>
      <w:pPr>
        <w:spacing w:after="0" w:line="181" w:lineRule="exact"/>
        <w:rPr>
          <w:rFonts w:ascii="Arial" w:cs="Arial" w:eastAsia="Arial" w:hAnsi="Arial"/>
          <w:sz w:val="18"/>
          <w:szCs w:val="18"/>
          <w:color w:val="auto"/>
        </w:rPr>
      </w:pPr>
    </w:p>
    <w:p>
      <w:pPr>
        <w:ind w:left="-20" w:firstLine="1305"/>
        <w:spacing w:after="0" w:line="271" w:lineRule="auto"/>
        <w:tabs>
          <w:tab w:leader="none" w:pos="1653"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Company or any of its subsidiaries shall (i) apply for or consent to the appointment of, or the taking of possession by, a receiver, custodian, trustee or liquidator of itself or of all or a substantial part of its property or assets, (ii) make a general assignment for the benefit of its creditors, (iii) commence a voluntary case under the United States Bankruptcy Code (as now or hereafter in effect) or under the comparable laws of any jurisdiction (foreign or domestic), (iv) file a petition seeking to take advantage of any bankruptcy, insolvency, moratorium, reorganization or other similar law affecting the enforcement of creditors’ rights generally, (v) acquiesce in writing to any petition filed against it in an invol untary case under United States Bankruptcy Code (as now or hereafter in effect) or under the comparable laws of any jurisdiction (foreign or domestic), or admit in writing its inability to pay its debts (vi) issue a notice of bankruptcy or winding down of its operations or issue a press release regarding same, or (vii) take any action under the laws of any jurisdiction (foreign or domestic) analogous to any of the foregoing; or</w:t>
      </w:r>
    </w:p>
    <w:p>
      <w:pPr>
        <w:spacing w:after="0" w:line="178" w:lineRule="exact"/>
        <w:rPr>
          <w:rFonts w:ascii="Arial" w:cs="Arial" w:eastAsia="Arial" w:hAnsi="Arial"/>
          <w:sz w:val="17"/>
          <w:szCs w:val="17"/>
          <w:color w:val="auto"/>
        </w:rPr>
      </w:pPr>
    </w:p>
    <w:p>
      <w:pPr>
        <w:ind w:left="-20" w:right="140" w:firstLine="1305"/>
        <w:spacing w:after="0" w:line="270" w:lineRule="auto"/>
        <w:tabs>
          <w:tab w:leader="none" w:pos="1743" w:val="left"/>
        </w:tabs>
        <w:numPr>
          <w:ilvl w:val="0"/>
          <w:numId w:val="85"/>
        </w:numPr>
        <w:rPr>
          <w:rFonts w:ascii="Arial" w:cs="Arial" w:eastAsia="Arial" w:hAnsi="Arial"/>
          <w:sz w:val="17"/>
          <w:szCs w:val="17"/>
          <w:color w:val="auto"/>
        </w:rPr>
      </w:pPr>
      <w:r>
        <w:rPr>
          <w:rFonts w:ascii="Arial" w:cs="Arial" w:eastAsia="Arial" w:hAnsi="Arial"/>
          <w:sz w:val="17"/>
          <w:szCs w:val="17"/>
          <w:color w:val="auto"/>
        </w:rPr>
        <w:t>a proceeding or case shall be commenced in respect of the Company o r any of its subsidiaries, without its application or consent, in any court of competent jurisdiction, seeking (i) the liquidation, reorganization, moratorium, dissolution, winding up, or composition or readjustment of its debts, (ii) the appointment of a trustee, receiver, custodian, liquidator or the like of it or of all or any substantial part of its assets in connection with the liquidation or dissolution of the Company or any of its subsidiaries or (iii) similar relief in respect of it under any law providing for the relief of debtors, and such proceeding or case described in clause (i), (ii) or (iii) shall continue undismissed, or unstayed and in effect, fo r a period of sixty (60) days or any order for relief shall be entered in an involuntary case under United States Bankruptcy Code (as now or hereafter in effect) or under the comparable laws of any jurisdiction (foreign or domestic) against the Company or any of its subsidiaries or action under the laws of any jurisdiction (foreign or domestic) analogous to any of the foregoing shall be taken with respect to the Company or any of its subsidiaries and shall continue undismissed, or unstayed and in effect for a period of sixty (60) days.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490" w:right="239" w:bottom="1440" w:gutter="0" w:footer="0" w:header="0"/>
        </w:sectPr>
      </w:pPr>
    </w:p>
    <w:bookmarkStart w:id="75" w:name="page76"/>
    <w:bookmarkEnd w:id="75"/>
    <w:p>
      <w:pPr>
        <w:ind w:left="660"/>
        <w:spacing w:after="0"/>
        <w:tabs>
          <w:tab w:leader="none" w:pos="10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u w:val="single" w:color="auto"/>
          <w:color w:val="auto"/>
        </w:rPr>
        <w:t>Remedies</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59" w:lineRule="auto"/>
        <w:tabs>
          <w:tab w:leader="none" w:pos="1703" w:val="left"/>
        </w:tabs>
        <w:numPr>
          <w:ilvl w:val="0"/>
          <w:numId w:val="86"/>
        </w:numPr>
        <w:rPr>
          <w:rFonts w:ascii="Arial" w:cs="Arial" w:eastAsia="Arial" w:hAnsi="Arial"/>
          <w:sz w:val="18"/>
          <w:szCs w:val="18"/>
          <w:color w:val="auto"/>
        </w:rPr>
      </w:pPr>
      <w:r>
        <w:rPr>
          <w:rFonts w:ascii="Arial" w:cs="Arial" w:eastAsia="Arial" w:hAnsi="Arial"/>
          <w:sz w:val="18"/>
          <w:szCs w:val="18"/>
          <w:color w:val="auto"/>
        </w:rPr>
        <w:t>Upon the occurrence and continuance of an Event of Default, the Purchaser may at any time (unless all defaults shall theretofore have been remedied) at its option, by written notice or notices to the Company require the Company to immediately redeem in cash all or a portion of the Preferred Shares held by the Purchaser at a price per share equal to one hundred twenty-five percent (125%) of the Stated Value of the Series B Preferred Stock plus all accrued and unpaid dividends thereon at the time of such request.</w:t>
      </w:r>
    </w:p>
    <w:p>
      <w:pPr>
        <w:spacing w:after="0" w:line="186" w:lineRule="exact"/>
        <w:rPr>
          <w:rFonts w:ascii="Arial" w:cs="Arial" w:eastAsia="Arial" w:hAnsi="Arial"/>
          <w:sz w:val="18"/>
          <w:szCs w:val="18"/>
          <w:color w:val="auto"/>
        </w:rPr>
      </w:pPr>
    </w:p>
    <w:p>
      <w:pPr>
        <w:ind w:firstLine="1305"/>
        <w:spacing w:after="0" w:line="264" w:lineRule="auto"/>
        <w:tabs>
          <w:tab w:leader="none" w:pos="1713"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Purchaser, by written notice or notices to the Company, may in its own discretion waive an Event of Default and its consequences and rescind or annul such declaration; provided that, no such waiver shall extend to or affect any subsequent Event of Default or impair any right resulting therefrom.</w:t>
      </w:r>
    </w:p>
    <w:p>
      <w:pPr>
        <w:spacing w:after="0" w:line="181" w:lineRule="exact"/>
        <w:rPr>
          <w:rFonts w:ascii="Arial" w:cs="Arial" w:eastAsia="Arial" w:hAnsi="Arial"/>
          <w:sz w:val="18"/>
          <w:szCs w:val="18"/>
          <w:color w:val="auto"/>
        </w:rPr>
      </w:pPr>
    </w:p>
    <w:p>
      <w:pPr>
        <w:ind w:right="100" w:firstLine="1305"/>
        <w:spacing w:after="0" w:line="255" w:lineRule="auto"/>
        <w:tabs>
          <w:tab w:leader="none" w:pos="1703"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case any one or more Events of Default shall occur and be continuing, the Purchaser may proceed to protect and enforce its rights by an action at law, suit in equity or other appropriate proceeding, whether for the specific performance of any agreement contained herein or in any Transaction Document or for an injunction against a violation of any of the terms hereof or thereof, or in aid of the exercise of any power granted hereby or thereby or by law. In case of a default in the payment of any dividend on or redemption of any Preferred Share, the Company will pay to the Purchaser such further amount as shall be sufficient to cover the cost and the expenses of collection, including, without limitation, actual attorn ey’s fees, expenses and disbursements. No course of dealing and no delay on the part of a Purchaser in exercising any rights shall operate as a waiver thereof or otherwise prejudice such Purchaser’s rights.</w:t>
      </w:r>
    </w:p>
    <w:p>
      <w:pPr>
        <w:spacing w:after="0" w:line="189" w:lineRule="exact"/>
        <w:rPr>
          <w:rFonts w:ascii="Arial" w:cs="Arial" w:eastAsia="Arial" w:hAnsi="Arial"/>
          <w:sz w:val="18"/>
          <w:szCs w:val="18"/>
          <w:color w:val="auto"/>
        </w:rPr>
      </w:pPr>
    </w:p>
    <w:p>
      <w:pPr>
        <w:ind w:right="840" w:firstLine="1305"/>
        <w:spacing w:after="0" w:line="277" w:lineRule="auto"/>
        <w:tabs>
          <w:tab w:leader="none" w:pos="1713"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remedy conferred by this Section shall not be exclusive of any other remedy provided by this Agreement or any other Transaction Document or now or hereafter available at law, in equity, by statute or otherwise.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LEGENDS</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Legend</w:t>
      </w:r>
      <w:r>
        <w:rPr>
          <w:rFonts w:ascii="Arial" w:cs="Arial" w:eastAsia="Arial" w:hAnsi="Arial"/>
          <w:sz w:val="18"/>
          <w:szCs w:val="18"/>
          <w:color w:val="auto"/>
        </w:rPr>
        <w:t>. Each certificate representing the Securities shall be stamped or otherwise imprinted with a legend substantially in the following form (in addition to any legend required by applicable state securities or “blue sky” laws):</w:t>
      </w:r>
    </w:p>
    <w:p>
      <w:pPr>
        <w:spacing w:after="0" w:line="170" w:lineRule="exact"/>
        <w:rPr>
          <w:sz w:val="20"/>
          <w:szCs w:val="20"/>
          <w:color w:val="auto"/>
        </w:rPr>
      </w:pPr>
    </w:p>
    <w:p>
      <w:pPr>
        <w:jc w:val="both"/>
        <w:ind w:left="660" w:right="620"/>
        <w:spacing w:after="0" w:line="268" w:lineRule="auto"/>
        <w:rPr>
          <w:sz w:val="20"/>
          <w:szCs w:val="20"/>
          <w:color w:val="auto"/>
        </w:rPr>
      </w:pPr>
      <w:r>
        <w:rPr>
          <w:rFonts w:ascii="Arial" w:cs="Arial" w:eastAsia="Arial" w:hAnsi="Arial"/>
          <w:sz w:val="17"/>
          <w:szCs w:val="17"/>
          <w:color w:val="auto"/>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IN A FORM REASONABLY ACCEPTABLE TO THE COMPANY, THAT REGISTRATION IS NOT REQUIRED UNDER SAID ACT OR</w:t>
      </w:r>
    </w:p>
    <w:p>
      <w:pPr>
        <w:spacing w:after="0" w:line="1" w:lineRule="exact"/>
        <w:rPr>
          <w:sz w:val="20"/>
          <w:szCs w:val="20"/>
          <w:color w:val="auto"/>
        </w:rPr>
      </w:pPr>
    </w:p>
    <w:p>
      <w:pPr>
        <w:jc w:val="both"/>
        <w:ind w:left="660" w:right="620" w:hanging="4"/>
        <w:spacing w:after="0" w:line="255" w:lineRule="auto"/>
        <w:tabs>
          <w:tab w:leader="none" w:pos="966" w:val="left"/>
        </w:tabs>
        <w:numPr>
          <w:ilvl w:val="0"/>
          <w:numId w:val="87"/>
        </w:numPr>
        <w:rPr>
          <w:rFonts w:ascii="Arial" w:cs="Arial" w:eastAsia="Arial" w:hAnsi="Arial"/>
          <w:sz w:val="18"/>
          <w:szCs w:val="18"/>
          <w:color w:val="auto"/>
        </w:rPr>
      </w:pPr>
      <w:r>
        <w:rPr>
          <w:rFonts w:ascii="Arial" w:cs="Arial" w:eastAsia="Arial" w:hAnsi="Arial"/>
          <w:sz w:val="18"/>
          <w:szCs w:val="18"/>
          <w:color w:val="auto"/>
        </w:rPr>
        <w:t>UNLESS SOLD PURSUANT TO RULE 144 OR RULE 144A UNDER SAID ACT. NOTWITHSTANDING THE FOREGOING, THE SECURITIES MAY BE PLEDGED IN CONNECTION WITH A BONA FIDE MARGIN ACCOUNT OR OTHER LOAN OR FINANCING ARRANGEMENT SECURED BY T HE SECURITIES.</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76" w:name="page77"/>
    <w:bookmarkEnd w:id="76"/>
    <w:p>
      <w:pPr>
        <w:jc w:val="both"/>
        <w:spacing w:after="0" w:line="285" w:lineRule="auto"/>
        <w:rPr>
          <w:sz w:val="20"/>
          <w:szCs w:val="20"/>
          <w:color w:val="auto"/>
        </w:rPr>
      </w:pPr>
      <w:r>
        <w:rPr>
          <w:rFonts w:ascii="Arial" w:cs="Arial" w:eastAsia="Arial" w:hAnsi="Arial"/>
          <w:sz w:val="16"/>
          <w:szCs w:val="16"/>
          <w:color w:val="auto"/>
        </w:rPr>
        <w:t>Prior to registration of the Conversion Shares and the Warrant Shares under the Securities Act, all such certificates shall bear the restrictive legend specified in this Section 10.1. Certificates evidencing the Conversion Shares and Warrant Shares shall not contain any legend (including the legend set forth in Section 10.1 hereof), (i) while a registration statement (including the Registration Statement) covering the resale of such security is effective under the Securities Act, or (ii) following any sale of such Conversion Shares or Warrant Shares pursuant to Rule 144, or (iii) if such Conversion Shares or Warrant Shares are eligible for sale under Rule 144 by the Purchaser without limitation as to volume or manner of sale, or (iv) if such legend is not required under applicable requirements of the Secur ities Act (including judicial interpretations and pronouncements issued by the Staff of the Commission). The Company shall cause its counsel to issue a legal opinion to the Company’s transfer agent promptly after the effective date of a registration statement covering such Conversions Shares or Warrant Shares, if required by the Company’s transfer agent, to effect the removal of the legend hereunder. If all or any portion of the Preferred Shares or a Warrant is exercised at a time when there is an effective registration statement to cover the resale of the Conversion Shares or the Warrant Shares, such Conversions Shares and Warrant Shares, as the case may be, shall be issued free of all legends. The Company agrees that following the effective date of the registration statement covering Conversion Shares or Warrant Shares or at such time as such legend is no longer required under this Section 10.1, it will, no later than five (5) Trading Days following the del ivery by the Purchaser to the Company or the Company’s transfer agent of a certificate representing Conversion Shares or Warrant Shares, as the case may be, issued with a restrictive legend (such date, the “</w:t>
      </w:r>
      <w:r>
        <w:rPr>
          <w:rFonts w:ascii="Arial" w:cs="Arial" w:eastAsia="Arial" w:hAnsi="Arial"/>
          <w:sz w:val="16"/>
          <w:szCs w:val="16"/>
          <w:u w:val="single" w:color="auto"/>
          <w:color w:val="auto"/>
        </w:rPr>
        <w:t>Delivery Date</w:t>
      </w:r>
      <w:r>
        <w:rPr>
          <w:rFonts w:ascii="Arial" w:cs="Arial" w:eastAsia="Arial" w:hAnsi="Arial"/>
          <w:sz w:val="16"/>
          <w:szCs w:val="16"/>
          <w:color w:val="auto"/>
        </w:rPr>
        <w:t>”), deliver or cause to be delivered to the Purchaser a certificate representing such Securities that is free from all restrictive and other legends. The Company may not make any notation on its records or give instructions to any transfer agent of the Company that enlarge the restrictions on transfer set forth in this Section. Whenever a certificate representing the Conversion Shares or Warrant Shares is required to be issued to the Purchaser without a legend, in lieu of delivering physical certificates representing the Conversion Shares or Warrant Shares, provided the Company’s transfer agent is participating in the Depository Trust Company (“DTC”) Fast Automated Securities Transfer program, the Company shall use its reasonable best efforts to cause its transfer agent to electronically transmit the Conversion Shares or Warrant Shares to the Purchaser by crediting the account of such Purchaser’s Prime Broker with DTC through its Deposit Withdrawal Agent Commission (“</w:t>
      </w:r>
      <w:r>
        <w:rPr>
          <w:rFonts w:ascii="Arial" w:cs="Arial" w:eastAsia="Arial" w:hAnsi="Arial"/>
          <w:sz w:val="16"/>
          <w:szCs w:val="16"/>
          <w:u w:val="single" w:color="auto"/>
          <w:color w:val="auto"/>
        </w:rPr>
        <w:t>DWAC</w:t>
      </w:r>
      <w:r>
        <w:rPr>
          <w:rFonts w:ascii="Arial" w:cs="Arial" w:eastAsia="Arial" w:hAnsi="Arial"/>
          <w:sz w:val="16"/>
          <w:szCs w:val="16"/>
          <w:color w:val="auto"/>
        </w:rPr>
        <w:t>”) system (to the extent not inconsistent with any provisions of this Agreement).</w:t>
      </w:r>
    </w:p>
    <w:p>
      <w:pPr>
        <w:spacing w:after="0" w:line="16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Liquidated Damages</w:t>
      </w:r>
      <w:r>
        <w:rPr>
          <w:rFonts w:ascii="Arial" w:cs="Arial" w:eastAsia="Arial" w:hAnsi="Arial"/>
          <w:sz w:val="17"/>
          <w:szCs w:val="17"/>
          <w:color w:val="auto"/>
        </w:rPr>
        <w:t>. The Company understands that a delay in the delivery of unlegended certificates for the Conversion Shares or the Warrant Shares as set forth in Section 10.1 hereof beyond the Delivery Date could result in economic loss to the Purchaser. If the Company fails to deliver to a Purchaser such shares via DWAC or a certificate or certificates pursuant to this Section hereunder by the Delivery Date, the Company shall pay to the Purchaser, in cash, as partial liquidated damages and not as a penalty, for each $500 of Conversion Shares or Warrant Shares (based on the closing price of the Common Stock reported by the principa l Trading Market on the date such Securities are submitted to the Company’s transfer agent) subject to Section 10.1, $10 per Trading Day (increasing to $15 per Trading Day five (5) Trading Days after such damages have begun to accrue and increasing to $20 per Trading Day ten (10) Trading Days after such damages have begun to accrue) for each Trading Day after the Legend Removal Date until such certificate is delivered. Nothing herein shall limit the Purchaser’s right to pursue actual damages for the Company’s failure to deliver certificates representing any Securities as required by the Transaction Documents, and the Purchaser shall have the right to pursue all remedies available to it at law or in equity including, without limitation, a decree of specific performance and/or injunctive relief.</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7" w:name="page78"/>
    <w:bookmarkEnd w:id="77"/>
    <w:p>
      <w:pPr>
        <w:ind w:right="20" w:firstLine="648"/>
        <w:spacing w:after="0" w:line="264"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Sales by the Purchaser</w:t>
      </w:r>
      <w:r>
        <w:rPr>
          <w:rFonts w:ascii="Arial" w:cs="Arial" w:eastAsia="Arial" w:hAnsi="Arial"/>
          <w:sz w:val="18"/>
          <w:szCs w:val="18"/>
          <w:color w:val="auto"/>
        </w:rPr>
        <w:t>. The Purchaser agrees that the removal of the restrictive legend from certificates representing Securities as set forth in Section 10.1 is predicated upon the Company’s reliance that the Purchaser will sell any Securities pursuant to either the registration requirements of the Securities Act, including any applicable prospectus delivery requirements, or an exemption therefrom.</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Indemnification by the Company</w:t>
      </w:r>
      <w:r>
        <w:rPr>
          <w:rFonts w:ascii="Arial" w:cs="Arial" w:eastAsia="Arial" w:hAnsi="Arial"/>
          <w:sz w:val="17"/>
          <w:szCs w:val="17"/>
          <w:color w:val="auto"/>
        </w:rPr>
        <w:t>. The Company agrees to defend, indemnify and hold harmless the Purchaser and shall reimburse the Purchaser for, from and against each claim, loss, liability, cost and expense (including without limitation, interest, penalties, costs of preparation and investigation, and the actual fees, disbursements and expenses of attorneys, accountants and other professional advisors)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xml:space="preserve">”) directly or indirectly relating to, resulting from or arising out of (a) any untrue representation, misrepresentation, breach of warranty or non-fulfillmen t of any covenant, agreement or other obligation by or of the Company contained in any Transaction Document or in any certificate, document, or instrument delivered by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to the Purchaser; or (b) any action instituted against the Purchaser or its affiliates, by any stockholder of the Company who is not an affiliate of the Purchaser, with respect to any of the transactions contemplated by the Transaction Documents (unless such action is based upon a breach of the Purchaser’s representations, warranties or covenants under the Transaction Documents or any agreements or understandings the Purchaser may have with any such stockholder or any violations by the Purchaser of state or federal securities laws or any conduct by the Purchaser which constitutes fraud, gross negligence, willful misconduct or malfeasance).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6342380</wp:posOffset>
            </wp:positionH>
            <wp:positionV relativeFrom="paragraph">
              <wp:posOffset>-768985</wp:posOffset>
            </wp:positionV>
            <wp:extent cx="285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-709295</wp:posOffset>
            </wp:positionV>
            <wp:extent cx="3086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6796405</wp:posOffset>
            </wp:positionH>
            <wp:positionV relativeFrom="paragraph">
              <wp:posOffset>-726440</wp:posOffset>
            </wp:positionV>
            <wp:extent cx="3111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1150" cy="8890"/>
                    </a:xfrm>
                    <a:prstGeom prst="rect">
                      <a:avLst/>
                    </a:prstGeom>
                    <a:noFill/>
                  </pic:spPr>
                </pic:pic>
              </a:graphicData>
            </a:graphic>
          </wp:anchor>
        </w:drawing>
      </w:r>
    </w:p>
    <w:p>
      <w:pPr>
        <w:spacing w:after="0" w:line="15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u w:val="single" w:color="auto"/>
          <w:color w:val="auto"/>
        </w:rPr>
        <w:t>Procedure</w:t>
      </w:r>
      <w:r>
        <w:rPr>
          <w:rFonts w:ascii="Arial" w:cs="Arial" w:eastAsia="Arial" w:hAnsi="Arial"/>
          <w:sz w:val="15"/>
          <w:szCs w:val="15"/>
          <w:color w:val="auto"/>
        </w:rPr>
        <w:t>.</w:t>
      </w:r>
    </w:p>
    <w:p>
      <w:pPr>
        <w:spacing w:after="0" w:line="225" w:lineRule="exact"/>
        <w:rPr>
          <w:sz w:val="20"/>
          <w:szCs w:val="20"/>
          <w:color w:val="auto"/>
        </w:rPr>
      </w:pPr>
    </w:p>
    <w:p>
      <w:pPr>
        <w:ind w:firstLine="1305"/>
        <w:spacing w:after="0" w:line="259" w:lineRule="auto"/>
        <w:tabs>
          <w:tab w:leader="none" w:pos="1703"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indemnified party shall promptly notify the indemnifying party of any claim, demand, action or proceeding for which indemnification will be sought under this Agreement; provided, that the failure of any party entitled to indemnification hereunder to give notice as provided herein shall not relieve the indemnifying party of its obligations under this Article XI except to the extent that the indemnifying party is actually prejudiced by such failure to give notice.</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78" w:name="page79"/>
    <w:bookmarkEnd w:id="78"/>
    <w:p>
      <w:pPr>
        <w:ind w:left="-20" w:right="20" w:firstLine="1305"/>
        <w:spacing w:after="0" w:line="271" w:lineRule="auto"/>
        <w:tabs>
          <w:tab w:leader="none" w:pos="1693" w:val="left"/>
        </w:tabs>
        <w:numPr>
          <w:ilvl w:val="0"/>
          <w:numId w:val="89"/>
        </w:numPr>
        <w:rPr>
          <w:rFonts w:ascii="Arial" w:cs="Arial" w:eastAsia="Arial" w:hAnsi="Arial"/>
          <w:sz w:val="17"/>
          <w:szCs w:val="17"/>
          <w:color w:val="auto"/>
        </w:rPr>
      </w:pPr>
      <w:r>
        <w:rPr>
          <w:rFonts w:ascii="Arial" w:cs="Arial" w:eastAsia="Arial" w:hAnsi="Arial"/>
          <w:sz w:val="17"/>
          <w:szCs w:val="17"/>
          <w:color w:val="auto"/>
        </w:rPr>
        <w:t>In case any such action, proceeding or claim is brought against an indemnified party in respect of which indemnification is sought hereunder, the indemnifying party shall be entitled to participate in and, unless in the reasonable, good-faith judgment of the indemnified party a conflict of interest between it and the indemnifying party exists with respect to such action, proceeding or claim (in which case the indemnifying party shall be responsible for the reasonable fees and expenses of one separate counsel for the indemnified party), to assume the defense thereof with counsel reasonably satisfactory to the indemnified party. If the indemnifying party elects to defend any such action or claim, then the indemnified party shall be entitled to participate in such defense (but not control) with counsel of its choice at its sole cost and expense (except that the indemnifying party shall remain responsible for the reasonable fees and expenses of one separate counsel for the indemnified party in the event in the reasonable, good-faith judgment of the indemnified party a conflict of interest between it and the indemnifying party exists).</w:t>
      </w:r>
    </w:p>
    <w:p>
      <w:pPr>
        <w:spacing w:after="0" w:line="178" w:lineRule="exact"/>
        <w:rPr>
          <w:rFonts w:ascii="Arial" w:cs="Arial" w:eastAsia="Arial" w:hAnsi="Arial"/>
          <w:sz w:val="17"/>
          <w:szCs w:val="17"/>
          <w:color w:val="auto"/>
        </w:rPr>
      </w:pPr>
    </w:p>
    <w:p>
      <w:pPr>
        <w:ind w:left="-20" w:firstLine="1305"/>
        <w:spacing w:after="0" w:line="293" w:lineRule="auto"/>
        <w:tabs>
          <w:tab w:leader="none" w:pos="1683"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 the event that the indemnifying party advises an indemnified party that it will contest such a claim for indemnification hereunder, or fails, within thirty (30) days of receipt of any indemnification notice to notify, in writing, such person of its election to defend, settle or compromise, at its sole cost and expense, any action, proceeding or claim (or discontinues its defense at any time after it commences such defense), then the indemnified party may, at its option, defend, settle or otherwise compromise or pay such action or claim. In any event, unless and until the indemnifying party elects in writing to assume and does so assume the defense of any such claim, proceeding or action, the indemnified party’ s costs and expenses arising out of the defense, settlement or compromise of any such action, claim or proceeding shall be Losses subject to indemnification hereunder.</w:t>
      </w:r>
    </w:p>
    <w:p>
      <w:pPr>
        <w:spacing w:after="0" w:line="164" w:lineRule="exact"/>
        <w:rPr>
          <w:rFonts w:ascii="Arial" w:cs="Arial" w:eastAsia="Arial" w:hAnsi="Arial"/>
          <w:sz w:val="16"/>
          <w:szCs w:val="16"/>
          <w:color w:val="auto"/>
        </w:rPr>
      </w:pPr>
    </w:p>
    <w:p>
      <w:pPr>
        <w:jc w:val="both"/>
        <w:ind w:left="-20" w:right="160" w:firstLine="1305"/>
        <w:spacing w:after="0" w:line="264" w:lineRule="auto"/>
        <w:tabs>
          <w:tab w:leader="none" w:pos="1693"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parties shall cooperate fully with each other in connection with any negotiation or defense of any such action or claim and shall furnish to the other party all information reasonably available to such party which relates to such action or claim. Each party shall keep the other party fully apprised at all times as to the status of the defense or any settlement negotiations with respect thereto.</w:t>
      </w:r>
    </w:p>
    <w:p>
      <w:pPr>
        <w:spacing w:after="0" w:line="181" w:lineRule="exact"/>
        <w:rPr>
          <w:rFonts w:ascii="Arial" w:cs="Arial" w:eastAsia="Arial" w:hAnsi="Arial"/>
          <w:sz w:val="18"/>
          <w:szCs w:val="18"/>
          <w:color w:val="auto"/>
        </w:rPr>
      </w:pPr>
    </w:p>
    <w:p>
      <w:pPr>
        <w:ind w:left="-20" w:firstLine="1305"/>
        <w:spacing w:after="0" w:line="271" w:lineRule="auto"/>
        <w:tabs>
          <w:tab w:leader="none" w:pos="1683" w:val="left"/>
        </w:tabs>
        <w:numPr>
          <w:ilvl w:val="0"/>
          <w:numId w:val="89"/>
        </w:numPr>
        <w:rPr>
          <w:rFonts w:ascii="Arial" w:cs="Arial" w:eastAsia="Arial" w:hAnsi="Arial"/>
          <w:sz w:val="17"/>
          <w:szCs w:val="17"/>
          <w:color w:val="auto"/>
        </w:rPr>
      </w:pPr>
      <w:r>
        <w:rPr>
          <w:rFonts w:ascii="Arial" w:cs="Arial" w:eastAsia="Arial" w:hAnsi="Arial"/>
          <w:sz w:val="17"/>
          <w:szCs w:val="17"/>
          <w:color w:val="auto"/>
        </w:rPr>
        <w:t>Notwithstanding anything in this Article XI to the contrary, the indemnifying party shall not, without the indemnified party’s prior written consent, settle or compromise any claim or consent to entry of any judgment in respect thereof which imposes any future obligation on the indemnified party or which does not include, as an unconditional term thereof, the giving by the claimant or the plaintiff to the indemnified party of a release from all liability in respect of such claim. The indemnification obligations to defend the indemnified party required by this Article XI shall be made by periodic payments of the amount thereof during the course of investigation or defense, as and when the Loss is incurred, so long as the indemnified party shall refund such moneys if it is ultimately determined by a court of competent jurisdiction that such party was not entitled to indemnification. The indemnity agreements contained herein shall be in addition to (i) any cause of action or similar rights of the indemnified party against the indemnifying party or others, and (ii) any liabilities the indemnifying party may be subject to pursuant to the law.</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490" w:right="2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of the parties hereunder shall be governed in all respects by the laws of the State of Florida wherein the terms of this Agreement were negotiated.</w:t>
      </w:r>
    </w:p>
    <w:p>
      <w:pPr>
        <w:spacing w:after="0" w:line="17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Except as specifically provided herein, the representations, warranties, covenants and agreements made herein shall survive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Closing.</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amended, discharged or terminated (or any provision hereof waived) without the written consent of the Company and the Purchaser.</w:t>
      </w:r>
    </w:p>
    <w:p>
      <w:pPr>
        <w:spacing w:after="0" w:line="170"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Except as otherwise expressly provided herein, the provisions hereof shall inure to the benefit of, and be binding upon and enforceable by and against, the successors, assigns, heirs, executors and administrators of the parties hereto. The Purchaser may assign its rights hereunder, and the Company may not assign its rights or obligations hereunder without the consent of the Purchaser.</w:t>
      </w:r>
    </w:p>
    <w:p>
      <w:pPr>
        <w:spacing w:after="0" w:line="166"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the Transaction Documents and the other documents delivered pursuant hereto and simultaneously herewith constitute the full and entire understanding and agreement between the parties with regard to the subject matter hereof and thereof.</w:t>
      </w:r>
    </w:p>
    <w:p>
      <w:pPr>
        <w:spacing w:after="0" w:line="12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Notices, etc.</w:t>
      </w:r>
      <w:r>
        <w:rPr>
          <w:rFonts w:ascii="Arial" w:cs="Arial" w:eastAsia="Arial" w:hAnsi="Arial"/>
          <w:sz w:val="18"/>
          <w:szCs w:val="18"/>
          <w:color w:val="auto"/>
        </w:rPr>
        <w:t xml:space="preserve"> All notices, demands or other communications given hereunder shall be in writing and shall be sufficiently given if delivered either personally, by facsimile, or by a nationally recognized courier service marked for next business day delivery or sent in a sealed envelope by first class mail, postage prepaid and either registered or certified with return receipt, addressed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OptimizeRx Corporation</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407 Sixth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Rochester, MI 48307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H. David Lester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Phone: (248) 651-6558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(248) 651-6748</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Joseph J. DeVito, Esq.</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Howard &amp; Howard Attorneys PLLC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450 West Fourth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Royal Oak, MI 48067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Phone: (248) 723-0323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(248) 645- 1568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jjd@h2law.com</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if to the Purchaser: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Vicis Capital Master Fund</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445 Park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19th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Shad Stastney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Phone: (212) 909-4600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(212) 909-4601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Andrew D. Ketter, Esq.</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Quarles &amp; Brady LLP</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411 East Wisconsin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Milwaukee, WI 53202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Phone: (414) 277-5629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(414) 978-8972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Such communications shall be effective immediately if delivered in person or by confirmed facsimile, upon the date acknowledged to have been received in return receipt, or upon the next business day if sent by overnight courier service.</w:t>
      </w:r>
    </w:p>
    <w:p>
      <w:pPr>
        <w:spacing w:after="0" w:line="17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12.7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holder of any Securities upon any breach or default of the Company under this Agreement shall impair any such right, power or remedy of such holder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holder of any bre ach or default under this Agreement, or any waiver on the part of any holder of any provisions or conditions of this Agreement must be, made in writing and shall be effective only to the extent specifically set forth in such writing. All remedies, either under this Agreement or by law or otherwise afforded to any holder, shall be cumulative and not alternative.</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of any provision or portion of a provision of this Agreement shall not affect the validity of any other provision of this Agreement or the remaining portion of the applicable provision. It is the desire and intent of the parties hereto that the provisions of this Agreement shall be enforced to the fullest extent permissible under the laws and public policies applied in each jurisdiction in which enforcement is sought. Accordingly, if any particular provision of this Agreement shall be adjudicated to be invalid or unenforceable, such provision shall be deemed amended to delete therefrom the portion thus a djudicated to be invalid or unenforceable, such deletion to apply only with respect to the operation of such provision in the particular jurisdiction in which such adjudication is made.</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81" w:name="page82"/>
    <w:bookmarkEnd w:id="81"/>
    <w:p>
      <w:pPr>
        <w:ind w:firstLine="648"/>
        <w:spacing w:after="0" w:line="257"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Expenses</w:t>
      </w:r>
      <w:r>
        <w:rPr>
          <w:rFonts w:ascii="Arial" w:cs="Arial" w:eastAsia="Arial" w:hAnsi="Arial"/>
          <w:sz w:val="18"/>
          <w:szCs w:val="18"/>
          <w:color w:val="auto"/>
        </w:rPr>
        <w:t>. Each party shall bear its own expenses and legal fees incurred on its behalf with respect to the negotiation, execution and consummation of the transactions contemplated by this Agreement. The Company shall pay all documentary stamp or similar taxes imposed by any authority upon the transactions contemplated by this Agreement or any Transaction Document. The Company shall pay all reasonable, documented third-party fees and expenses incurred by the Purchaser in connection with the enforcement of this Agreement or any of the other Transaction Documents, including, without limitation, all actual reasonable attorneys’ fe es and expenses.</w:t>
      </w:r>
    </w:p>
    <w:p>
      <w:pPr>
        <w:spacing w:after="0" w:line="18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Consent to Jurisdiction; Waiver of Jury Trial</w:t>
      </w:r>
      <w:r>
        <w:rPr>
          <w:rFonts w:ascii="Arial" w:cs="Arial" w:eastAsia="Arial" w:hAnsi="Arial"/>
          <w:sz w:val="18"/>
          <w:szCs w:val="18"/>
          <w:color w:val="auto"/>
        </w:rPr>
        <w:t>. EACH OF THE PARTIES TO THIS AGREEMENT HEREBY IRREVOCABLY AND UNCONDITIONALLY SUBMITS TO THE EXCLUSIVE JURISDICTION OF THE STATE AND FEDERAL COURTS LOCATED IN THE STATE OF FLORIDA FOR PURPOSES OF ALL LEGAL PROCEEDINGS ARISING OUT OF OR RELATING TO THIS AGREEMENT AND THE TRANSACTION DOCUMENTS. EACH OF THE PARTIES TO THIS AGREEMENT IRREVOCABLY WAIVES, TO THE FULLEST EXTENT PERMITTED BY LAW, ANY OBJECTION WHICH SUCH PARTY MAY NOW OR HEREAFTER HAVE TO THE LAYING OF THE VENUE OF ANY SUCH PROCEEDING BROUGHT IN ANY SUCH COURTS AND ANY CLAIM THAT ANY SUCH PROCEEDING BROUGHT IN ANY SUCH COURTS HAS BEEN BRO UGHT IN AN INCONVENIENT FORUM. EACH OF THE PARTIES HERETO IRREVOCABLY WAIVES, TO THE FULLEST EXTENT PERMITTED BY LAW, ANY RIGHT TO TRIAL BY JURY IN ANY SUCH LEGAL PROCEEDING. EACH OF THE PARTIES TO THIS AGREEMENT HEREBY CONSENTS TO SERVICE OF PROCESS BY NOTICE IN THE MANNER SPECIFIED IN SECTION 12.6 AND IRREVOCABLY WAIVES, TO THE FULLEST EXTENT PERMITTED BY LAW, ANY OBJECTION SUCH PARTY MAY NOW OR HEREAFTER HAVE TO SERVICE OF PROCESS IN SUCH MANNER.</w:t>
      </w:r>
    </w:p>
    <w:p>
      <w:pPr>
        <w:spacing w:after="0" w:line="19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of the articles, sections and subsections of this Agreement are for convenience of reference only and are not to be considered in construing this Agreement.</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such signature shall create a valid and binding obligation of the party executing (or on whose behalf such signature is executed) with the same force and effect as if such facsimile signature page were an original thereof.</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u w:val="single" w:color="auto"/>
          <w:color w:val="auto"/>
        </w:rPr>
        <w:t>Employment Agreements</w:t>
      </w:r>
      <w:r>
        <w:rPr>
          <w:rFonts w:ascii="Arial" w:cs="Arial" w:eastAsia="Arial" w:hAnsi="Arial"/>
          <w:sz w:val="18"/>
          <w:szCs w:val="18"/>
          <w:color w:val="auto"/>
        </w:rPr>
        <w:t>. On or before July 5, 2010, the Company shall use good faith efforts to cause amendments to or restatements of the employment agreements with each of David A. Harrell, H. David Lester and Terence J. Hamilton. Such amendments or restatements, as each case may be, will include such terms as the Company deems appropriate; provided however, each amendment or restatement shall include typical and customary non-competition and non-solicitation provisions with a two–year, post-employment restrictive period for David A. Harrell and a one–year, post-employment restrictive period for each of H. David Lester and Terrence Hamilton.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2" w:name="page83"/>
    <w:bookmarkEnd w:id="82"/>
    <w:p>
      <w:pPr>
        <w:ind w:left="660"/>
        <w:spacing w:after="0"/>
        <w:rPr>
          <w:sz w:val="20"/>
          <w:szCs w:val="20"/>
          <w:color w:val="auto"/>
        </w:rPr>
      </w:pPr>
      <w:r>
        <w:rPr>
          <w:rFonts w:ascii="Arial" w:cs="Arial" w:eastAsia="Arial" w:hAnsi="Arial"/>
          <w:sz w:val="16"/>
          <w:szCs w:val="16"/>
          <w:color w:val="auto"/>
        </w:rPr>
        <w:t>IN WITNESS WHEREOF, the parties hereto have duly executed this Securities Purchase Agreement, as of the day and year first above written.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7"/>
                <w:szCs w:val="17"/>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H. David Lester</w:t>
            </w:r>
          </w:p>
        </w:tc>
        <w:tc>
          <w:tcPr>
            <w:tcW w:w="340" w:type="dxa"/>
            <w:vAlign w:val="bottom"/>
          </w:tcPr>
          <w:p>
            <w:pPr>
              <w:spacing w:after="0"/>
              <w:rPr>
                <w:sz w:val="17"/>
                <w:szCs w:val="17"/>
                <w:color w:val="auto"/>
              </w:rPr>
            </w:pPr>
          </w:p>
        </w:tc>
      </w:tr>
      <w:tr>
        <w:trPr>
          <w:trHeight w:val="222"/>
        </w:trPr>
        <w:tc>
          <w:tcPr>
            <w:tcW w:w="2300" w:type="dxa"/>
            <w:vAlign w:val="bottom"/>
            <w:gridSpan w:val="4"/>
          </w:tcPr>
          <w:p>
            <w:pPr>
              <w:spacing w:after="0"/>
              <w:rPr>
                <w:sz w:val="20"/>
                <w:szCs w:val="20"/>
                <w:color w:val="auto"/>
              </w:rPr>
            </w:pPr>
            <w:r>
              <w:rPr>
                <w:rFonts w:ascii="Arial" w:cs="Arial" w:eastAsia="Arial" w:hAnsi="Arial"/>
                <w:sz w:val="18"/>
                <w:szCs w:val="18"/>
                <w:color w:val="auto"/>
              </w:rPr>
              <w:t>Name: H. David Lester</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1820" w:type="dxa"/>
            <w:vAlign w:val="bottom"/>
            <w:gridSpan w:val="3"/>
          </w:tcPr>
          <w:p>
            <w:pPr>
              <w:ind w:left="100"/>
              <w:spacing w:after="0"/>
              <w:rPr>
                <w:sz w:val="20"/>
                <w:szCs w:val="20"/>
                <w:color w:val="auto"/>
              </w:rPr>
            </w:pPr>
            <w:r>
              <w:rPr>
                <w:rFonts w:ascii="Arial" w:cs="Arial" w:eastAsia="Arial" w:hAnsi="Arial"/>
                <w:sz w:val="18"/>
                <w:szCs w:val="18"/>
                <w:color w:val="auto"/>
                <w:w w:val="92"/>
              </w:rPr>
              <w:t>Chief Executive Officer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VICIS CAPITAL MASTER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Vicis Capital LLC</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7"/>
                <w:szCs w:val="17"/>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/s/ Keith W. Hughes</w:t>
            </w: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1760" w:type="dxa"/>
            <w:vAlign w:val="bottom"/>
            <w:gridSpan w:val="3"/>
          </w:tcPr>
          <w:p>
            <w:pPr>
              <w:ind w:left="80"/>
              <w:spacing w:after="0"/>
              <w:rPr>
                <w:sz w:val="20"/>
                <w:szCs w:val="20"/>
                <w:color w:val="auto"/>
              </w:rPr>
            </w:pPr>
            <w:r>
              <w:rPr>
                <w:rFonts w:ascii="Arial" w:cs="Arial" w:eastAsia="Arial" w:hAnsi="Arial"/>
                <w:sz w:val="18"/>
                <w:szCs w:val="18"/>
                <w:color w:val="auto"/>
              </w:rPr>
              <w:t>Keith W. Hughes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1760" w:type="dxa"/>
            <w:vAlign w:val="bottom"/>
            <w:gridSpan w:val="3"/>
          </w:tcPr>
          <w:p>
            <w:pPr>
              <w:ind w:left="80"/>
              <w:spacing w:after="0"/>
              <w:rPr>
                <w:sz w:val="20"/>
                <w:szCs w:val="20"/>
                <w:color w:val="auto"/>
              </w:rPr>
            </w:pPr>
            <w:r>
              <w:rPr>
                <w:rFonts w:ascii="Arial" w:cs="Arial" w:eastAsia="Arial" w:hAnsi="Arial"/>
                <w:sz w:val="18"/>
                <w:szCs w:val="18"/>
                <w:color w:val="auto"/>
                <w:w w:val="93"/>
              </w:rPr>
              <w:t>Chief Financial Officer</w:t>
            </w:r>
          </w:p>
        </w:tc>
      </w:tr>
    </w:tbl>
    <w:p>
      <w:pPr>
        <w:spacing w:after="0" w:line="35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490" w:right="65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FORM OF CERTIFICATE OF DESIGNATION OF</w:t>
      </w:r>
    </w:p>
    <w:p>
      <w:pPr>
        <w:spacing w:after="0" w:line="27"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SERIES B CONVERTIBLE PREFERRED STOCK</w:t>
      </w:r>
    </w:p>
    <w:p>
      <w:pPr>
        <w:spacing w:after="0" w:line="35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702"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FORM OF SERIES B WARRANT</w:t>
      </w:r>
    </w:p>
    <w:p>
      <w:pPr>
        <w:spacing w:after="0" w:line="37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86"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u w:val="single" w:color="auto"/>
          <w:color w:val="auto"/>
        </w:rPr>
        <w:t>EXHIBIT C</w:t>
      </w:r>
    </w:p>
    <w:p>
      <w:pPr>
        <w:spacing w:after="0" w:line="200" w:lineRule="exact"/>
        <w:rPr>
          <w:sz w:val="20"/>
          <w:szCs w:val="20"/>
          <w:color w:val="auto"/>
        </w:rPr>
      </w:pPr>
    </w:p>
    <w:p>
      <w:pPr>
        <w:spacing w:after="0" w:line="241"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FORM OF REGISTRATION RIGHTS AGREEMENT</w:t>
      </w:r>
    </w:p>
    <w:p>
      <w:pPr>
        <w:spacing w:after="0" w:line="37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86"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FORM OF AMENDED AND RESTATED SECURITY AGREEMENT</w:t>
      </w:r>
    </w:p>
    <w:p>
      <w:pPr>
        <w:spacing w:after="0" w:line="37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86"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u w:val="single" w:color="auto"/>
          <w:color w:val="auto"/>
        </w:rPr>
        <w:t>EXHIBIT E</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FORM OF GUARANTY AGREEMENT</w:t>
      </w:r>
    </w:p>
    <w:p>
      <w:pPr>
        <w:spacing w:after="0" w:line="37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86"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u w:val="single" w:color="auto"/>
          <w:color w:val="auto"/>
        </w:rPr>
        <w:t>EXHIBIT F</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FORM OF AMENDED AND RESTATED GUARANTOR SECURITY AGREEMENT</w:t>
      </w:r>
    </w:p>
    <w:p>
      <w:pPr>
        <w:spacing w:after="0" w:line="37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86"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u w:val="single" w:color="auto"/>
          <w:color w:val="auto"/>
        </w:rPr>
        <w:t>EXHIBIT 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FORM OF OPINION OF COUNSEL</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Schedules</w:t>
      </w:r>
    </w:p>
    <w:p>
      <w:pPr>
        <w:spacing w:after="0" w:line="35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73025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486" w:right="239" w:bottom="1440" w:gutter="0" w:footer="0" w:header="0"/>
        </w:sectPr>
      </w:pPr>
    </w:p>
    <w:bookmarkStart w:id="90" w:name="page91"/>
    <w:bookmarkEnd w:id="9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June 4, 2010, by and between OptimizeRx Corporation,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Vicis Capital Master Fund, a sub-trust of Vicis Capital Series Master Trust, a unit trust organized and existing under the laws of the Cayman Islands (the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This Agreement is being entered into pursuant to the Securities Purchase Agreement dated as of June 4, 2010, by and between the Company and the Purchaser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and the Purchaser hereby agree as follows:</w:t>
      </w:r>
    </w:p>
    <w:p>
      <w:pPr>
        <w:spacing w:after="0" w:line="225" w:lineRule="exact"/>
        <w:rPr>
          <w:sz w:val="20"/>
          <w:szCs w:val="20"/>
          <w:color w:val="auto"/>
        </w:rPr>
      </w:pPr>
    </w:p>
    <w:p>
      <w:pPr>
        <w:ind w:left="1440" w:hanging="622"/>
        <w:spacing w:after="0"/>
        <w:tabs>
          <w:tab w:leader="none" w:pos="144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Capitalized terms used and not otherwise defined herein shall have the meanings given such terms in the Purchase Agreement. As used in this Agreement, the following terms shall have the following meanings: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Advice</w:t>
      </w:r>
      <w:r>
        <w:rPr>
          <w:rFonts w:ascii="Arial" w:cs="Arial" w:eastAsia="Arial" w:hAnsi="Arial"/>
          <w:sz w:val="18"/>
          <w:szCs w:val="18"/>
          <w:color w:val="auto"/>
        </w:rPr>
        <w:t>” shall have meaning set forth in Section 3(m).</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other Person that directly or indirectly controls or is controlled by or under common control with such Person. For the purposes of this definition, “</w:t>
      </w:r>
      <w:r>
        <w:rPr>
          <w:rFonts w:ascii="Arial" w:cs="Arial" w:eastAsia="Arial" w:hAnsi="Arial"/>
          <w:sz w:val="17"/>
          <w:szCs w:val="17"/>
          <w:u w:val="single" w:color="auto"/>
          <w:color w:val="auto"/>
        </w:rPr>
        <w:t>control</w:t>
      </w:r>
      <w:r>
        <w:rPr>
          <w:rFonts w:ascii="Arial" w:cs="Arial" w:eastAsia="Arial" w:hAnsi="Arial"/>
          <w:sz w:val="17"/>
          <w:szCs w:val="17"/>
          <w:color w:val="auto"/>
        </w:rPr>
        <w:t>,” when used with respect to any Person, means the possession, direct or indirect, of the power to direct or cause the direction of the management and policies of such Person, whether through the ownership of voting securities, by contract or otherwise; and the terms of “</w:t>
      </w:r>
      <w:r>
        <w:rPr>
          <w:rFonts w:ascii="Arial" w:cs="Arial" w:eastAsia="Arial" w:hAnsi="Arial"/>
          <w:sz w:val="17"/>
          <w:szCs w:val="17"/>
          <w:u w:val="single" w:color="auto"/>
          <w:color w:val="auto"/>
        </w:rPr>
        <w:t>affiliated</w:t>
      </w:r>
      <w:r>
        <w:rPr>
          <w:rFonts w:ascii="Arial" w:cs="Arial" w:eastAsia="Arial" w:hAnsi="Arial"/>
          <w:sz w:val="17"/>
          <w:szCs w:val="17"/>
          <w:color w:val="auto"/>
        </w:rPr>
        <w:t>,” “</w:t>
      </w:r>
      <w:r>
        <w:rPr>
          <w:rFonts w:ascii="Arial" w:cs="Arial" w:eastAsia="Arial" w:hAnsi="Arial"/>
          <w:sz w:val="17"/>
          <w:szCs w:val="17"/>
          <w:u w:val="single" w:color="auto"/>
          <w:color w:val="auto"/>
        </w:rPr>
        <w:t>controlling</w:t>
      </w:r>
      <w:r>
        <w:rPr>
          <w:rFonts w:ascii="Arial" w:cs="Arial" w:eastAsia="Arial" w:hAnsi="Arial"/>
          <w:sz w:val="17"/>
          <w:szCs w:val="17"/>
          <w:color w:val="auto"/>
        </w:rPr>
        <w:t>” and “controlled” have meanings correlative to the foregoing.</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have meaning set forth in Section 3(n).</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Saturday, Sunday and any day which shall be a legal holiday or a day on which banking institutions in the state of New York generally are authorized or required by law or other government actions to close.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date of the closing of the purchase and sale of the Preferred Shares and the Warrants pursuant to the Purchase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Company’s Common Stock, par value $0.001 per share.</w:t>
      </w:r>
    </w:p>
    <w:p>
      <w:pPr>
        <w:spacing w:after="0" w:line="225" w:lineRule="exact"/>
        <w:rPr>
          <w:sz w:val="20"/>
          <w:szCs w:val="20"/>
          <w:color w:val="auto"/>
        </w:rPr>
      </w:pPr>
    </w:p>
    <w:p>
      <w:pPr>
        <w:jc w:val="both"/>
        <w:ind w:firstLine="1297"/>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Date</w:t>
      </w:r>
      <w:r>
        <w:rPr>
          <w:rFonts w:ascii="Arial" w:cs="Arial" w:eastAsia="Arial" w:hAnsi="Arial"/>
          <w:sz w:val="18"/>
          <w:szCs w:val="18"/>
          <w:color w:val="auto"/>
        </w:rPr>
        <w:t>” means, subject to Section 2(b) hereof, with respect to the Registration Statement the earlier of (A) the sixtieth (60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following the Filing Date or (B) the date which is within five (5) Business Days after the date on which the Commission informs the Company (i) that the Commission will not review the Registration Statement or (ii) that the Company may request the acceleration of the effectiveness of the Registration Statement and the Company makes such request; </w:t>
      </w:r>
      <w:r>
        <w:rPr>
          <w:rFonts w:ascii="Arial" w:cs="Arial" w:eastAsia="Arial" w:hAnsi="Arial"/>
          <w:sz w:val="18"/>
          <w:szCs w:val="18"/>
          <w:u w:val="single" w:color="auto"/>
          <w:color w:val="auto"/>
        </w:rPr>
        <w:t>providedthat</w:t>
      </w:r>
      <w:r>
        <w:rPr>
          <w:rFonts w:ascii="Arial" w:cs="Arial" w:eastAsia="Arial" w:hAnsi="Arial"/>
          <w:sz w:val="18"/>
          <w:szCs w:val="18"/>
          <w:color w:val="auto"/>
        </w:rPr>
        <w:t xml:space="preserve"> , if the Effectiveness Date falls on a Saturday, Sunday or any other day which shall be a legal holiday or a day on which the Commission is authorized or required by law or other government actions to close, the Effectiveness Date shall be the following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429895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Period</w:t>
      </w:r>
      <w:r>
        <w:rPr>
          <w:rFonts w:ascii="Arial" w:cs="Arial" w:eastAsia="Arial" w:hAnsi="Arial"/>
          <w:sz w:val="18"/>
          <w:szCs w:val="18"/>
          <w:color w:val="auto"/>
        </w:rPr>
        <w:t>” shall have the meaning set forth in Section 2.</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w:t>
      </w:r>
      <w:r>
        <w:rPr>
          <w:rFonts w:ascii="Arial" w:cs="Arial" w:eastAsia="Arial" w:hAnsi="Arial"/>
          <w:sz w:val="18"/>
          <w:szCs w:val="18"/>
          <w:color w:val="auto"/>
        </w:rPr>
        <w:t>” shall have the meaning set forth in Section 7(e).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Date</w:t>
      </w:r>
      <w:r>
        <w:rPr>
          <w:rFonts w:ascii="Arial" w:cs="Arial" w:eastAsia="Arial" w:hAnsi="Arial"/>
          <w:sz w:val="18"/>
          <w:szCs w:val="18"/>
          <w:color w:val="auto"/>
        </w:rPr>
        <w:t>” shall have the meaning set forth in Section 7(e).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Filing Date</w:t>
      </w:r>
      <w:r>
        <w:rPr>
          <w:rFonts w:ascii="Arial" w:cs="Arial" w:eastAsia="Arial" w:hAnsi="Arial"/>
          <w:sz w:val="18"/>
          <w:szCs w:val="18"/>
          <w:color w:val="auto"/>
        </w:rPr>
        <w:t>” means, subject to Section 2(b) hereof, the date that is 60 days after the Closing Date.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or “</w:t>
      </w:r>
      <w:r>
        <w:rPr>
          <w:rFonts w:ascii="Arial" w:cs="Arial" w:eastAsia="Arial" w:hAnsi="Arial"/>
          <w:sz w:val="18"/>
          <w:szCs w:val="18"/>
          <w:u w:val="single" w:color="auto"/>
          <w:color w:val="auto"/>
        </w:rPr>
        <w:t>Holders</w:t>
      </w:r>
      <w:r>
        <w:rPr>
          <w:rFonts w:ascii="Arial" w:cs="Arial" w:eastAsia="Arial" w:hAnsi="Arial"/>
          <w:sz w:val="18"/>
          <w:szCs w:val="18"/>
          <w:color w:val="auto"/>
        </w:rPr>
        <w:t>” means the holder or holders, as the case may be, from time to time of Registrable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shall have the meaning set forth in Section 5(c).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shall have the meaning set forth in Section 5(c).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shall have the meaning set forth in Section 5(a).</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a corporation, partnership, trust, incorporated or unincorporated association, joint venture, limited liability company, joint stock company, government (or an agency or political subdivision thereof) or other entity of any kind.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Shares</w:t>
      </w:r>
      <w:r>
        <w:rPr>
          <w:rFonts w:ascii="Arial" w:cs="Arial" w:eastAsia="Arial" w:hAnsi="Arial"/>
          <w:sz w:val="18"/>
          <w:szCs w:val="18"/>
          <w:color w:val="auto"/>
        </w:rPr>
        <w:t>” means shares of the Series B Convertible Preferred Stock held by a Holder.</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investigation or partial proceeding, such as a deposition), whether commenced or threatened.</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prospectus included in the Registration Statement (including, without limitation, a prospectus that includes any information previously omitted from a prospectus filed as part of an effective registration statement in reliance upon Rule 430A promulgated under the Securities Act), as amended or supplemented by any prospectus supplement, with respect to the terms of the offering of any portion of the Registrable Securities covered by the Registration Statement, and all other amendments and supplements to the Prospectus, including post-effective amendments, and all material incorporated by reference in such Prospectus.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3" w:name="page94"/>
    <w:bookmarkEnd w:id="93"/>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xml:space="preserve"> means (i) the Shares (as hereinafter defined); (ii) shares of Common Stock issued as dividends on the Series B Preferred Stock; and (iii) shares of Common Stock issued in payment of liquidated damages under this Registration Rights Agreement, and no other securities.</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registration statements and any additional registration statements contemplated by Section 2, including (in each case) the Prospectus, amendments and supplements to such registration statement or Prospectus, including pre- and post-effective amendments, all exhibits thereto, and all material incorporated by reference in such registration statement.</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158</w:t>
      </w:r>
      <w:r>
        <w:rPr>
          <w:rFonts w:ascii="Arial" w:cs="Arial" w:eastAsia="Arial" w:hAnsi="Arial"/>
          <w:sz w:val="18"/>
          <w:szCs w:val="18"/>
          <w:color w:val="auto"/>
        </w:rPr>
        <w:t>” means Rule 158 promulgated by the Commission pursuant to the Securities Act, as such Rule may be amended from time to time, or any similar rule or regulation hereafter adopted by the Commission having substantially the same effect as such Rule.</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415</w:t>
      </w:r>
      <w:r>
        <w:rPr>
          <w:rFonts w:ascii="Arial" w:cs="Arial" w:eastAsia="Arial" w:hAnsi="Arial"/>
          <w:sz w:val="18"/>
          <w:szCs w:val="18"/>
          <w:color w:val="auto"/>
        </w:rPr>
        <w:t>” means Rule 415 promulgated by the Commission pursuant to the Securities Act, as such Rule may be amended from time to time, or any similar rule or regulation hereafter adopted by the Commission having substantially the same effect as such Rule.</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from time to time, or any similar rule or regulation hereafter adopted by the Commission having substantially the same effect as such Rule.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B Preferred Stock</w:t>
      </w:r>
      <w:r>
        <w:rPr>
          <w:rFonts w:ascii="Arial" w:cs="Arial" w:eastAsia="Arial" w:hAnsi="Arial"/>
          <w:sz w:val="18"/>
          <w:szCs w:val="18"/>
          <w:color w:val="auto"/>
        </w:rPr>
        <w:t>” means the Series B Convertible Preferred Stock of the Company, par value $.001 per share.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B Warrant</w:t>
      </w:r>
      <w:r>
        <w:rPr>
          <w:rFonts w:ascii="Arial" w:cs="Arial" w:eastAsia="Arial" w:hAnsi="Arial"/>
          <w:sz w:val="16"/>
          <w:szCs w:val="16"/>
          <w:color w:val="auto"/>
        </w:rPr>
        <w:t>” means the Series B Warrants to purchase shares of Common Stock issued to the Purchaser pursuant to the Purchase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 underlying the Series B Preferred Stock, and the shares of Common Stock underlying the Series B Warrant pursuant to Section 7(e) herein.</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Counsel</w:t>
      </w:r>
      <w:r>
        <w:rPr>
          <w:rFonts w:ascii="Arial" w:cs="Arial" w:eastAsia="Arial" w:hAnsi="Arial"/>
          <w:sz w:val="18"/>
          <w:szCs w:val="18"/>
          <w:color w:val="auto"/>
        </w:rPr>
        <w:t>” means the counsel identified by Holders to the Company, for which the Holders will be reimbursed by the Company pursuant to Section 4.</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4" w:name="page95"/>
    <w:bookmarkEnd w:id="94"/>
    <w:p>
      <w:pPr>
        <w:ind w:left="1280" w:hanging="624"/>
        <w:spacing w:after="0"/>
        <w:tabs>
          <w:tab w:leader="none" w:pos="128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Resale Registration.</w:t>
      </w:r>
    </w:p>
    <w:p>
      <w:pPr>
        <w:spacing w:after="0" w:line="225" w:lineRule="exact"/>
        <w:rPr>
          <w:rFonts w:ascii="Arial" w:cs="Arial" w:eastAsia="Arial" w:hAnsi="Arial"/>
          <w:sz w:val="18"/>
          <w:szCs w:val="18"/>
          <w:color w:val="auto"/>
        </w:rPr>
      </w:pPr>
    </w:p>
    <w:p>
      <w:pPr>
        <w:jc w:val="both"/>
        <w:ind w:firstLine="1305"/>
        <w:spacing w:after="0" w:line="285" w:lineRule="auto"/>
        <w:tabs>
          <w:tab w:leader="none" w:pos="2234" w:val="left"/>
        </w:tabs>
        <w:numPr>
          <w:ilvl w:val="1"/>
          <w:numId w:val="91"/>
        </w:numPr>
        <w:rPr>
          <w:rFonts w:ascii="Arial" w:cs="Arial" w:eastAsia="Arial" w:hAnsi="Arial"/>
          <w:sz w:val="16"/>
          <w:szCs w:val="16"/>
          <w:color w:val="auto"/>
        </w:rPr>
      </w:pPr>
      <w:r>
        <w:rPr>
          <w:rFonts w:ascii="Arial" w:cs="Arial" w:eastAsia="Arial" w:hAnsi="Arial"/>
          <w:sz w:val="16"/>
          <w:szCs w:val="16"/>
          <w:color w:val="auto"/>
        </w:rPr>
        <w:t>On or prior to the Filing Date, the Company shall prepare and file with the Commission a “resale” Registration Statement providing for the resale of all Registrable Securities for an offering to be made on a continuous basis pursuant to Rule 415. The Registration Statement shall be on Form S-1 (except if the Company is not then eligible to register for resale the Registrable Securities on Form S-1, in which case such registration shall be on another appropriate form in accordance herewith and with the Securities Act and the rules promulgated thereunder). Such Registration Statement shall cover to the extent allowable under the Securities Act and the rules promulgated thereunder (including Rule 416), such indeterminate number of addit ional shares of Common Stock resulting from stock splits, stock dividends or similar transactions with respect to the Registrable Securities. The Company shall (i) not permit any securities other than the Registrable Shares to be included in the Registration Statement and (ii) use its best efforts to cause the Registration Statement to be declared effective under the Securities Act on or before the Effectiveness Date, and to keep such Registration Statement continuously effective under the Securities Act until such date as is the earlier of (x) the date when all Registrable Securities covered by such Registration Statement have been sold or (y) the date on which the Registrable Securities may be sold without any restriction pursuant to Rule 144 without restriction as to volume or manner of sale as determined by the counsel to the Company pursuant to a written opinion letter, addressed to the Company’s transfer agent to such effect (the “Effectiveness Period”). The Company shall request that the effective time of the Registration Statement is 4:00 p.m. Eastern Time on the effective date. If at any time and for any reason, an additional Registration Statement is required to be filed because at such time the actual number of shares of Common Stock into which the Preferred Shares are convertible and the Warrants are exercisable plus the number of shares of Common Stock exceeds the number of shares of Registrable Securities remaining under the Registration Statement, the Company shall have twenty (20) Business Days or such longer period required by the Commission to file such additional Registration Statement, and the Company shall use its best efforts to cause such additional Registration Statement to be declared effective by the Commission as soon as possible, but in no event later than ninety (90) days after filing.</w:t>
      </w:r>
    </w:p>
    <w:p>
      <w:pPr>
        <w:spacing w:after="0" w:line="175" w:lineRule="exact"/>
        <w:rPr>
          <w:rFonts w:ascii="Arial" w:cs="Arial" w:eastAsia="Arial" w:hAnsi="Arial"/>
          <w:sz w:val="16"/>
          <w:szCs w:val="16"/>
          <w:color w:val="auto"/>
        </w:rPr>
      </w:pPr>
    </w:p>
    <w:p>
      <w:pPr>
        <w:jc w:val="both"/>
        <w:ind w:firstLine="1305"/>
        <w:spacing w:after="0" w:line="279" w:lineRule="auto"/>
        <w:tabs>
          <w:tab w:leader="none" w:pos="2029" w:val="left"/>
        </w:tabs>
        <w:numPr>
          <w:ilvl w:val="1"/>
          <w:numId w:val="91"/>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this Section 2, in the event the Commission does not permit the Company to register all of the Registrable Securities in the Registration Statement because of the Commission’s application of Rule 415, the Company shall register in the Registration Statement such number of Registrable Securities as is permitted by the Commission, provided, however, that the number of Registrable Securities to be included in such Registration Statement or any subsequent registration statement shall be determined in the following order: (i) first, the shares of Common Stock issuable upon conversion of the Preferred Shares shall be registered, and (ii) second, the shares of Common Stock issuable upon exercise of the Warrants sha ll be registered on a pro rata basis among the holders of the Warrants. In the event the Commission does not permit the Company to register all of the Registrable Securities in the initial Registration Statement, the Company shall use its best efforts to file subsequent Registration Statements to register the Registrable Securities that were not registered in the initial Registration Statement as promptly as possible and in a manner permitted by the Commission. For purposes of this Section 2(b), “Filing Date” means with respect to each subsequent Registration Statement filed pursuant hereto, the later of (i) sixty (60) days following the sale of substantially all of the Registrable Securities included in the initial Registration Statement or any subsequent Registration Statement and (ii) six (6) months following the effective date of the initial Registration Statement or any subsequent Registration Statement, as applicable, or such earlier date as permitted by the Commission . For purposes of this Section 2(b), “</w:t>
      </w:r>
      <w:r>
        <w:rPr>
          <w:rFonts w:ascii="Arial" w:cs="Arial" w:eastAsia="Arial" w:hAnsi="Arial"/>
          <w:sz w:val="16"/>
          <w:szCs w:val="16"/>
          <w:u w:val="single" w:color="auto"/>
          <w:color w:val="auto"/>
        </w:rPr>
        <w:t>Effectiveness Date</w:t>
      </w:r>
      <w:r>
        <w:rPr>
          <w:rFonts w:ascii="Arial" w:cs="Arial" w:eastAsia="Arial" w:hAnsi="Arial"/>
          <w:sz w:val="16"/>
          <w:szCs w:val="16"/>
          <w:color w:val="auto"/>
        </w:rPr>
        <w:t>” means with respect to each subsequent Registration Statement filed pursuant hereto, the earlier of (A) the sixtieth (60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following the filing date of such Registration Statement or (B) the date which is within five (5) Business Days after the date on which the Commission informs the Company (i) that the Commission will not review such Registration Statement or (ii) that the Company may request the acceleration of the effectiveness of such Registration Statement and the Company makes such request; </w:t>
      </w:r>
      <w:r>
        <w:rPr>
          <w:rFonts w:ascii="Arial" w:cs="Arial" w:eastAsia="Arial" w:hAnsi="Arial"/>
          <w:sz w:val="16"/>
          <w:szCs w:val="16"/>
          <w:u w:val="single" w:color="auto"/>
          <w:color w:val="auto"/>
        </w:rPr>
        <w:t>providedthat</w:t>
      </w:r>
      <w:r>
        <w:rPr>
          <w:rFonts w:ascii="Arial" w:cs="Arial" w:eastAsia="Arial" w:hAnsi="Arial"/>
          <w:sz w:val="16"/>
          <w:szCs w:val="16"/>
          <w:color w:val="auto"/>
        </w:rPr>
        <w:t>, if the Effectiveness Date falls on a Saturday, Sunday or any other day whi ch shall be a legal holiday or a day on which the Commission is authorized or required by law or other government actions to close, the Effectiveness Date shall be the following Business Day.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5" w:name="page96"/>
    <w:bookmarkEnd w:id="95"/>
    <w:p>
      <w:pPr>
        <w:ind w:left="1280" w:hanging="624"/>
        <w:spacing w:after="0"/>
        <w:tabs>
          <w:tab w:leader="none" w:pos="128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connection with the Company’s registration obligations hereunder, the Company shall:</w:t>
      </w:r>
    </w:p>
    <w:p>
      <w:pPr>
        <w:spacing w:after="0" w:line="225" w:lineRule="exact"/>
        <w:rPr>
          <w:sz w:val="20"/>
          <w:szCs w:val="20"/>
          <w:color w:val="auto"/>
        </w:rPr>
      </w:pPr>
    </w:p>
    <w:p>
      <w:pPr>
        <w:jc w:val="both"/>
        <w:ind w:firstLine="677"/>
        <w:spacing w:after="0" w:line="269" w:lineRule="auto"/>
        <w:tabs>
          <w:tab w:leader="none" w:pos="14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Prepare and file with the Commission, on or prior to the Filing Date, a Registration Statement on Form S-1 (or if the Company is not then eligible to register for resale the Registrable Securities on Form S-1 such registration shall be on another appropriate form in accordance herewith and the Securities Act and the rules promulgated thereunder) in accordance with the plan of distribution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and in accordance with applicable law, and cause the Registration Statement to become effective and remain effective as provided herein; </w:t>
      </w:r>
      <w:r>
        <w:rPr>
          <w:rFonts w:ascii="Arial" w:cs="Arial" w:eastAsia="Arial" w:hAnsi="Arial"/>
          <w:sz w:val="17"/>
          <w:szCs w:val="17"/>
          <w:u w:val="single" w:color="auto"/>
          <w:color w:val="auto"/>
        </w:rPr>
        <w:t>provided</w:t>
      </w:r>
      <w:r>
        <w:rPr>
          <w:rFonts w:ascii="Arial" w:cs="Arial" w:eastAsia="Arial" w:hAnsi="Arial"/>
          <w:sz w:val="17"/>
          <w:szCs w:val="17"/>
          <w:color w:val="auto"/>
        </w:rPr>
        <w:t>, &lt; font style="DISPLAY: inline; TEXT-DECORATION: underline"&gt;however, that not less than five (5) Business Days prior to the filing of the Registration Statement or any related Prospectus or any amendment or supplement thereto, the Company shall (i) furnish to the Holders and any Special Counsel, copies of all such documents proposed to be filed, which documents will be subject to the review of such Holders and such Special Counsel, and (ii) cause its officers and directors, counsel and independent certified public accountants to respond to such inquiries as shall be necessary, in the reasonable opinion of Special Counsel, to conduct a reasonable review of such documents. The Company shall not file the Registration Statement or any such Prospectus or any amendments or supplements thereto to which the Holders of a majority of the Registrable Securities or any Special Counsel shall reasonably object in writing within three (3) Business Days of their receipt thereof.</w:t>
      </w:r>
    </w:p>
    <w:p>
      <w:pPr>
        <w:spacing w:after="0" w:line="209" w:lineRule="exact"/>
        <w:rPr>
          <w:rFonts w:ascii="Arial" w:cs="Arial" w:eastAsia="Arial" w:hAnsi="Arial"/>
          <w:sz w:val="17"/>
          <w:szCs w:val="17"/>
          <w:color w:val="auto"/>
        </w:rPr>
      </w:pPr>
    </w:p>
    <w:p>
      <w:pPr>
        <w:jc w:val="both"/>
        <w:ind w:firstLine="676"/>
        <w:spacing w:after="0" w:line="269" w:lineRule="auto"/>
        <w:tabs>
          <w:tab w:leader="none" w:pos="1393" w:val="left"/>
        </w:tabs>
        <w:numPr>
          <w:ilvl w:val="0"/>
          <w:numId w:val="93"/>
        </w:numPr>
        <w:rPr>
          <w:rFonts w:ascii="Arial" w:cs="Arial" w:eastAsia="Arial" w:hAnsi="Arial"/>
          <w:sz w:val="17"/>
          <w:szCs w:val="17"/>
          <w:color w:val="auto"/>
        </w:rPr>
      </w:pPr>
      <w:r>
        <w:rPr>
          <w:rFonts w:ascii="Arial" w:cs="Arial" w:eastAsia="Arial" w:hAnsi="Arial"/>
          <w:sz w:val="17"/>
          <w:szCs w:val="17"/>
          <w:color w:val="auto"/>
        </w:rPr>
        <w:t>(i) Prepare and file with the Commission such amendments, including post-effective amendments, to the Registration Statement as may be necessary to keep the Registration Statement continuously effective as to the applicable Registrable Securities for the Effectiveness Period and prepare and file with the Commission such additional Registration Statements as necessary in order to register for resale under the Securities Act all of the Registrable Securities; (ii) cause the related Prospectus to be amended or supplemented by any required Prospectus supplement, and as so supplemented or amended to be filed pursuant to Rule 424 (or any similar provisions then in force) promulgated under the Securit ies Act; (iii) respond as promptly as possible, but in no event later than ten (10) Business Days, to any comments received from the Commission with respect to the Registration Statement or any amendment thereto and as promptly as possible provide the Holders true and complete copies of all correspondence from and to the Commission relating to the Registration Statement; (iv) file the final prospectus pursuant to Rule 424 of the Securities Act no later than 9:00 a.m. Eastern Time on the Business Day following the date the Registration Statement is declared effective by the Commission; and (v) comply in all material respects with the provisions of the Securities Act and the Exchange Act with respect to the disposition of all Registrable Securities covered by the Registration Statement during the Effectiveness Period in accordance with the intended methods of disposition by the Holders thereof set forth in the Registration Statement as so amended or in such Prospectus as so supplemented.</w:t>
      </w:r>
    </w:p>
    <w:p>
      <w:pPr>
        <w:spacing w:after="0" w:line="179" w:lineRule="exact"/>
        <w:rPr>
          <w:rFonts w:ascii="Arial" w:cs="Arial" w:eastAsia="Arial" w:hAnsi="Arial"/>
          <w:sz w:val="17"/>
          <w:szCs w:val="17"/>
          <w:color w:val="auto"/>
        </w:rPr>
      </w:pPr>
    </w:p>
    <w:p>
      <w:pPr>
        <w:ind w:firstLine="674"/>
        <w:spacing w:after="0" w:line="285" w:lineRule="auto"/>
        <w:tabs>
          <w:tab w:leader="none" w:pos="1361" w:val="left"/>
        </w:tabs>
        <w:numPr>
          <w:ilvl w:val="0"/>
          <w:numId w:val="93"/>
        </w:numPr>
        <w:rPr>
          <w:rFonts w:ascii="Arial" w:cs="Arial" w:eastAsia="Arial" w:hAnsi="Arial"/>
          <w:sz w:val="16"/>
          <w:szCs w:val="16"/>
          <w:color w:val="auto"/>
        </w:rPr>
      </w:pPr>
      <w:r>
        <w:rPr>
          <w:rFonts w:ascii="Arial" w:cs="Arial" w:eastAsia="Arial" w:hAnsi="Arial"/>
          <w:sz w:val="16"/>
          <w:szCs w:val="16"/>
          <w:color w:val="auto"/>
        </w:rPr>
        <w:t>Notify the Holders of Registrable Securities and any Special Counsel as promptly as possible (and, in the case of (i)(A) below, not less than five (5) Business Days prior to such filing, and in the case of (iii) below, on the same day of receipt by the Company of such notice from the Commission) and (if requested by any such Person) confirm such notice in writing no later than one (1) Business Day following the day (i)(A) when a Prospectus or any Prospectus supplement or post-effective amendment to the Registration Statement is filed; (B) when the Commission notifies the Company whether there will be a “review” of such Registration Statement and whenever the Commission comments in writing on such Registration Statement and (C) with re spect to the Registration Statement or any post-effective amendment, when the same has become effective; (ii) of any request by the Commission or any other Federal or state governmental authority for amendments or supplements to the Registration Statement or Prospectus or for additional information; (iii) of the issuance by the Commission of any stop order suspending the effectiveness of the Registration Statement covering any or all of the Registrable Securities or the initiation or threatening of any Proceedings for that purpose; (iv) if at any time any of the representations and warranties of the Company contained in any agreement contemplated hereby ceases to be true and correct in all material respects; (v) of the receipt by the Company of any notification with respect to the suspension of the qualification or exemption from qualification of any of the Registrable Securities for sale in any jurisdiction, or the initiation or threatening of any Proceeding for such purpose; and (vi) of the occurrence of a ny event that makes any statement made in the Registration Statement or Prospectus or any document incorporated or deemed to be incorporated therein by reference untrue in any material respect or that requires any revisions to the Registration Statement, Prospectus or other documents so that, in the case of the Registration Statement or the Prospectus, as the case may be,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204" w:lineRule="exact"/>
        <w:rPr>
          <w:rFonts w:ascii="Arial" w:cs="Arial" w:eastAsia="Arial" w:hAnsi="Arial"/>
          <w:sz w:val="16"/>
          <w:szCs w:val="16"/>
          <w:color w:val="auto"/>
        </w:rPr>
      </w:pPr>
    </w:p>
    <w:p>
      <w:pPr>
        <w:ind w:firstLine="674"/>
        <w:spacing w:after="0" w:line="264" w:lineRule="auto"/>
        <w:tabs>
          <w:tab w:leader="none" w:pos="1371" w:val="left"/>
        </w:tabs>
        <w:numPr>
          <w:ilvl w:val="0"/>
          <w:numId w:val="93"/>
        </w:numPr>
        <w:rPr>
          <w:rFonts w:ascii="Arial" w:cs="Arial" w:eastAsia="Arial" w:hAnsi="Arial"/>
          <w:sz w:val="18"/>
          <w:szCs w:val="18"/>
          <w:color w:val="auto"/>
        </w:rPr>
      </w:pPr>
      <w:r>
        <w:rPr>
          <w:rFonts w:ascii="Arial" w:cs="Arial" w:eastAsia="Arial" w:hAnsi="Arial"/>
          <w:sz w:val="18"/>
          <w:szCs w:val="18"/>
          <w:color w:val="auto"/>
        </w:rPr>
        <w:t>Use its best efforts to avoid the issuance of, or, if issued, obtain the withdrawal of, as promptly as possible, (i) any order suspending the effectiveness of the Registration Statement or (ii) any suspension of the qualification (or exemption from qualification) of any of the Registrable Securities for sale in any jurisdiction.</w:t>
      </w:r>
    </w:p>
    <w:p>
      <w:pPr>
        <w:spacing w:after="0" w:line="181" w:lineRule="exact"/>
        <w:rPr>
          <w:rFonts w:ascii="Arial" w:cs="Arial" w:eastAsia="Arial" w:hAnsi="Arial"/>
          <w:sz w:val="18"/>
          <w:szCs w:val="18"/>
          <w:color w:val="auto"/>
        </w:rPr>
      </w:pPr>
    </w:p>
    <w:p>
      <w:pPr>
        <w:ind w:right="240" w:firstLine="674"/>
        <w:spacing w:after="0" w:line="259" w:lineRule="auto"/>
        <w:tabs>
          <w:tab w:leader="none" w:pos="1361"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requested by the Holders of a majority in interest of the Registrable Securities, (i) promptly incorporate in a Prospectus supplement or post-effective amendment to the Registration Statement such information as the Company reasonably agrees should be included therein and (ii) make all required filings of such Prospectus supplement or such post-effective amendment as soon as practicable after the Company has received notification of the matters to be incorporated in such Prospectus supplement or post-effective amendment.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6" w:name="page97"/>
    <w:bookmarkEnd w:id="96"/>
    <w:p>
      <w:pPr>
        <w:ind w:left="-20" w:firstLine="674"/>
        <w:spacing w:after="0" w:line="259" w:lineRule="auto"/>
        <w:tabs>
          <w:tab w:leader="none" w:pos="1447"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requested by any Holder, furnish to such Holder and any Special Counsel, without charge, at least one conformed copy of each Registration Statement and each amendment thereto, including financial statements and schedules, all documents incorporated or deemed to be incorporated therein by reference, and all exhibits to the extent requested by such Person (including those previously furnished or incorporated by reference) promptly after the filing of such documents with the Commission.</w:t>
      </w:r>
    </w:p>
    <w:p>
      <w:pPr>
        <w:spacing w:after="0" w:line="186" w:lineRule="exact"/>
        <w:rPr>
          <w:rFonts w:ascii="Arial" w:cs="Arial" w:eastAsia="Arial" w:hAnsi="Arial"/>
          <w:sz w:val="18"/>
          <w:szCs w:val="18"/>
          <w:color w:val="auto"/>
        </w:rPr>
      </w:pPr>
    </w:p>
    <w:p>
      <w:pPr>
        <w:ind w:left="-20" w:firstLine="674"/>
        <w:spacing w:after="0" w:line="302" w:lineRule="auto"/>
        <w:tabs>
          <w:tab w:leader="none" w:pos="1477" w:val="left"/>
        </w:tabs>
        <w:numPr>
          <w:ilvl w:val="0"/>
          <w:numId w:val="94"/>
        </w:numPr>
        <w:rPr>
          <w:rFonts w:ascii="Arial" w:cs="Arial" w:eastAsia="Arial" w:hAnsi="Arial"/>
          <w:sz w:val="16"/>
          <w:szCs w:val="16"/>
          <w:color w:val="auto"/>
        </w:rPr>
      </w:pPr>
      <w:r>
        <w:rPr>
          <w:rFonts w:ascii="Arial" w:cs="Arial" w:eastAsia="Arial" w:hAnsi="Arial"/>
          <w:sz w:val="16"/>
          <w:szCs w:val="16"/>
          <w:color w:val="auto"/>
        </w:rPr>
        <w:t>Promptly deliver to each Holder and any Special Counsel, without charge, as many copies of the Prospectus or Prospectuses (including each form of prospectus) and each amendment or supplement thereto as such Persons may reasonably request; and subject to the provisions of Sections 3(m) and 3(n), the Company hereby consents to the use of such Prospectus and each amendment or supplement thereto by each of the selling Holders in connection with the offering and sale of the Registrable Securities covered by such Prospectus and any amendment or supplement thereto.</w:t>
      </w:r>
    </w:p>
    <w:p>
      <w:pPr>
        <w:spacing w:after="0" w:line="154" w:lineRule="exact"/>
        <w:rPr>
          <w:rFonts w:ascii="Arial" w:cs="Arial" w:eastAsia="Arial" w:hAnsi="Arial"/>
          <w:sz w:val="16"/>
          <w:szCs w:val="16"/>
          <w:color w:val="auto"/>
        </w:rPr>
      </w:pPr>
    </w:p>
    <w:p>
      <w:pPr>
        <w:ind w:left="-20" w:right="100" w:firstLine="674"/>
        <w:spacing w:after="0" w:line="254" w:lineRule="auto"/>
        <w:tabs>
          <w:tab w:leader="none" w:pos="1477"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Prior to any public offering of Registrable Securities, use its best efforts to register or qualify or cooperate with the selling Holders and any Special Counsel in connection with the registration or qualification (or exemption from such registration or qualification) of such Registrable Securities for offer and sale under the securities or Blue Sky laws of such jurisdictions within the United States as any Holder requests in writing, to keep each such registration or qualification (or exemption therefrom) effective during the Effectiveness Period and to do any and all other acts or things necessary or advisable to enable the disposition in such jurisdictions of the Registrable Securities covered by a Registration Statement;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qualify generally to do business in any jurisdiction where it is not then so qualified or to take any action that would subject it to general service of process in any such jurisdiction where it is not then so subject or subject the Company to any material tax in any such jurisdiction where it is not then so subject.</w:t>
      </w:r>
    </w:p>
    <w:p>
      <w:pPr>
        <w:spacing w:after="0" w:line="192" w:lineRule="exact"/>
        <w:rPr>
          <w:rFonts w:ascii="Arial" w:cs="Arial" w:eastAsia="Arial" w:hAnsi="Arial"/>
          <w:sz w:val="18"/>
          <w:szCs w:val="18"/>
          <w:color w:val="auto"/>
        </w:rPr>
      </w:pPr>
    </w:p>
    <w:p>
      <w:pPr>
        <w:ind w:left="-20" w:right="100" w:firstLine="674"/>
        <w:spacing w:after="0" w:line="259" w:lineRule="auto"/>
        <w:tabs>
          <w:tab w:leader="none" w:pos="1311"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Cooperate with the Holders to facilitate the timely preparation and delivery of certificates representing Registrable Securities to be sold pursuant to a Registration Statement, which certificates, to the extent permitted by the Purchase Agreement and applicable federal and state securities laws, shall be free of all restrictive legends, and to enable such Registrable Securities to be in such denominations and registered in such names as any Holder may request in connection with any sale of Registrable Securities.</w:t>
      </w:r>
    </w:p>
    <w:p>
      <w:pPr>
        <w:spacing w:after="0" w:line="186" w:lineRule="exact"/>
        <w:rPr>
          <w:rFonts w:ascii="Arial" w:cs="Arial" w:eastAsia="Arial" w:hAnsi="Arial"/>
          <w:sz w:val="18"/>
          <w:szCs w:val="18"/>
          <w:color w:val="auto"/>
        </w:rPr>
      </w:pPr>
    </w:p>
    <w:p>
      <w:pPr>
        <w:ind w:left="-20" w:firstLine="674"/>
        <w:spacing w:after="0" w:line="257" w:lineRule="auto"/>
        <w:tabs>
          <w:tab w:leader="none" w:pos="1311" w:val="left"/>
        </w:tabs>
        <w:numPr>
          <w:ilvl w:val="0"/>
          <w:numId w:val="94"/>
        </w:numPr>
        <w:rPr>
          <w:rFonts w:ascii="Arial" w:cs="Arial" w:eastAsia="Arial" w:hAnsi="Arial"/>
          <w:sz w:val="18"/>
          <w:szCs w:val="18"/>
          <w:color w:val="auto"/>
        </w:rPr>
      </w:pPr>
      <w:r>
        <w:rPr>
          <w:rFonts w:ascii="Arial" w:cs="Arial" w:eastAsia="Arial" w:hAnsi="Arial"/>
          <w:sz w:val="18"/>
          <w:szCs w:val="18"/>
          <w:color w:val="auto"/>
        </w:rPr>
        <w:t>Upon the occurrence of any event contemplated by Section 3(c)(vi), as promptly as possible, prepare a supplement or amendment, including a post-effective amendment, to the Registration Statement or a supplement to the related Prospectus or any document incorporated or deemed to be incorporated therein by reference, and file any other required document so that, as thereafter delivered, neither the Registration Statement nor such Prospectus will contain an untrue statement of a material fact or omit to state a material fact required to be stated therein or necessary to make the statements therein, in the light of the circumstances under which they were made, not misleading.</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490" w:right="259" w:bottom="1440" w:gutter="0" w:footer="0" w:header="0"/>
        </w:sectPr>
      </w:pPr>
    </w:p>
    <w:bookmarkStart w:id="97" w:name="page98"/>
    <w:bookmarkEnd w:id="97"/>
    <w:p>
      <w:pPr>
        <w:ind w:right="20" w:firstLine="674"/>
        <w:spacing w:after="0" w:line="264" w:lineRule="auto"/>
        <w:tabs>
          <w:tab w:leader="none" w:pos="1371" w:val="left"/>
        </w:tabs>
        <w:numPr>
          <w:ilvl w:val="0"/>
          <w:numId w:val="95"/>
        </w:numPr>
        <w:rPr>
          <w:rFonts w:ascii="Arial" w:cs="Arial" w:eastAsia="Arial" w:hAnsi="Arial"/>
          <w:sz w:val="18"/>
          <w:szCs w:val="18"/>
          <w:color w:val="auto"/>
        </w:rPr>
      </w:pPr>
      <w:r>
        <w:rPr>
          <w:rFonts w:ascii="Arial" w:cs="Arial" w:eastAsia="Arial" w:hAnsi="Arial"/>
          <w:sz w:val="18"/>
          <w:szCs w:val="18"/>
          <w:color w:val="auto"/>
        </w:rPr>
        <w:t>Use its best efforts to cause all Registrable Securities relating to the Registration Statement to be listed or quoted on the OTC Bulletin Board or any other securities exchange, quotation system or market, if any, on which similar securities issued by the Company are then listed or traded as and when required pursuant to the Purchase Agreement.</w:t>
      </w:r>
    </w:p>
    <w:p>
      <w:pPr>
        <w:spacing w:after="0" w:line="181" w:lineRule="exact"/>
        <w:rPr>
          <w:rFonts w:ascii="Arial" w:cs="Arial" w:eastAsia="Arial" w:hAnsi="Arial"/>
          <w:sz w:val="18"/>
          <w:szCs w:val="18"/>
          <w:color w:val="auto"/>
        </w:rPr>
      </w:pPr>
    </w:p>
    <w:p>
      <w:pPr>
        <w:ind w:right="40" w:firstLine="674"/>
        <w:spacing w:after="0" w:line="257" w:lineRule="auto"/>
        <w:tabs>
          <w:tab w:leader="none" w:pos="1331"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Comply in all material respects with all applicable rules and regulations of the Commission and make generally available to its security holders all documents filed or required to be filed with the Commission, including, but not limited, to, earning statements satisfying the provisions of Section 11(a) of the Securities Act and Rule 158 not later than 45 days after the end of any 12-month period (or 90 days after the end of any 12-month period if such period is a fiscal year) commencing on the first day of the first fiscal quarter of the Company after the effective date of the Registration Statement, which statement shall conform to the requirements of Rule 158.</w:t>
      </w:r>
    </w:p>
    <w:p>
      <w:pPr>
        <w:spacing w:after="0" w:line="188" w:lineRule="exact"/>
        <w:rPr>
          <w:rFonts w:ascii="Arial" w:cs="Arial" w:eastAsia="Arial" w:hAnsi="Arial"/>
          <w:sz w:val="18"/>
          <w:szCs w:val="18"/>
          <w:color w:val="auto"/>
        </w:rPr>
      </w:pPr>
    </w:p>
    <w:p>
      <w:pPr>
        <w:ind w:right="80" w:firstLine="674"/>
        <w:spacing w:after="0" w:line="259" w:lineRule="auto"/>
        <w:tabs>
          <w:tab w:leader="none" w:pos="141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may require each selling Holder to furnish to the Company information regarding such Holder and the distribution of such Registrable Securities as is required by law to be disclosed in the Registration Statement, Prospectus, or any amendment or supplement thereto, and the Company may exclude from such registration the Registrable Securities of any such Holder who unreasonably fails to furnish such information within a reasonable time after receiving such request.</w:t>
      </w:r>
    </w:p>
    <w:p>
      <w:pPr>
        <w:spacing w:after="0" w:line="187" w:lineRule="exact"/>
        <w:rPr>
          <w:sz w:val="20"/>
          <w:szCs w:val="20"/>
          <w:color w:val="auto"/>
        </w:rPr>
      </w:pPr>
    </w:p>
    <w:p>
      <w:pPr>
        <w:ind w:firstLine="666"/>
        <w:spacing w:after="0" w:line="259" w:lineRule="auto"/>
        <w:rPr>
          <w:sz w:val="20"/>
          <w:szCs w:val="20"/>
          <w:color w:val="auto"/>
        </w:rPr>
      </w:pPr>
      <w:r>
        <w:rPr>
          <w:rFonts w:ascii="Arial" w:cs="Arial" w:eastAsia="Arial" w:hAnsi="Arial"/>
          <w:sz w:val="18"/>
          <w:szCs w:val="18"/>
          <w:color w:val="auto"/>
        </w:rPr>
        <w:t>If the Registration Statement refers to any Holder by name or otherwise as the holder of any securities of the Company, then such Holder shall have the right to require (if such reference to such Holder by name or otherwise is not required by the Securities Act or any similar federal statute then in force) the deletion of the reference to such Holder in any amendment or supplement to the Registration Statement filed or prepared subsequent to the time that such reference ceases to be required.</w:t>
      </w:r>
    </w:p>
    <w:p>
      <w:pPr>
        <w:spacing w:after="0" w:line="187" w:lineRule="exact"/>
        <w:rPr>
          <w:sz w:val="20"/>
          <w:szCs w:val="20"/>
          <w:color w:val="auto"/>
        </w:rPr>
      </w:pPr>
    </w:p>
    <w:p>
      <w:pPr>
        <w:ind w:right="420" w:firstLine="666"/>
        <w:spacing w:after="0" w:line="286" w:lineRule="auto"/>
        <w:rPr>
          <w:sz w:val="20"/>
          <w:szCs w:val="20"/>
          <w:color w:val="auto"/>
        </w:rPr>
      </w:pPr>
      <w:r>
        <w:rPr>
          <w:rFonts w:ascii="Arial" w:cs="Arial" w:eastAsia="Arial" w:hAnsi="Arial"/>
          <w:sz w:val="17"/>
          <w:szCs w:val="17"/>
          <w:color w:val="auto"/>
        </w:rPr>
        <w:t>Each Holder covenants and agrees that it will not sell any Registrable Securities under the Registration Statement until the Company has electronically filed the Prospectus as then amended or supplemented as contemplated in Section 3(g) and notice from the Company that the Registration Statement and any post-effective amendments thereto have become effective as contemplated by Section 3(c).</w:t>
      </w:r>
    </w:p>
    <w:p>
      <w:pPr>
        <w:spacing w:after="0" w:line="166" w:lineRule="exact"/>
        <w:rPr>
          <w:sz w:val="20"/>
          <w:szCs w:val="20"/>
          <w:color w:val="auto"/>
        </w:rPr>
      </w:pPr>
    </w:p>
    <w:p>
      <w:pPr>
        <w:ind w:right="100" w:firstLine="666"/>
        <w:spacing w:after="0" w:line="255" w:lineRule="auto"/>
        <w:rPr>
          <w:sz w:val="20"/>
          <w:szCs w:val="20"/>
          <w:color w:val="auto"/>
        </w:rPr>
      </w:pPr>
      <w:r>
        <w:rPr>
          <w:rFonts w:ascii="Arial" w:cs="Arial" w:eastAsia="Arial" w:hAnsi="Arial"/>
          <w:sz w:val="18"/>
          <w:szCs w:val="18"/>
          <w:color w:val="auto"/>
        </w:rPr>
        <w:t>Each Holder agrees by its acquisition of such Registrable Securities that, upon receipt of a notice from the Company of the occurrence of any event of the kind described in Section 3(c)(ii), 3(c)(iii), 3(c)(iv), 3(c)(v), 3(c)(vi) or 3(n), such Holder will forthwith discontinue disposition of such Registrable Securities under the Registration Statement until such Holder’s receipt of the copies of the supplemented Prospectus and/or amended Registration Statement contemplated by Section 3(j), or until it is advised in writing (the “</w:t>
      </w:r>
      <w:r>
        <w:rPr>
          <w:rFonts w:ascii="Arial" w:cs="Arial" w:eastAsia="Arial" w:hAnsi="Arial"/>
          <w:sz w:val="18"/>
          <w:szCs w:val="18"/>
          <w:u w:val="single" w:color="auto"/>
          <w:color w:val="auto"/>
        </w:rPr>
        <w:t>Advice</w:t>
      </w:r>
      <w:r>
        <w:rPr>
          <w:rFonts w:ascii="Arial" w:cs="Arial" w:eastAsia="Arial" w:hAnsi="Arial"/>
          <w:sz w:val="18"/>
          <w:szCs w:val="18"/>
          <w:color w:val="auto"/>
        </w:rPr>
        <w:t>”) by the Company that the use of the applicable Prospectus may be resumed, and, in either case, has received copies of any additional or supplemental filings that are incorporated or deemed to be inco rporated by reference in such Prospectus or Registration Statement.</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98" w:name="page99"/>
    <w:bookmarkEnd w:id="98"/>
    <w:p>
      <w:pPr>
        <w:ind w:right="40" w:firstLine="674"/>
        <w:spacing w:after="0" w:line="288" w:lineRule="auto"/>
        <w:tabs>
          <w:tab w:leader="none" w:pos="1371" w:val="left"/>
        </w:tabs>
        <w:numPr>
          <w:ilvl w:val="1"/>
          <w:numId w:val="96"/>
        </w:numPr>
        <w:rPr>
          <w:rFonts w:ascii="Arial" w:cs="Arial" w:eastAsia="Arial" w:hAnsi="Arial"/>
          <w:sz w:val="16"/>
          <w:szCs w:val="16"/>
          <w:color w:val="auto"/>
        </w:rPr>
      </w:pPr>
      <w:r>
        <w:rPr>
          <w:rFonts w:ascii="Arial" w:cs="Arial" w:eastAsia="Arial" w:hAnsi="Arial"/>
          <w:sz w:val="16"/>
          <w:szCs w:val="16"/>
          <w:color w:val="auto"/>
        </w:rPr>
        <w:t>If (i) there is material non-public information regarding the Company which the Company’s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determines not to be in the Company’s best interest to disclose and which the Company is not otherwise required to disclose, (ii) there is a significant business opportunity (including, but not limited to, the acquisition or disposition of assets (other than in the ordinary course of business) or any merger, consolidation, tender offer or other similar transaction) available to the Company which the Board determines not to be in the Company’s best interest to disclose, or (iii) the Company is required to file a post-effective amendment to the Registration Statement to incorporate the Company’s quarterly and annual reports and audited financial sta tements on Forms 10-Q and 10-K, then the Company may (x) postpone or suspend filing of a registration statement for a period not to exceed thirty (30) consecutive days or (y) postpone or suspend effectiveness of a registration statement for a period not to exceed twenty (15) consecutive days; provided that the Company may not postpone or suspend effectiveness of a registration statement under this Section 3(n) for more than sixty (60) days in the aggregate during any three hundred sixty (360) day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postponement or suspension shall be permitted for consecutive fifteen (15) day periods arising out of the same set of facts, circumstances or transactions.</w:t>
      </w:r>
    </w:p>
    <w:p>
      <w:pPr>
        <w:spacing w:after="0" w:line="196" w:lineRule="exact"/>
        <w:rPr>
          <w:rFonts w:ascii="Arial" w:cs="Arial" w:eastAsia="Arial" w:hAnsi="Arial"/>
          <w:sz w:val="16"/>
          <w:szCs w:val="16"/>
          <w:color w:val="auto"/>
        </w:rPr>
      </w:pPr>
    </w:p>
    <w:p>
      <w:pPr>
        <w:ind w:left="1360" w:hanging="1127"/>
        <w:spacing w:after="0"/>
        <w:tabs>
          <w:tab w:leader="none" w:pos="136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Registration Expenses</w:t>
      </w:r>
      <w:r>
        <w:rPr>
          <w:rFonts w:ascii="Arial" w:cs="Arial" w:eastAsia="Arial" w:hAnsi="Arial"/>
          <w:sz w:val="18"/>
          <w:szCs w:val="18"/>
          <w:color w:val="auto"/>
        </w:rPr>
        <w:t>.</w:t>
      </w:r>
    </w:p>
    <w:p>
      <w:pPr>
        <w:spacing w:after="0" w:line="252"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All fees and expenses incident to the performance of or compliance with this Agreement by the Company, except as and to the extent specified in this Section 4, shall be borne by the Company whether or not the Registration Statement is filed or becomes effective and whether or not any Registrable Securities are sold pursuant to the Registration Statement. The fees and expenses referred to in the foregoing sentence shall include, without limitation, (i) all registration and filing fees (including, without limitation, fees and expenses (A) with respect to filings required to be made with the OTC Bulletin Board and each securities exchange or other market on which Registrable Securities are required hereunder to be listed, if any (B) with respect to filing fees requir ed to be paid to the Financial Industry Regulatory Authority (“FINRA”) and (C) in compliance with state securities or Blue Sky laws (including, without limitation, fees and disbursements of counsel for the Holders in connection with Blue Sky qualifications of the Registrable Securities and determination of the eligibility of the Registrable Securities for investment under the laws of such jurisdictions as the Holders of a majority of Registrable Securities may designate)), (ii) printing expenses (including, without limitation, expenses of printing certificates for Registrable Securities and of printing prospectuses if the printing of prospectuses is requested by the holders of a majority of the Registrable Securities included in the Registration Statement), (iii) messenger, telephone and delivery expenses, (iv) fees and disbursements of counsel for the Company and Special Counsel for the Holders, in the case of the Special Counsel, up to a maximum amount of $3,500, (v) Securities Act liability in surance, if the Company so desires such insurance, and (vi) fees and expenses of all other Persons retained by the Company in connection with the consummation of the transactions contemplated by this Agreement, including, without limitation, the Company’s independent public accountants (including the expenses of any comfort letters or costs associated with the delivery by independent public accountants of a comfort letter or comfort letters).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the fees and expenses incurred in connection with the listing of the Registrable Securities on any securities exchange as required hereunder. The Company shall not be responsible for any discounts, commissions, t ransfer taxes or other similar fees incurred by the Holders in connection with the sale of the Registrable Securities.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9" w:name="page100"/>
    <w:bookmarkEnd w:id="99"/>
    <w:p>
      <w:pPr>
        <w:ind w:left="1360" w:hanging="1127"/>
        <w:spacing w:after="0"/>
        <w:tabs>
          <w:tab w:leader="none" w:pos="136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305"/>
        <w:spacing w:after="0" w:line="287" w:lineRule="auto"/>
        <w:tabs>
          <w:tab w:leader="none" w:pos="2072"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shall, notwithstanding any termination of this Agreement, indemnify and hold harmless each Holder, the officers, directors, managers, partners, members, shareholders, agents, brokers, investment advisors and employees of each of them, each Person who controls any such Holder (within the meaning of Section 15 of the Securities Act or Section 20 of the Exchange Act) and the officers, directors, agents and employees of each such controlling Person, to the fullest extent permitted by applicable law, from and against any and all losses, claims, damages, liabilities, costs (including, without limitation, costs of preparation and attorneys’ fees) and expenses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as incurred, arising out of or relating to any violation of securities laws or untrue or alleged untrue statement of a material fact contained in the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form of prospectus or supplement thereto, in the light of the circumstances under which they were made) not misleading, except to the extent, but only to the extent, that such untrue statements or omissions are based solely upon information regarding such Holder or such other Indemnified Party furnished in writing to the Company by such Holder expressly for use therein. The Company shall notify the Holders promp tly of the institution, threat or assertion of any Proceeding of which the Company is aware in connection with the transactions contemplated by this Agreement.</w:t>
      </w:r>
    </w:p>
    <w:p>
      <w:pPr>
        <w:spacing w:after="0" w:line="195" w:lineRule="exact"/>
        <w:rPr>
          <w:rFonts w:ascii="Arial" w:cs="Arial" w:eastAsia="Arial" w:hAnsi="Arial"/>
          <w:sz w:val="16"/>
          <w:szCs w:val="16"/>
          <w:color w:val="auto"/>
        </w:rPr>
      </w:pPr>
    </w:p>
    <w:p>
      <w:pPr>
        <w:jc w:val="both"/>
        <w:ind w:firstLine="1305"/>
        <w:spacing w:after="0" w:line="287" w:lineRule="auto"/>
        <w:tabs>
          <w:tab w:leader="none" w:pos="2001"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t>Indemnification by Holders</w:t>
      </w:r>
      <w:r>
        <w:rPr>
          <w:rFonts w:ascii="Arial" w:cs="Arial" w:eastAsia="Arial" w:hAnsi="Arial"/>
          <w:sz w:val="16"/>
          <w:szCs w:val="16"/>
          <w:color w:val="auto"/>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and employees of such controlling Persons, to the fullest extent permitted by applicable law, from and against all Losses (as determined by a court of competent jurisdiction in a final judgment not subject to appeal or review or a judgment not appealed in the requisite time period), as incurred, arising solely out of or based solely upon any untrue statement of a materia l fact contained in the Registration Statement, any Prospectus, or any form of prospectus, or in any amendment or supplement thereto, or arising solely out of or based solely upon any omission of a material fact required to be stated therein or necessary to make the statements therein (in the case of any Prospectus or form of prospectus or supplement thereto, in the light of the circumstances under which they were made) not misleading, to the extent, but only to the extent, that such untrue statement or omission is contained in any information so furnished in writing by such Holder or other Indemnifying Party to the Company specifically for inclusion in the Registration Statement or such Prospectus. Notwithstanding anything to the contrary contained herein, each Holder shall be liable under this Section 5(b) for only that amount as does not exceed the net proceeds to such Holder as a result of the sale of Registrable Securities pursuant to such Registration Statement.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0" w:name="page101"/>
    <w:bookmarkEnd w:id="100"/>
    <w:p>
      <w:pPr>
        <w:jc w:val="both"/>
        <w:ind w:firstLine="8"/>
        <w:spacing w:after="0" w:line="255" w:lineRule="auto"/>
        <w:tabs>
          <w:tab w:leader="none" w:pos="816"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Conduct of Indemnification Proceedings</w:t>
      </w:r>
      <w:r>
        <w:rPr>
          <w:rFonts w:ascii="Arial" w:cs="Arial" w:eastAsia="Arial" w:hAnsi="Arial"/>
          <w:sz w:val="18"/>
          <w:szCs w:val="18"/>
          <w:color w:val="auto"/>
        </w:rPr>
        <w:t>. If any Proceeding shall be brought or asserted against any Person entitled to indemnity hereunder (an “</w:t>
      </w:r>
      <w:r>
        <w:rPr>
          <w:rFonts w:ascii="Arial" w:cs="Arial" w:eastAsia="Arial" w:hAnsi="Arial"/>
          <w:sz w:val="18"/>
          <w:szCs w:val="18"/>
          <w:u w:val="single" w:color="auto"/>
          <w:color w:val="auto"/>
        </w:rPr>
        <w:t>Indemnified Party</w:t>
      </w:r>
      <w:r>
        <w:rPr>
          <w:rFonts w:ascii="Arial" w:cs="Arial" w:eastAsia="Arial" w:hAnsi="Arial"/>
          <w:sz w:val="18"/>
          <w:szCs w:val="18"/>
          <w:color w:val="auto"/>
        </w:rPr>
        <w:t>”), such Indemnified Party promptly shall notify the Person from whom indemnity is sought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in writing, and the Indemnifying Party shall be entitled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proximately and materially adversely prejudiced the Indemnifying Party.</w:t>
      </w:r>
    </w:p>
    <w:p>
      <w:pPr>
        <w:spacing w:after="0" w:line="21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or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such parties shall have been advised by counsel that a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such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or threatened Proceeding in respect of which any Indemnified Party is a party and indemnity has been sought hereunder, unless such settlement includes an unconditional release of such Indemnified Party from all liability on claims that are the subject matter of such Proceeding.</w:t>
      </w:r>
    </w:p>
    <w:p>
      <w:pPr>
        <w:spacing w:after="0" w:line="207" w:lineRule="exact"/>
        <w:rPr>
          <w:sz w:val="20"/>
          <w:szCs w:val="20"/>
          <w:color w:val="auto"/>
        </w:rPr>
      </w:pPr>
    </w:p>
    <w:p>
      <w:pPr>
        <w:jc w:val="both"/>
        <w:ind w:firstLine="882"/>
        <w:spacing w:after="0" w:line="257" w:lineRule="auto"/>
        <w:rPr>
          <w:sz w:val="20"/>
          <w:szCs w:val="20"/>
          <w:color w:val="auto"/>
        </w:rPr>
      </w:pPr>
      <w:r>
        <w:rPr>
          <w:rFonts w:ascii="Arial" w:cs="Arial" w:eastAsia="Arial" w:hAnsi="Arial"/>
          <w:sz w:val="18"/>
          <w:szCs w:val="18"/>
          <w:color w:val="auto"/>
        </w:rPr>
        <w:t>All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(10) Business Days of written notice thereof to the Indemnifying Party (regardless of whether it is ultimately determined that an Indemnified Party is not entitled to indemnification hereunder; provided, that the Indemnified Party shall reimburse all such fees and expenses to the extent it is finally judicially determined that such Indemnified Party is not entitled to indemnification hereunder).</w:t>
      </w:r>
    </w:p>
    <w:p>
      <w:pPr>
        <w:spacing w:after="0" w:line="215" w:lineRule="exact"/>
        <w:rPr>
          <w:sz w:val="20"/>
          <w:szCs w:val="20"/>
          <w:color w:val="auto"/>
        </w:rPr>
      </w:pPr>
    </w:p>
    <w:p>
      <w:pPr>
        <w:jc w:val="both"/>
        <w:ind w:firstLine="8"/>
        <w:spacing w:after="0" w:line="285" w:lineRule="auto"/>
        <w:tabs>
          <w:tab w:leader="none" w:pos="732"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If a claim for indemnification under Section 5(a) or 5(b) is due but unavailable to an Indemnified Party because of a failure or refusal of a governmental authority to enforce such indemnification in accordance with its terms (by reason of public policy or otherwise), then each Indemnifying Party, in lieu of indemnifying such Indemnified Party, shall contribute to the amount paid or payable by such Indemnified Party as a result of such Losses, in such proportion as is appropriate to reflect the relative benefits received by the Indemnifying Party on the one hand and the Indemnified Party on the other from the offering of the Preferred Shares and the Warrants.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as applicable,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 ent, knowledge, access to information and opportunity to correct or prevent such action, statement or omission. The amount paid or payable by a party as a result of any Losses shall be deemed to include, subject to the limitations set forth in Section 5(c), any reasonable attorneys’ or other reasonable fees or expenses incurred by such party in connection with any Proceeding to the extent such party would have been indemnified for such fees or expenses if the indemnification provided for in this Section was available to such party in accordance with its terms. In no event shall any selling Holder be required to contribute an amount under this Section 5(d) in excess of the net proceeds received by such Holder upon sale of such Holder’s Registrable Securities pursuant to the Registration Statement giving rise to such contribution obligation.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1" w:name="page102"/>
    <w:bookmarkEnd w:id="101"/>
    <w:p>
      <w:pPr>
        <w:jc w:val="both"/>
        <w:ind w:firstLine="879"/>
        <w:spacing w:after="0" w:line="259" w:lineRule="auto"/>
        <w:rPr>
          <w:sz w:val="20"/>
          <w:szCs w:val="20"/>
          <w:color w:val="auto"/>
        </w:rPr>
      </w:pPr>
      <w:r>
        <w:rPr>
          <w:rFonts w:ascii="Arial" w:cs="Arial" w:eastAsia="Arial" w:hAnsi="Arial"/>
          <w:sz w:val="18"/>
          <w:szCs w:val="18"/>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No Person guilty of fraudulent misrepresentation (within the meaning of Section 11(f) of the Securities Act) shall be entitled to contribution from any Person who was not guilty of such fraudulent misrepresentation.</w:t>
      </w:r>
    </w:p>
    <w:p>
      <w:pPr>
        <w:spacing w:after="0" w:line="214" w:lineRule="exact"/>
        <w:rPr>
          <w:sz w:val="20"/>
          <w:szCs w:val="20"/>
          <w:color w:val="auto"/>
        </w:rPr>
      </w:pPr>
    </w:p>
    <w:p>
      <w:pPr>
        <w:jc w:val="both"/>
        <w:ind w:right="20" w:firstLine="880"/>
        <w:spacing w:after="0" w:line="277" w:lineRule="auto"/>
        <w:rPr>
          <w:sz w:val="20"/>
          <w:szCs w:val="20"/>
          <w:color w:val="auto"/>
        </w:rPr>
      </w:pPr>
      <w:r>
        <w:rPr>
          <w:rFonts w:ascii="Arial" w:cs="Arial" w:eastAsia="Arial" w:hAnsi="Arial"/>
          <w:sz w:val="18"/>
          <w:szCs w:val="18"/>
          <w:color w:val="auto"/>
        </w:rPr>
        <w:t>The indemnity and contribution agreements contained in this Section are in addition to any liability that the Indemnifying Parties may have to the Indemnified Parties pursuant to the law.</w:t>
      </w:r>
    </w:p>
    <w:p>
      <w:pPr>
        <w:spacing w:after="0" w:line="197" w:lineRule="exact"/>
        <w:rPr>
          <w:sz w:val="20"/>
          <w:szCs w:val="20"/>
          <w:color w:val="auto"/>
        </w:rPr>
      </w:pPr>
    </w:p>
    <w:p>
      <w:pPr>
        <w:ind w:left="1280" w:hanging="624"/>
        <w:spacing w:after="0"/>
        <w:tabs>
          <w:tab w:leader="none" w:pos="128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Rule 144</w:t>
      </w:r>
      <w:r>
        <w:rPr>
          <w:rFonts w:ascii="Arial" w:cs="Arial" w:eastAsia="Arial" w:hAnsi="Arial"/>
          <w:sz w:val="18"/>
          <w:szCs w:val="18"/>
          <w:color w:val="auto"/>
        </w:rPr>
        <w:t>.</w:t>
      </w:r>
    </w:p>
    <w:p>
      <w:pPr>
        <w:spacing w:after="0" w:line="252" w:lineRule="exact"/>
        <w:rPr>
          <w:sz w:val="20"/>
          <w:szCs w:val="20"/>
          <w:color w:val="auto"/>
        </w:rPr>
      </w:pPr>
    </w:p>
    <w:p>
      <w:pPr>
        <w:jc w:val="both"/>
        <w:ind w:firstLine="884"/>
        <w:spacing w:after="0" w:line="283" w:lineRule="auto"/>
        <w:rPr>
          <w:sz w:val="20"/>
          <w:szCs w:val="20"/>
          <w:color w:val="auto"/>
        </w:rPr>
      </w:pPr>
      <w:r>
        <w:rPr>
          <w:rFonts w:ascii="Arial" w:cs="Arial" w:eastAsia="Arial" w:hAnsi="Arial"/>
          <w:sz w:val="16"/>
          <w:szCs w:val="16"/>
          <w:color w:val="auto"/>
        </w:rPr>
        <w:t>As long as any Holder owns the Preferred Shares, Warrants or Registrable Securities, the Company covenants to timely file (or obtain extensions in respect thereof and file within the applicable grace period) all reports required to be filed by the Company after the date hereof pursuant to Section 13(a) or 15(d) of the Exchange Act. As long as any Holder owns the Preferred Shares, Warrants or Registrable Securities, if the Company is not required to file reports pursuant to Section 13(a) or 15(d) of the Exchange Act, it will prepare and furnish to the Holders and make publicly available in accordance with Rule 144 promulgated under the Securities Act annual and quarterly financial statements, together with a discussion and analysis of such financial statements in form and substance substantially similar to those that would otherwise be required to be included in reports required by Section 13(a) or 15(d) of the Exchange Act, as well as any other information required thereby, in the time period that such filings would have been required to have been made under the Exchange Act. The Company further covenants that it will take such further action as any Holder may reasonably request, all to the extent required from time to time to enable such Person to sell Conversion Shares and Warrant Shares without registration under the Securities Act within the limitation of the exemptions provided by Rule 144 promulgated under the Securities Act, including providing any legal opinions relating to such sale pursuant to Rule</w:t>
      </w:r>
    </w:p>
    <w:p>
      <w:pPr>
        <w:spacing w:after="0" w:line="6" w:lineRule="exact"/>
        <w:rPr>
          <w:sz w:val="20"/>
          <w:szCs w:val="20"/>
          <w:color w:val="auto"/>
        </w:rPr>
      </w:pPr>
    </w:p>
    <w:p>
      <w:pPr>
        <w:ind w:firstLine="8"/>
        <w:spacing w:after="0" w:line="261" w:lineRule="auto"/>
        <w:tabs>
          <w:tab w:leader="none" w:pos="45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Upon the request of any Holder, the Company shall deliver to such Holder a written certification of a duly authorized officer as to whether it has complied with such requirements.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2" w:name="page103"/>
    <w:bookmarkEnd w:id="102"/>
    <w:p>
      <w:pPr>
        <w:ind w:left="1280" w:hanging="624"/>
        <w:spacing w:after="0"/>
        <w:tabs>
          <w:tab w:leader="none" w:pos="128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305"/>
        <w:spacing w:after="0" w:line="297" w:lineRule="auto"/>
        <w:tabs>
          <w:tab w:leader="none" w:pos="1991"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In the event of a breach by the Company or by a Holder, of any of their obligations under this Agreement, such Holder or the Company, as the case may be, in addition to being entitled to exercise all rights granted by law and under this Agreement, including recovery of damages, will be entitled to specific performance of its rights under this Agreement. The Company and each Holder agree that monetary damages would not provide adequate compensation for any losses incurred by reason of a breach by it of any of the provisions of this Agreement and hereby further agrees that, in the event of any action for specific performance in respect of such breach, it shall waive the defense that a remedy at law would be adequate.</w:t>
      </w:r>
    </w:p>
    <w:p>
      <w:pPr>
        <w:spacing w:after="0" w:line="185" w:lineRule="exact"/>
        <w:rPr>
          <w:rFonts w:ascii="Arial" w:cs="Arial" w:eastAsia="Arial" w:hAnsi="Arial"/>
          <w:sz w:val="16"/>
          <w:szCs w:val="16"/>
          <w:color w:val="auto"/>
        </w:rPr>
      </w:pPr>
    </w:p>
    <w:p>
      <w:pPr>
        <w:jc w:val="both"/>
        <w:ind w:firstLine="1305"/>
        <w:spacing w:after="0" w:line="271" w:lineRule="auto"/>
        <w:tabs>
          <w:tab w:leader="none" w:pos="2015" w:val="left"/>
        </w:tabs>
        <w:numPr>
          <w:ilvl w:val="1"/>
          <w:numId w:val="103"/>
        </w:numPr>
        <w:rPr>
          <w:rFonts w:ascii="Arial" w:cs="Arial" w:eastAsia="Arial" w:hAnsi="Arial"/>
          <w:sz w:val="17"/>
          <w:szCs w:val="17"/>
          <w:color w:val="auto"/>
        </w:rPr>
      </w:pPr>
      <w:r>
        <w:rPr>
          <w:rFonts w:ascii="Arial" w:cs="Arial" w:eastAsia="Arial" w:hAnsi="Arial"/>
          <w:sz w:val="17"/>
          <w:szCs w:val="17"/>
          <w:u w:val="single" w:color="auto"/>
          <w:color w:val="auto"/>
        </w:rPr>
        <w:t>No Inconsistent Agreements</w:t>
      </w:r>
      <w:r>
        <w:rPr>
          <w:rFonts w:ascii="Arial" w:cs="Arial" w:eastAsia="Arial" w:hAnsi="Arial"/>
          <w:sz w:val="17"/>
          <w:szCs w:val="17"/>
          <w:color w:val="auto"/>
        </w:rPr>
        <w:t>. Neither the Company nor any of its subsidiaries has, as of the date hereof entered into and currently in effect, nor shall the Company or any of its subsidiaries, on or after the date of this Agreement, enter into any agreement with respect to its securities that is inconsistent with the rights granted to the Holders in this Agreement or otherwise conflicts with the provisions hereof. Except as disclosed in the Schedules to the Purchase Agreement, neither the Company nor any of its subsidiaries has previously entered into any agreement currently in effect granting any registration rights with respect to any of its securities to any Person. Wit hout limiting the generality of the foregoing, without the written consent of the Holders of a majority of the then-outstanding Series B Preferred Stock, the Company shall not grant to any Person the right to request the Company to register any securities of the Company under the Securities Act unless the rights so granted are subject in all respects to the prior rights in full of the Holders set forth herein, and are not otherwise in conflict with the provisions of this Agreement.</w:t>
      </w:r>
    </w:p>
    <w:p>
      <w:pPr>
        <w:spacing w:after="0" w:line="205" w:lineRule="exact"/>
        <w:rPr>
          <w:rFonts w:ascii="Arial" w:cs="Arial" w:eastAsia="Arial" w:hAnsi="Arial"/>
          <w:sz w:val="17"/>
          <w:szCs w:val="17"/>
          <w:color w:val="auto"/>
        </w:rPr>
      </w:pPr>
    </w:p>
    <w:p>
      <w:pPr>
        <w:jc w:val="both"/>
        <w:ind w:firstLine="1305"/>
        <w:spacing w:after="0" w:line="272" w:lineRule="auto"/>
        <w:tabs>
          <w:tab w:leader="none" w:pos="2032" w:val="left"/>
        </w:tabs>
        <w:numPr>
          <w:ilvl w:val="1"/>
          <w:numId w:val="103"/>
        </w:numPr>
        <w:rPr>
          <w:rFonts w:ascii="Arial" w:cs="Arial" w:eastAsia="Arial" w:hAnsi="Arial"/>
          <w:sz w:val="17"/>
          <w:szCs w:val="17"/>
          <w:color w:val="auto"/>
        </w:rPr>
      </w:pPr>
      <w:r>
        <w:rPr>
          <w:rFonts w:ascii="Arial" w:cs="Arial" w:eastAsia="Arial" w:hAnsi="Arial"/>
          <w:sz w:val="17"/>
          <w:szCs w:val="17"/>
          <w:u w:val="single" w:color="auto"/>
          <w:color w:val="auto"/>
        </w:rPr>
        <w:t>No Piggyback on Registrations</w:t>
      </w:r>
      <w:r>
        <w:rPr>
          <w:rFonts w:ascii="Arial" w:cs="Arial" w:eastAsia="Arial" w:hAnsi="Arial"/>
          <w:sz w:val="17"/>
          <w:szCs w:val="17"/>
          <w:color w:val="auto"/>
        </w:rPr>
        <w:t>. Neither the Company nor any of its security holders (other than as disclosed in the Schedules to the Purchase Agreement) may include securities of the Company in the Registration Statement other than the Registrable Securities. Without the consent of the Majority Holders, the Company shall not file any other registration statement with the Commission until the earlier of: (i) 60 Trading Days following the date that a Registration Statement or Registration Statements registering all the Registrable Securities is declared effective by the Commission; and (ii) the date the Registrable Securities are saleable under Rule 144 under the Securities Act withou t restriction as to volume or manner of sale; provided that this Section shall not prohibit the Company from filing a post-effective amendment to registration statements that was declared effective prior to the date hereof or to a registration statement filed with the Commission on Forms S-4 or S-8.</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3" w:name="page104"/>
    <w:bookmarkEnd w:id="103"/>
    <w:p>
      <w:pPr>
        <w:ind w:left="2040" w:hanging="735"/>
        <w:spacing w:after="0"/>
        <w:tabs>
          <w:tab w:leader="none" w:pos="2040"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Piggy-Back Registrations</w:t>
      </w:r>
      <w:r>
        <w:rPr>
          <w:rFonts w:ascii="Arial" w:cs="Arial" w:eastAsia="Arial" w:hAnsi="Arial"/>
          <w:sz w:val="16"/>
          <w:szCs w:val="16"/>
          <w:color w:val="auto"/>
        </w:rPr>
        <w:t>. If at any time when there is not an effective Registration Statement covering (i) Conversion Shares or</w:t>
      </w:r>
    </w:p>
    <w:p>
      <w:pPr>
        <w:spacing w:after="0" w:line="46" w:lineRule="exact"/>
        <w:rPr>
          <w:rFonts w:ascii="Arial" w:cs="Arial" w:eastAsia="Arial" w:hAnsi="Arial"/>
          <w:sz w:val="16"/>
          <w:szCs w:val="16"/>
          <w:color w:val="auto"/>
        </w:rPr>
      </w:pPr>
    </w:p>
    <w:p>
      <w:pPr>
        <w:jc w:val="both"/>
        <w:ind w:firstLine="8"/>
        <w:spacing w:after="0" w:line="283" w:lineRule="auto"/>
        <w:tabs>
          <w:tab w:leader="none" w:pos="27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Warrant Shares, the Company shall determine to prepare and file with the Commission a registration statement relating to an offering for its own account or the account of others under the Securities Act of any of its equity securities, other than on Form S-4 or Form S-8 (each as promulgated under the Securities Act) or their then equivalents relating to equity securities to be issued solely in connection with any acquisition of any entity or business or equity securities issuable in connection with stock option or other employee benefit plans, the Company shall send to each holder of Registrable Securities written notice of such determination and, if within twenty (20) days after receipt of such notice, or within such shorter period of time as may be specified by the Company in such written notice as may be necessary for the Company to comply with its obligations with respect to the timing of the filing of such registration statement, any such holder shall so request in writing, (which request shall specify the Registrable Securities intended to be disposed of by the Purchaser), the Company will cause the registration under the Securities Act of all Registrable Securities which the Company has been so requested to register by the holder, to the extent requisite to permit the disposition of the Registrable Securities so to be registered, provided that if at any time after giving written notice of its intention to register any securities and prior to the effective date of the registration statement filed in connection with such registration, the Company shall determ ine for any reason not to register or to delay registration of such securities, the Company may, at its election, give written notice of such determination to such holder and, thereupon, (i) in the case of a determination not to register, shall be relieved of its obligation to register any Registrable Securities in connection with such registration (but not from its obligation to pay expenses in accordance with Section 4 hereof), and (ii) in the case of a determination to delay registering, shall be permitted to delay registering any Registrable Securities being registered pursuant to this Section 7(d) for the same period as the delay in registering such other securities. The Company shall include in such registration statement all or any part of such Registrable Securities such holder requests to be registered;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required to register any Registrable Securities pursuant to this Section 7(d) that are eligible for sale without regard to volume or manner of sale limitations pursuant to Rule 144 of the Securities Act. In the case of an underwritten public offering, if the managing underwriter(s) or underwriter(s) should reasonably object to the inclusion of the Registrable Securities in such registration statement, then if the Company after consultation with the managing underwriter should reasonably determine that the inclusion of such Registrable Securities would materially adversely affect the offering contemplated in such registration statement, and based on such determination recommends inclusion in such registration statement of fewer or none of the Registrable Securities of the Holders, then (x) the number of Registrable Securities of the Holders included in such registration statement shall be reduced pro-rata among such Holders (based upon the number of Registra ble Securities requested to be included in the registration), if the Company after consultation with the underwriter(s) recommends the inclusion of fewer Registrable Securities, or (y) none of the Registrable Securities of the Holders shall be included in such registration statement, if the Company after consultation with the underwriter(s) recommends the inclusion of none of such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securities are being offered for the account of other persons or entities as well as the Company, such reduction shall not represent a greater fraction of the number of Registrable Securities intended to be offered by the Holders than the fraction of similar reductions imposed on such other persons or entities (other than the Company).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4" w:name="page105"/>
    <w:bookmarkEnd w:id="104"/>
    <w:p>
      <w:pPr>
        <w:jc w:val="both"/>
        <w:ind w:firstLine="1305"/>
        <w:spacing w:after="0" w:line="283" w:lineRule="auto"/>
        <w:tabs>
          <w:tab w:leader="none" w:pos="2180"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Failure to File Registration Statement and Other Events</w:t>
      </w:r>
      <w:r>
        <w:rPr>
          <w:rFonts w:ascii="Arial" w:cs="Arial" w:eastAsia="Arial" w:hAnsi="Arial"/>
          <w:sz w:val="16"/>
          <w:szCs w:val="16"/>
          <w:color w:val="auto"/>
        </w:rPr>
        <w:t>. The Company and the Purchaser agree that the Holders will suffer damages if the Registration Statement is not filed on or prior to the Filing Date and not declared effective by the Commission on or prior to the Effectiveness Date and maintained in the manner contemplated herein during the Effectiveness Period or if certain other events occur. The Company and the Holders further agree that it would not be feasible to ascertain the extent of such damages with precision. Accordingly, if (A) the Registration Statement is not filed on or prior to the Filing Date, or (B) the Registration Statement is not declared effecti ve by the Commission on or prior to the Effectiveness Date, or (C) the Company fails to file with the Commission a request for acceleration in accordance with Rule 461 promulgated under the Securities Act within five (5) Business Days of the date that the Company is notified (orally or in writing, whichever is earlier) by the Commission that a Registration Statement will not be “reviewed,” or not subject to further review, or (D) the Registration Statement is filed with and declared effective by the Commission but thereafter ceases to be effective as to all Registrable Securities at any time prior to the expiration of the Effectiveness Period, without being succeeded immediately by a subsequent Registration Statement filed with and declared effective by the Commission, or (E) the Company has breached Section 3(n) hereof, or (F) trading in the Common Stock shall be suspended or if the Common Stock is no longer quoted on or is delisted from the principal exchange or market on which the Common Stock is then traded for any reason for more than three (3) Business Days in the aggregate (any such failure or breach being referred to as an “</w:t>
      </w:r>
      <w:r>
        <w:rPr>
          <w:rFonts w:ascii="Arial" w:cs="Arial" w:eastAsia="Arial" w:hAnsi="Arial"/>
          <w:sz w:val="16"/>
          <w:szCs w:val="16"/>
          <w:u w:val="single" w:color="auto"/>
          <w:color w:val="auto"/>
        </w:rPr>
        <w:t>Event</w:t>
      </w:r>
      <w:r>
        <w:rPr>
          <w:rFonts w:ascii="Arial" w:cs="Arial" w:eastAsia="Arial" w:hAnsi="Arial"/>
          <w:sz w:val="16"/>
          <w:szCs w:val="16"/>
          <w:color w:val="auto"/>
        </w:rPr>
        <w:t>,” and for purposes of clauses (A) and (B) the date on which such Event occurs, or for purposes of clause (C) the date on which such five (5) Business Day period is exceeded, or for purposes of clause (D) after more than fifteen (15) Business Days, or for purposes of clause (F) the date on which such three</w:t>
      </w:r>
    </w:p>
    <w:p>
      <w:pPr>
        <w:spacing w:after="0" w:line="2" w:lineRule="exact"/>
        <w:rPr>
          <w:rFonts w:ascii="Arial" w:cs="Arial" w:eastAsia="Arial" w:hAnsi="Arial"/>
          <w:sz w:val="16"/>
          <w:szCs w:val="16"/>
          <w:color w:val="auto"/>
        </w:rPr>
      </w:pPr>
    </w:p>
    <w:p>
      <w:pPr>
        <w:jc w:val="both"/>
        <w:ind w:firstLine="8"/>
        <w:spacing w:after="0" w:line="288" w:lineRule="auto"/>
        <w:tabs>
          <w:tab w:leader="none" w:pos="27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Business Day period is exceeded, being referred to as an “</w:t>
      </w:r>
      <w:r>
        <w:rPr>
          <w:rFonts w:ascii="Arial" w:cs="Arial" w:eastAsia="Arial" w:hAnsi="Arial"/>
          <w:sz w:val="16"/>
          <w:szCs w:val="16"/>
          <w:u w:val="single" w:color="auto"/>
          <w:color w:val="auto"/>
        </w:rPr>
        <w:t>Event Date</w:t>
      </w:r>
      <w:r>
        <w:rPr>
          <w:rFonts w:ascii="Arial" w:cs="Arial" w:eastAsia="Arial" w:hAnsi="Arial"/>
          <w:sz w:val="16"/>
          <w:szCs w:val="16"/>
          <w:color w:val="auto"/>
        </w:rPr>
        <w:t xml:space="preserve">”), then and only then, the Company shall pay an amount in cash as liquidated damages to each Holder equal to one percent (1.0%) of the Face Value of the Preferred Shares then held by such Holder on such Event Date and one-half percent (0.5%) of the Face Value of the Preferred Shares then held by such Holder for each calendar month or portion thereof thereafter from the Event Date until the applicable Event is cured;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the amount of liquidated damages payable at any time and from time to time to any Holder pursuant to this Section 7(e) exceed an aggregate of six percent (6.0%) of the Face Value of the Preferred Shares then held by such Holder. Notwithstanding anything to the contrary in this paragraph (e), if (a) any of the Events described in clauses (A), (B), (C), (D) or (F) shall have occurred, (b) on or prior to the applicable Event Date, the Company shall have exercised its rights under Section 3(n) hereof and (c) the postponement or suspension permitted pursuant to such Section 3(n) shall remain effective as of such applicable Event Date, then the applicable Event Date shall be deemed instead to occur on the second Business Day following the termination of such p ostponement or suspension. Liquidated damages payable by the Company pursuant to this Section 7(e) shall be payable on the first (1</w:t>
      </w:r>
      <w:r>
        <w:rPr>
          <w:rFonts w:ascii="Arial" w:cs="Arial" w:eastAsia="Arial" w:hAnsi="Arial"/>
          <w:sz w:val="22"/>
          <w:szCs w:val="22"/>
          <w:color w:val="auto"/>
          <w:vertAlign w:val="superscript"/>
        </w:rPr>
        <w:t>st</w:t>
      </w:r>
      <w:r>
        <w:rPr>
          <w:rFonts w:ascii="Arial" w:cs="Arial" w:eastAsia="Arial" w:hAnsi="Arial"/>
          <w:sz w:val="16"/>
          <w:szCs w:val="16"/>
          <w:color w:val="auto"/>
        </w:rPr>
        <w:t>) Business Day of each thirty (30)-day period following the Event Date.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5" w:name="page106"/>
    <w:bookmarkEnd w:id="105"/>
    <w:p>
      <w:pPr>
        <w:jc w:val="both"/>
        <w:ind w:firstLine="1305"/>
        <w:spacing w:after="0" w:line="264" w:lineRule="auto"/>
        <w:tabs>
          <w:tab w:leader="none" w:pos="210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seventy-five percent (75%) of the Registrable Securities outstanding.</w:t>
      </w:r>
    </w:p>
    <w:p>
      <w:pPr>
        <w:spacing w:after="0" w:line="208" w:lineRule="exact"/>
        <w:rPr>
          <w:rFonts w:ascii="Arial" w:cs="Arial" w:eastAsia="Arial" w:hAnsi="Arial"/>
          <w:sz w:val="18"/>
          <w:szCs w:val="18"/>
          <w:color w:val="auto"/>
        </w:rPr>
      </w:pPr>
    </w:p>
    <w:p>
      <w:pPr>
        <w:jc w:val="both"/>
        <w:ind w:firstLine="1305"/>
        <w:spacing w:after="0" w:line="297" w:lineRule="auto"/>
        <w:tabs>
          <w:tab w:leader="none" w:pos="2123"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demand, request, waiver or other communication required or permitted to be given hereunder shall be in writing and shall be effective (a) upon hand delivery, telecopy or facsimile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 r. The addresses for such communications shall be:</w:t>
      </w:r>
    </w:p>
    <w:p>
      <w:pPr>
        <w:sectPr>
          <w:pgSz w:w="11900" w:h="16838" w:orient="portrait"/>
          <w:cols w:equalWidth="0" w:num="1">
            <w:col w:w="11420"/>
          </w:cols>
          <w:pgMar w:left="240" w:top="517" w:right="2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OptimizeRx Corporation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407 Sixth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 48307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H. David Lester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Phone: (248) 651-6558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(248) 651-6748</w:t>
      </w:r>
    </w:p>
    <w:p>
      <w:pPr>
        <w:spacing w:after="0" w:line="200" w:lineRule="exact"/>
        <w:rPr>
          <w:sz w:val="20"/>
          <w:szCs w:val="20"/>
          <w:color w:val="auto"/>
        </w:rPr>
      </w:pPr>
    </w:p>
    <w:p>
      <w:pPr>
        <w:sectPr>
          <w:pgSz w:w="11900" w:h="16838" w:orient="portrait"/>
          <w:cols w:equalWidth="0" w:num="2">
            <w:col w:w="2780" w:space="720"/>
            <w:col w:w="7920"/>
          </w:cols>
          <w:pgMar w:left="240" w:top="517"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with copies (which shall not constitute notice)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Howard &amp; Howard Attorneys PLLC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450 West Fourth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Royal Oak, Michigan 48067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Joseph J. DeVito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No.: (248) 723-0323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(248) 645-1568</w:t>
      </w:r>
    </w:p>
    <w:p>
      <w:pPr>
        <w:spacing w:after="0" w:line="200" w:lineRule="exact"/>
        <w:rPr>
          <w:sz w:val="20"/>
          <w:szCs w:val="20"/>
          <w:color w:val="auto"/>
        </w:rPr>
      </w:pPr>
    </w:p>
    <w:p>
      <w:pPr>
        <w:sectPr>
          <w:pgSz w:w="11900" w:h="16838" w:orient="portrait"/>
          <w:cols w:equalWidth="0" w:num="2">
            <w:col w:w="3320" w:space="180"/>
            <w:col w:w="7920"/>
          </w:cols>
          <w:pgMar w:left="240" w:top="517" w:right="239" w:bottom="1440" w:gutter="0" w:footer="0" w:header="0"/>
          <w:type w:val="continuous"/>
        </w:sect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If to Purchaser:</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Vicis Capital Master Fund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445 Park Avenue, Suite 1901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10022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Attention: Shad Stastney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No.: (212) 909-4600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(212) 909-4601</w:t>
      </w:r>
    </w:p>
    <w:p>
      <w:pPr>
        <w:spacing w:after="0" w:line="200" w:lineRule="exact"/>
        <w:rPr>
          <w:sz w:val="20"/>
          <w:szCs w:val="20"/>
          <w:color w:val="auto"/>
        </w:rPr>
      </w:pPr>
    </w:p>
    <w:p>
      <w:pPr>
        <w:sectPr>
          <w:pgSz w:w="11900" w:h="16838" w:orient="portrait"/>
          <w:cols w:equalWidth="0" w:num="2">
            <w:col w:w="2780" w:space="720"/>
            <w:col w:w="7920"/>
          </w:cols>
          <w:pgMar w:left="240" w:top="517"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with copies (which shall not constitute notice)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Quarles &amp; Brady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411 East Wisconsin Avenue, Suite 2040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Andrew D. Ketter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No.: (414) 277-5629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(414) 978-8972</w:t>
      </w:r>
    </w:p>
    <w:p>
      <w:pPr>
        <w:spacing w:after="0" w:line="200" w:lineRule="exact"/>
        <w:rPr>
          <w:sz w:val="20"/>
          <w:szCs w:val="20"/>
          <w:color w:val="auto"/>
        </w:rPr>
      </w:pPr>
    </w:p>
    <w:p>
      <w:pPr>
        <w:sectPr>
          <w:pgSz w:w="11900" w:h="16838" w:orient="portrait"/>
          <w:cols w:equalWidth="0" w:num="2">
            <w:col w:w="3320" w:space="180"/>
            <w:col w:w="7920"/>
          </w:cols>
          <w:pgMar w:left="240" w:top="517" w:right="239" w:bottom="1440" w:gutter="0" w:footer="0" w:header="0"/>
          <w:type w:val="continuous"/>
        </w:sectPr>
      </w:pPr>
    </w:p>
    <w:p>
      <w:pPr>
        <w:spacing w:after="0" w:line="38"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Any party hereto may from time to time change its address for notices by giving at least ten (10) days written notice of such changed address to the other party hereto.</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06" w:name="page107"/>
    <w:bookmarkEnd w:id="106"/>
    <w:p>
      <w:pPr>
        <w:jc w:val="both"/>
        <w:ind w:firstLine="1305"/>
        <w:spacing w:after="0" w:line="259" w:lineRule="auto"/>
        <w:tabs>
          <w:tab w:leader="none" w:pos="2109"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successors and permitted assigns and shall inure to the benefit of each Holder and its successors and assigns. The Company may not assign this Agreement or any of its rights or obligations hereunder without the prior written consent of each Holder. Each Purchaser may assign its rights hereunder in the manner and to the Persons as permitted under the Purchase Agreement.</w:t>
      </w:r>
    </w:p>
    <w:p>
      <w:pPr>
        <w:spacing w:after="0" w:line="213" w:lineRule="exact"/>
        <w:rPr>
          <w:rFonts w:ascii="Arial" w:cs="Arial" w:eastAsia="Arial" w:hAnsi="Arial"/>
          <w:sz w:val="18"/>
          <w:szCs w:val="18"/>
          <w:color w:val="auto"/>
        </w:rPr>
      </w:pPr>
    </w:p>
    <w:p>
      <w:pPr>
        <w:jc w:val="both"/>
        <w:ind w:firstLine="1305"/>
        <w:spacing w:after="0" w:line="270" w:lineRule="auto"/>
        <w:tabs>
          <w:tab w:leader="none" w:pos="2096"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Assignment of Registration Rights</w:t>
      </w:r>
      <w:r>
        <w:rPr>
          <w:rFonts w:ascii="Arial" w:cs="Arial" w:eastAsia="Arial" w:hAnsi="Arial"/>
          <w:sz w:val="17"/>
          <w:szCs w:val="17"/>
          <w:color w:val="auto"/>
        </w:rPr>
        <w:t>. The rights of each Holder hereunder, including the right to have the Company register for resale Registrable Securities in accordance with the terms of this Agreement, shall be automatically assignable by each Holder to any Person of all or a portion of the Preferred Shares or the Registrable Securities if: (i) the Holder agrees in writing with the transferee or assignee to assign such rights, and a copy of such agreement is furnished to the Company within a reasonable time after such assignment, (ii) the Company is, within a reasonable time after such transfer or assignment, furnished with written notice of (a) the name and address of such transferee or assignee, and (b) the securities with respect to which such registration rights are being transferred or assigned, (iii) following such transfer or assignment the further disposition of such securities by the transferee or assignees is restricted under the Securities Act and applicable state securities laws, (iv) at or before the time the Company receives the written notice contemplated by clause (ii) of this Section, the transferee or assignee agrees in writing with the Company to be bound by all of the provisions of this Agreement, and (v) such transfer shall have been made in accordance with the applicable requirements of the Purchase Agreement. The rights to assignment shall apply to the Holders (and to subsequent) successors and assigns.</w:t>
      </w:r>
    </w:p>
    <w:p>
      <w:pPr>
        <w:spacing w:after="0" w:line="204" w:lineRule="exact"/>
        <w:rPr>
          <w:rFonts w:ascii="Arial" w:cs="Arial" w:eastAsia="Arial" w:hAnsi="Arial"/>
          <w:sz w:val="17"/>
          <w:szCs w:val="17"/>
          <w:color w:val="auto"/>
        </w:rPr>
      </w:pPr>
    </w:p>
    <w:p>
      <w:pPr>
        <w:jc w:val="both"/>
        <w:ind w:firstLine="1305"/>
        <w:spacing w:after="0" w:line="276" w:lineRule="auto"/>
        <w:tabs>
          <w:tab w:leader="none" w:pos="2002"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each of which when so executed shall be deemed to be an original and, all of which taken together shall constitute one and the same Agreement and shall become effective when counterparts have been signed by each party and delivered to the other parties hereto, it being understood that all parties need not sign the same counterpart. In the event that any signature is delivered by facsimile transmission, such signature shall create a valid binding obligation of the party executing (or on whose behalf such signature is executed) the same with the same force and effect as if such facsimile signature were the or iginal thereof.</w:t>
      </w:r>
    </w:p>
    <w:p>
      <w:pPr>
        <w:spacing w:after="0" w:line="199" w:lineRule="exact"/>
        <w:rPr>
          <w:rFonts w:ascii="Arial" w:cs="Arial" w:eastAsia="Arial" w:hAnsi="Arial"/>
          <w:sz w:val="17"/>
          <w:szCs w:val="17"/>
          <w:color w:val="auto"/>
        </w:rPr>
      </w:pPr>
    </w:p>
    <w:p>
      <w:pPr>
        <w:jc w:val="both"/>
        <w:ind w:firstLine="1305"/>
        <w:spacing w:after="0" w:line="269" w:lineRule="auto"/>
        <w:tabs>
          <w:tab w:leader="none" w:pos="2123"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Governing Law; Jurisdiction</w:t>
      </w:r>
      <w:r>
        <w:rPr>
          <w:rFonts w:ascii="Arial" w:cs="Arial" w:eastAsia="Arial" w:hAnsi="Arial"/>
          <w:sz w:val="17"/>
          <w:szCs w:val="17"/>
          <w:color w:val="auto"/>
        </w:rPr>
        <w:t>. This Agreement shall be governed by and construed in accordance with the internal laws of the State of Florida, without giving effect to any of the conflicts of law principles which would result in the application of the substantive law of another jurisdiction. This Agreement shall not be interpreted or construed with any presumption against the party causing this Agreement to be drafted. The Company and the Holders agree that venue for any dispute arising under this Agreement will lie exclusively in the state or federal courts located in the state of Florida, and the parties irrevocably waive any right to raise forum non conveniens or any other argument that Florida is not the proper venue. The Company and the Holders irrevocably consent to personal jurisdiction in the state and federal courts of the state of Florida. The Company and the Holders consent to process being served in any such suit, action or proceeding by mailing a copy thereof to such party at the address in effect for notices to it under this Agreement and agrees that such service shall constitute good and sufficient service of process and notice thereof. Nothing in this Section 7(k) shall affect or limit any right to serve process in any other manner permitted by law. The Company and the Holders hereby agree that the prevailing party in any suit, action or proceeding arising out of or relating to this Agreement or the Purchase Agreement, shall be entitled to reimbursement for reasonable legal fees from the non-prevailing party. The Company agrees to pay all costs and expenses of enforcement of the Transaction Documents, including, without limitation, reasonable attorneys’ fees and expenses. The parties hereby waive all rights to a trial by jury.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7" w:name="page108"/>
    <w:bookmarkEnd w:id="107"/>
    <w:p>
      <w:pPr>
        <w:ind w:left="1960" w:hanging="655"/>
        <w:spacing w:after="0"/>
        <w:tabs>
          <w:tab w:leader="none" w:pos="1960"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Cumulative Remedies</w:t>
      </w:r>
      <w:r>
        <w:rPr>
          <w:rFonts w:ascii="Arial" w:cs="Arial" w:eastAsia="Arial" w:hAnsi="Arial"/>
          <w:sz w:val="17"/>
          <w:szCs w:val="17"/>
          <w:color w:val="auto"/>
        </w:rPr>
        <w:t>. The remedies provided herein are cumulative and not exclusive of any remedies provided by law.</w:t>
      </w:r>
    </w:p>
    <w:p>
      <w:pPr>
        <w:spacing w:after="0" w:line="263" w:lineRule="exact"/>
        <w:rPr>
          <w:rFonts w:ascii="Arial" w:cs="Arial" w:eastAsia="Arial" w:hAnsi="Arial"/>
          <w:sz w:val="17"/>
          <w:szCs w:val="17"/>
          <w:color w:val="auto"/>
        </w:rPr>
      </w:pPr>
    </w:p>
    <w:p>
      <w:pPr>
        <w:jc w:val="both"/>
        <w:ind w:firstLine="1305"/>
        <w:spacing w:after="0" w:line="255" w:lineRule="auto"/>
        <w:tabs>
          <w:tab w:leader="none" w:pos="2078"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is held to be invalid, illegal, void or unenforceable in any respect, the remainder of the terms, provisions, covenants and restrictions set forth herein shall remain in full force and effect and shall in no way be affected, impaired or invalidated, and the parties hereto shall use their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220" w:lineRule="exact"/>
        <w:rPr>
          <w:rFonts w:ascii="Arial" w:cs="Arial" w:eastAsia="Arial" w:hAnsi="Arial"/>
          <w:sz w:val="18"/>
          <w:szCs w:val="18"/>
          <w:color w:val="auto"/>
        </w:rPr>
      </w:pPr>
    </w:p>
    <w:p>
      <w:pPr>
        <w:ind w:right="20" w:firstLine="1305"/>
        <w:spacing w:after="0" w:line="277" w:lineRule="auto"/>
        <w:tabs>
          <w:tab w:leader="none" w:pos="2082"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197" w:lineRule="exact"/>
        <w:rPr>
          <w:rFonts w:ascii="Arial" w:cs="Arial" w:eastAsia="Arial" w:hAnsi="Arial"/>
          <w:sz w:val="18"/>
          <w:szCs w:val="18"/>
          <w:color w:val="auto"/>
        </w:rPr>
      </w:pPr>
    </w:p>
    <w:p>
      <w:pPr>
        <w:jc w:val="both"/>
        <w:ind w:firstLine="1305"/>
        <w:spacing w:after="0" w:line="259" w:lineRule="auto"/>
        <w:tabs>
          <w:tab w:leader="none" w:pos="2231"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Shares Held by the Company and its Affiliates</w:t>
      </w:r>
      <w:r>
        <w:rPr>
          <w:rFonts w:ascii="Arial" w:cs="Arial" w:eastAsia="Arial" w:hAnsi="Arial"/>
          <w:sz w:val="18"/>
          <w:szCs w:val="18"/>
          <w:color w:val="auto"/>
        </w:rPr>
        <w:t>. Whenever the consent or approval of Holders of a specified percentage of Registrable Securities is required hereunder, Registrable Securities held by the Company or its Affiliates (other than any Holder or transferees or successors or assigns thereof if such Holder is deemed to be an Affiliate solely by reason of its holdings of such Registrable Securities) shall not be counted in determining whether such consent or approval was given by the Holders of such required percentage.</w:t>
      </w:r>
    </w:p>
    <w:p>
      <w:pPr>
        <w:spacing w:after="0" w:line="214"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8" w:name="page109"/>
    <w:bookmarkEnd w:id="108"/>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Registration Rights Agreement to be duly executed by their respective authorized persons as of the date first indicated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H.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H. 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PURCHASER: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VICIS CAPITAL MASTER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Vicis Capital LLC</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7"/>
                <w:szCs w:val="17"/>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/s/ Keith W. Hughes</w:t>
            </w: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1760" w:type="dxa"/>
            <w:vAlign w:val="bottom"/>
            <w:gridSpan w:val="3"/>
          </w:tcPr>
          <w:p>
            <w:pPr>
              <w:ind w:left="80"/>
              <w:spacing w:after="0"/>
              <w:rPr>
                <w:sz w:val="20"/>
                <w:szCs w:val="20"/>
                <w:color w:val="auto"/>
              </w:rPr>
            </w:pPr>
            <w:r>
              <w:rPr>
                <w:rFonts w:ascii="Arial" w:cs="Arial" w:eastAsia="Arial" w:hAnsi="Arial"/>
                <w:sz w:val="18"/>
                <w:szCs w:val="18"/>
                <w:color w:val="auto"/>
              </w:rPr>
              <w:t>Keith W. Hughes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1760" w:type="dxa"/>
            <w:vAlign w:val="bottom"/>
            <w:gridSpan w:val="3"/>
          </w:tcPr>
          <w:p>
            <w:pPr>
              <w:ind w:left="80"/>
              <w:spacing w:after="0"/>
              <w:rPr>
                <w:sz w:val="20"/>
                <w:szCs w:val="20"/>
                <w:color w:val="auto"/>
              </w:rPr>
            </w:pPr>
            <w:r>
              <w:rPr>
                <w:rFonts w:ascii="Arial" w:cs="Arial" w:eastAsia="Arial" w:hAnsi="Arial"/>
                <w:sz w:val="18"/>
                <w:szCs w:val="18"/>
                <w:color w:val="auto"/>
                <w:w w:val="93"/>
              </w:rPr>
              <w:t>Chief Financial Officer</w:t>
            </w:r>
          </w:p>
        </w:tc>
      </w:tr>
    </w:tbl>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Plan of Distribution</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selling security holders and any of their pledgees, donees, assignees and successors-in-interest may, from time to time, sell any or all of their shares of common stock being offered under this prospectus on any stock exchange, market or trading facility on which shares of our common stock are traded or in private transactions. These sales may be at fixed or negotiated prices. The selling security holders may use any one or more of the following methods when disposing of shares:</w:t>
      </w:r>
    </w:p>
    <w:p>
      <w:pPr>
        <w:spacing w:after="0" w:line="214" w:lineRule="exact"/>
        <w:rPr>
          <w:sz w:val="20"/>
          <w:szCs w:val="20"/>
          <w:color w:val="auto"/>
        </w:rPr>
      </w:pPr>
    </w:p>
    <w:p>
      <w:pPr>
        <w:ind w:left="660" w:hanging="139"/>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52" w:lineRule="exact"/>
        <w:rPr>
          <w:rFonts w:ascii="Arial" w:cs="Arial" w:eastAsia="Arial" w:hAnsi="Arial"/>
          <w:sz w:val="18"/>
          <w:szCs w:val="18"/>
          <w:color w:val="auto"/>
        </w:rPr>
      </w:pPr>
    </w:p>
    <w:p>
      <w:pPr>
        <w:ind w:left="660" w:right="20" w:hanging="139"/>
        <w:spacing w:after="0" w:line="277"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97" w:lineRule="exact"/>
        <w:rPr>
          <w:rFonts w:ascii="Arial" w:cs="Arial" w:eastAsia="Arial" w:hAnsi="Arial"/>
          <w:sz w:val="18"/>
          <w:szCs w:val="18"/>
          <w:color w:val="auto"/>
        </w:rPr>
      </w:pPr>
    </w:p>
    <w:p>
      <w:pPr>
        <w:ind w:left="660" w:hanging="139"/>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resales by the broker-dealer for its account;</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to cover short sales made after the date that the registration statement of which this prospectus is a part is declared effective by the Commission;</w:t>
      </w:r>
    </w:p>
    <w:p>
      <w:pPr>
        <w:spacing w:after="0" w:line="275" w:lineRule="exact"/>
        <w:rPr>
          <w:rFonts w:ascii="Arial" w:cs="Arial" w:eastAsia="Arial" w:hAnsi="Arial"/>
          <w:sz w:val="16"/>
          <w:szCs w:val="16"/>
          <w:color w:val="auto"/>
        </w:rPr>
      </w:pPr>
    </w:p>
    <w:p>
      <w:pPr>
        <w:ind w:left="660" w:hanging="139"/>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broker-dealers may agree with the selling security holders to sell a specified number of such shares at a stipulated price per share;</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combination of any of these methods of sale; and</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shares may also be sold under Rule 144 under the Securities Act of 1933, as amended (“Securities Act”), if available, rather than under this prospectus. The selling security holders have the sole and absolute discretion not to accept any purchase offer or make any sale of shares if they deem the purchase price to be unsatisfactory at any particular time.</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selling security holders may pledge their shares to their brokers under the margin provisions of customer agreements. If a selling security holder defaults on a margin loan, the broker may, from time to time, offer and sell the pledged shares.</w:t>
      </w:r>
    </w:p>
    <w:p>
      <w:pPr>
        <w:spacing w:after="0" w:line="19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Broker-dealers engaged by the selling security holders may arrange for other broker-dealers to participate in sales. Broker-dealers may receive commissions or discounts from the selling security holders (or, if any broker-dealer acts as agent for the purchaser of shares, from the purchaser) in amounts to be negotiated, which commissions as to a particular broker or dealer may be in excess of customary commissions to the extent permitted by applicable law.</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0" w:name="page111"/>
    <w:bookmarkEnd w:id="110"/>
    <w:p>
      <w:pPr>
        <w:jc w:val="both"/>
        <w:ind w:firstLine="648"/>
        <w:spacing w:after="0" w:line="264" w:lineRule="auto"/>
        <w:rPr>
          <w:sz w:val="20"/>
          <w:szCs w:val="20"/>
          <w:color w:val="auto"/>
        </w:rPr>
      </w:pPr>
      <w:r>
        <w:rPr>
          <w:rFonts w:ascii="Arial" w:cs="Arial" w:eastAsia="Arial" w:hAnsi="Arial"/>
          <w:sz w:val="18"/>
          <w:szCs w:val="18"/>
          <w:color w:val="auto"/>
        </w:rPr>
        <w:t>If sales of shares offered under this prospectus are made to broker-dealers as principals, we would be required to file a post-effective amendment to the registration statement of which this prospectus is a part. In the post-effective amendment, we would be required to disclose the names of any participating broker-dealers and the compensation arrangements relating to such sales.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selling security holders and any broker-dealers or agents that are involved in selling the shares offered under this prospectus may be deemed to be “underwriters” within the meaning of the Securities Act in connection with these sales. Commissions received by these broker-dealers or agents and any profit on the resale of the shares purchased by them may be deemed to be underwriting commissions or discounts under the Securities Act. Any broker-dealers or agents that are deemed to be underwriters may not sell shares offered under this prospectus unless and until we set forth the names of the underwriters and the material details of their underwriting arrangements in a supplement to this prospectus or, if required, in a replacement prospectus included in a post-effective amendment to the registration statement of which this prospectus is a part.</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selling security holders and any other persons participating in the sale or distribution of the shares offered under this prospectus will be subject to applicable provisions of the Exchange Act, and the rules and regulations under that act, including Regulation M. These provisions may restrict activities of, and limit the timing of purchases and sales of any of the shares by, the selling security holders or any other person. Furthermore, under Regulation M, persons engaged in a distribution of securities are prohibited from simultaneously engaging in market making and other activities with respect to those securities for a specified period of time prior to the commencement of such distributions, subject to specified exceptions or exemptions. All of these limitations may affect the marketability of the shares.</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any of the shares of common stock offered for sale pursuant to this prospectus are transferred other than pursuant to a sale under this prospectus, then subsequent holders could not use this prospectus until a post-effective amendment or prospectus supplement is filed, naming such holders. We offer no assurance as to whether any of the selling security holders will sell all or any portion of the shares offered under this prospectus.</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have agreed to pay all fees and expenses we incur incident to the registration of the shares being offered under this prospectus. However, each selling security holder and purchaser is responsible for paying any discounts, commissions and similar selling expenses they incur.</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and the selling security holders have agreed to indemnify one another against certain losses, damages and liabilities arising in connection with this prospectus, including liabilities under the Securities Act.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1" w:name="page112"/>
    <w:bookmarkEnd w:id="11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AMENDED AND RESTATED SECURITY AGREEMENT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AMENDED AND RESTATED SECURITY AGREEMENT (this “</w:t>
      </w:r>
      <w:r>
        <w:rPr>
          <w:rFonts w:ascii="Arial" w:cs="Arial" w:eastAsia="Arial" w:hAnsi="Arial"/>
          <w:sz w:val="18"/>
          <w:szCs w:val="18"/>
          <w:u w:val="single" w:color="auto"/>
          <w:color w:val="auto"/>
        </w:rPr>
        <w:t>Security Agreement</w:t>
      </w:r>
      <w:r>
        <w:rPr>
          <w:rFonts w:ascii="Arial" w:cs="Arial" w:eastAsia="Arial" w:hAnsi="Arial"/>
          <w:sz w:val="18"/>
          <w:szCs w:val="18"/>
          <w:color w:val="auto"/>
        </w:rPr>
        <w:t>”) is made as of June 4, 2010 by and between OptimizeRx Corporation, a Nevada corporation (“</w:t>
      </w:r>
      <w:r>
        <w:rPr>
          <w:rFonts w:ascii="Arial" w:cs="Arial" w:eastAsia="Arial" w:hAnsi="Arial"/>
          <w:sz w:val="18"/>
          <w:szCs w:val="18"/>
          <w:u w:val="single" w:color="auto"/>
          <w:color w:val="auto"/>
        </w:rPr>
        <w:t>Debtor</w:t>
      </w:r>
      <w:r>
        <w:rPr>
          <w:rFonts w:ascii="Arial" w:cs="Arial" w:eastAsia="Arial" w:hAnsi="Arial"/>
          <w:sz w:val="18"/>
          <w:szCs w:val="18"/>
          <w:color w:val="auto"/>
        </w:rPr>
        <w:t>”), and Vicis Capital Master Fund (“</w:t>
      </w:r>
      <w:r>
        <w:rPr>
          <w:rFonts w:ascii="Arial" w:cs="Arial" w:eastAsia="Arial" w:hAnsi="Arial"/>
          <w:sz w:val="18"/>
          <w:szCs w:val="18"/>
          <w:u w:val="single" w:color="auto"/>
          <w:color w:val="auto"/>
        </w:rPr>
        <w:t>Vicis</w:t>
      </w:r>
      <w:r>
        <w:rPr>
          <w:rFonts w:ascii="Arial" w:cs="Arial" w:eastAsia="Arial" w:hAnsi="Arial"/>
          <w:sz w:val="18"/>
          <w:szCs w:val="18"/>
          <w:color w:val="auto"/>
        </w:rPr>
        <w:t>”), a sub-trust of Vicis Capital Series Master Trust, a unit trust organized and existing under the laws of the Cayman Islands.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Debtor and Vicis wish to amend and restate that certain Security Agreement dated as of September 8, 2008 between Debtor and Vicis (the “</w:t>
      </w:r>
      <w:r>
        <w:rPr>
          <w:rFonts w:ascii="Arial" w:cs="Arial" w:eastAsia="Arial" w:hAnsi="Arial"/>
          <w:sz w:val="18"/>
          <w:szCs w:val="18"/>
          <w:u w:val="single" w:color="auto"/>
          <w:color w:val="auto"/>
        </w:rPr>
        <w:t>September Security Agreement</w:t>
      </w:r>
      <w:r>
        <w:rPr>
          <w:rFonts w:ascii="Arial" w:cs="Arial" w:eastAsia="Arial" w:hAnsi="Arial"/>
          <w:sz w:val="18"/>
          <w:szCs w:val="18"/>
          <w:color w:val="auto"/>
        </w:rPr>
        <w:t>”).</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a Securities Purchase Agreement dated as of September 8, 2008, by and between Vicis and Debtor, Debtor has issued shares of Debtor’s Series A Convertible Preferred Stock, par value $.001 per share (the “</w:t>
      </w:r>
      <w:r>
        <w:rPr>
          <w:rFonts w:ascii="Arial" w:cs="Arial" w:eastAsia="Arial" w:hAnsi="Arial"/>
          <w:sz w:val="18"/>
          <w:szCs w:val="18"/>
          <w:u w:val="single" w:color="auto"/>
          <w:color w:val="auto"/>
        </w:rPr>
        <w:t>Series A Preferred Shares</w:t>
      </w:r>
      <w:r>
        <w:rPr>
          <w:rFonts w:ascii="Arial" w:cs="Arial" w:eastAsia="Arial" w:hAnsi="Arial"/>
          <w:sz w:val="18"/>
          <w:szCs w:val="18"/>
          <w:color w:val="auto"/>
        </w:rPr>
        <w:t>”), to Vicis.</w:t>
      </w:r>
    </w:p>
    <w:p>
      <w:pPr>
        <w:spacing w:after="0" w:line="19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WHEREAS, pursuant to a Securities Purchase Agreement of even date herewith by and between Vicis and Debtor (as amended or modified from time to time,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Vicis has made an investment (the “</w:t>
      </w:r>
      <w:r>
        <w:rPr>
          <w:rFonts w:ascii="Arial" w:cs="Arial" w:eastAsia="Arial" w:hAnsi="Arial"/>
          <w:sz w:val="18"/>
          <w:szCs w:val="18"/>
          <w:u w:val="single" w:color="auto"/>
          <w:color w:val="auto"/>
        </w:rPr>
        <w:t>Investment</w:t>
      </w:r>
      <w:r>
        <w:rPr>
          <w:rFonts w:ascii="Arial" w:cs="Arial" w:eastAsia="Arial" w:hAnsi="Arial"/>
          <w:sz w:val="18"/>
          <w:szCs w:val="18"/>
          <w:color w:val="auto"/>
        </w:rPr>
        <w:t>”) in shares of Debtor's Series B Convertible Preferred Stock (the “</w:t>
      </w:r>
      <w:r>
        <w:rPr>
          <w:rFonts w:ascii="Arial" w:cs="Arial" w:eastAsia="Arial" w:hAnsi="Arial"/>
          <w:sz w:val="18"/>
          <w:szCs w:val="18"/>
          <w:u w:val="single" w:color="auto"/>
          <w:color w:val="auto"/>
        </w:rPr>
        <w:t>Series B Preferred Shares</w:t>
      </w:r>
      <w:r>
        <w:rPr>
          <w:rFonts w:ascii="Arial" w:cs="Arial" w:eastAsia="Arial" w:hAnsi="Arial"/>
          <w:sz w:val="18"/>
          <w:szCs w:val="18"/>
          <w:color w:val="auto"/>
        </w:rPr>
        <w:t>” and, together with the Series A Preferred Shares, the “</w:t>
      </w:r>
      <w:r>
        <w:rPr>
          <w:rFonts w:ascii="Arial" w:cs="Arial" w:eastAsia="Arial" w:hAnsi="Arial"/>
          <w:sz w:val="18"/>
          <w:szCs w:val="18"/>
          <w:u w:val="single" w:color="auto"/>
          <w:color w:val="auto"/>
        </w:rPr>
        <w:t>Preferred Shares</w:t>
      </w:r>
      <w:r>
        <w:rPr>
          <w:rFonts w:ascii="Arial" w:cs="Arial" w:eastAsia="Arial" w:hAnsi="Arial"/>
          <w:sz w:val="18"/>
          <w:szCs w:val="18"/>
          <w:color w:val="auto"/>
        </w:rPr>
        <w:t>”).</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it is a condition precedent to Vicis making the Investment that Debtor execute and deliver to Vicis an amended and restated security agreement in the form hereof.</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this Security Agreement is the Security Agreement referred to in the Purchase Agreement.</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Recitals and for other good and valuable consideration, the receipt and sufficiency of which are hereby acknowledged, Debtor hereby agrees with Vicis as follows: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38"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Capitalized terms not defined herein shall have the meaning given to them in the Purchase Agreement. Capitalized terms not otherwise defined herein and defined in the UCC shall have, unless the context otherwise requires, the meanings set forth in the UCC as in effect on the date hereof (except that the term “</w:t>
      </w:r>
      <w:r>
        <w:rPr>
          <w:rFonts w:ascii="Arial" w:cs="Arial" w:eastAsia="Arial" w:hAnsi="Arial"/>
          <w:sz w:val="16"/>
          <w:szCs w:val="16"/>
          <w:u w:val="single" w:color="auto"/>
          <w:color w:val="auto"/>
        </w:rPr>
        <w:t>document</w:t>
      </w:r>
      <w:r>
        <w:rPr>
          <w:rFonts w:ascii="Arial" w:cs="Arial" w:eastAsia="Arial" w:hAnsi="Arial"/>
          <w:sz w:val="16"/>
          <w:szCs w:val="16"/>
          <w:color w:val="auto"/>
        </w:rPr>
        <w:t>” shall only have the meaning set forth in the UCC for purposes of clause (d) of the definition of Collateral), the recitals and as follows:</w:t>
      </w:r>
    </w:p>
    <w:p>
      <w:pPr>
        <w:spacing w:after="0" w:line="20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Accounts</w:t>
      </w:r>
      <w:r>
        <w:rPr>
          <w:rFonts w:ascii="Arial" w:cs="Arial" w:eastAsia="Arial" w:hAnsi="Arial"/>
          <w:sz w:val="18"/>
          <w:szCs w:val="18"/>
          <w:color w:val="auto"/>
        </w:rPr>
        <w:t>. “Accounts” shall mean all accounts, including without limitation all rights to payment for goods sold or services rendered that are not evidenced by instruments or chattel paper, whether or not earned by performance, and any associated rights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432435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3" w:name="page114"/>
    <w:bookmarkEnd w:id="113"/>
    <w:p>
      <w:pPr>
        <w:ind w:right="60" w:firstLine="648"/>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Collateral</w:t>
      </w:r>
      <w:r>
        <w:rPr>
          <w:rFonts w:ascii="Arial" w:cs="Arial" w:eastAsia="Arial" w:hAnsi="Arial"/>
          <w:sz w:val="18"/>
          <w:szCs w:val="18"/>
          <w:color w:val="auto"/>
        </w:rPr>
        <w:t>. “Collateral” shall mean all personal properties and assets of Debtor, wherever located, whether tangible or intangible, and whether now owned or hereafter acquired or arising, including without limitation:</w:t>
      </w:r>
    </w:p>
    <w:p>
      <w:pPr>
        <w:spacing w:after="0" w:line="224" w:lineRule="exact"/>
        <w:rPr>
          <w:sz w:val="20"/>
          <w:szCs w:val="20"/>
          <w:color w:val="auto"/>
        </w:rPr>
      </w:pPr>
    </w:p>
    <w:p>
      <w:pPr>
        <w:ind w:left="1720" w:hanging="415"/>
        <w:spacing w:after="0"/>
        <w:tabs>
          <w:tab w:leader="none" w:pos="1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Inventory and documents relating to Inventory;</w:t>
      </w:r>
    </w:p>
    <w:p>
      <w:pPr>
        <w:spacing w:after="0" w:line="279" w:lineRule="exact"/>
        <w:rPr>
          <w:rFonts w:ascii="Arial" w:cs="Arial" w:eastAsia="Arial" w:hAnsi="Arial"/>
          <w:sz w:val="18"/>
          <w:szCs w:val="18"/>
          <w:color w:val="auto"/>
        </w:rPr>
      </w:pPr>
    </w:p>
    <w:p>
      <w:pPr>
        <w:ind w:left="1740" w:hanging="435"/>
        <w:spacing w:after="0"/>
        <w:tabs>
          <w:tab w:leader="none" w:pos="17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Accounts and documents relating to Accounts;</w:t>
      </w:r>
    </w:p>
    <w:p>
      <w:pPr>
        <w:spacing w:after="0" w:line="279" w:lineRule="exact"/>
        <w:rPr>
          <w:rFonts w:ascii="Arial" w:cs="Arial" w:eastAsia="Arial" w:hAnsi="Arial"/>
          <w:sz w:val="18"/>
          <w:szCs w:val="18"/>
          <w:color w:val="auto"/>
        </w:rPr>
      </w:pPr>
    </w:p>
    <w:p>
      <w:pPr>
        <w:ind w:left="1720" w:hanging="415"/>
        <w:spacing w:after="0"/>
        <w:tabs>
          <w:tab w:leader="none" w:pos="1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equipment, fixtures and other goods, including without limitation machinery, furniture, vehicles and trade fixtures;</w:t>
      </w:r>
    </w:p>
    <w:p>
      <w:pPr>
        <w:spacing w:after="0" w:line="279" w:lineRule="exact"/>
        <w:rPr>
          <w:rFonts w:ascii="Arial" w:cs="Arial" w:eastAsia="Arial" w:hAnsi="Arial"/>
          <w:sz w:val="18"/>
          <w:szCs w:val="18"/>
          <w:color w:val="auto"/>
        </w:rPr>
      </w:pPr>
    </w:p>
    <w:p>
      <w:pPr>
        <w:ind w:right="280" w:firstLine="1305"/>
        <w:spacing w:after="0" w:line="259" w:lineRule="auto"/>
        <w:tabs>
          <w:tab w:leader="none" w:pos="172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general intangibles (including without limitation payment intangibles, software, customer lists, sales records and other business records, contract rights, causes of action, and licenses, permits, franchises, patents, copyrights, trademarks, and goodwill of the business in which the trademark is used, trade names, or rights to any of the foregoing), promissory notes, contract rights, chattel paper, documents, letter-of-credit rights and instruments;</w:t>
      </w:r>
    </w:p>
    <w:p>
      <w:pPr>
        <w:spacing w:after="0" w:line="240" w:lineRule="exact"/>
        <w:rPr>
          <w:rFonts w:ascii="Arial" w:cs="Arial" w:eastAsia="Arial" w:hAnsi="Arial"/>
          <w:sz w:val="18"/>
          <w:szCs w:val="18"/>
          <w:color w:val="auto"/>
        </w:rPr>
      </w:pPr>
    </w:p>
    <w:p>
      <w:pPr>
        <w:ind w:left="1720" w:hanging="415"/>
        <w:spacing w:after="0"/>
        <w:tabs>
          <w:tab w:leader="none" w:pos="1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motor vehicles;</w:t>
      </w:r>
    </w:p>
    <w:p>
      <w:pPr>
        <w:spacing w:after="0" w:line="279" w:lineRule="exact"/>
        <w:rPr>
          <w:rFonts w:ascii="Arial" w:cs="Arial" w:eastAsia="Arial" w:hAnsi="Arial"/>
          <w:sz w:val="18"/>
          <w:szCs w:val="18"/>
          <w:color w:val="auto"/>
        </w:rPr>
      </w:pPr>
    </w:p>
    <w:p>
      <w:pPr>
        <w:ind w:right="340" w:firstLine="1305"/>
        <w:spacing w:after="0" w:line="277" w:lineRule="auto"/>
        <w:tabs>
          <w:tab w:leader="none" w:pos="169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all deposit accounts and (ii) all cash and cash equivalents deposited with or delivered to Vicis from time to time and pledged as additional security for the Obligations;</w:t>
      </w:r>
    </w:p>
    <w:p>
      <w:pPr>
        <w:spacing w:after="0" w:line="224" w:lineRule="exact"/>
        <w:rPr>
          <w:rFonts w:ascii="Arial" w:cs="Arial" w:eastAsia="Arial" w:hAnsi="Arial"/>
          <w:sz w:val="18"/>
          <w:szCs w:val="18"/>
          <w:color w:val="auto"/>
        </w:rPr>
      </w:pPr>
    </w:p>
    <w:p>
      <w:pPr>
        <w:ind w:left="1740" w:hanging="435"/>
        <w:spacing w:after="0"/>
        <w:tabs>
          <w:tab w:leader="none" w:pos="17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279" w:lineRule="exact"/>
        <w:rPr>
          <w:rFonts w:ascii="Arial" w:cs="Arial" w:eastAsia="Arial" w:hAnsi="Arial"/>
          <w:sz w:val="18"/>
          <w:szCs w:val="18"/>
          <w:color w:val="auto"/>
        </w:rPr>
      </w:pPr>
    </w:p>
    <w:p>
      <w:pPr>
        <w:ind w:left="1740" w:hanging="435"/>
        <w:spacing w:after="0"/>
        <w:tabs>
          <w:tab w:leader="none" w:pos="17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commercial tort claims; and</w:t>
      </w:r>
    </w:p>
    <w:p>
      <w:pPr>
        <w:spacing w:after="0" w:line="279" w:lineRule="exact"/>
        <w:rPr>
          <w:rFonts w:ascii="Arial" w:cs="Arial" w:eastAsia="Arial" w:hAnsi="Arial"/>
          <w:sz w:val="18"/>
          <w:szCs w:val="18"/>
          <w:color w:val="auto"/>
        </w:rPr>
      </w:pPr>
    </w:p>
    <w:p>
      <w:pPr>
        <w:ind w:firstLine="1305"/>
        <w:spacing w:after="0" w:line="277" w:lineRule="auto"/>
        <w:tabs>
          <w:tab w:leader="none" w:pos="168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additions and accessions to, all spare and repair parts, special tools, equipment and replacements for, and all supporting obligations, proceeds and products of, any and all of the foregoing assets described in Sections (a) through (h), inclusive, above.</w:t>
      </w:r>
    </w:p>
    <w:p>
      <w:pPr>
        <w:spacing w:after="0" w:line="22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 xml:space="preserve">Event of Default. </w:t>
      </w:r>
      <w:r>
        <w:rPr>
          <w:rFonts w:ascii="Arial" w:cs="Arial" w:eastAsia="Arial" w:hAnsi="Arial"/>
          <w:sz w:val="16"/>
          <w:szCs w:val="16"/>
          <w:color w:val="auto"/>
        </w:rPr>
        <w:t>“Event of Default” shall have the meaning specified in the Purchase Agreement.</w:t>
      </w:r>
    </w:p>
    <w:p>
      <w:pPr>
        <w:spacing w:after="0" w:line="27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Inventory</w:t>
      </w:r>
      <w:r>
        <w:rPr>
          <w:rFonts w:ascii="Arial" w:cs="Arial" w:eastAsia="Arial" w:hAnsi="Arial"/>
          <w:sz w:val="16"/>
          <w:szCs w:val="16"/>
          <w:color w:val="auto"/>
        </w:rPr>
        <w:t>. “Inventory” shall mean all inventory, including without limitation all goods held for sale, lease or demonstration or to be furnished under contracts of service, goods leased to others, trade-ins and repossessions, raw materials, work in process and materials used or consumed in Debtor’s business, including, without limitation, goods in transit, wheresoever located, whether now owned or hereafter acquired by Debtor, and shall include such property the sale or other disposition of which has given rise to Accounts and which has been returned to or repossessed or stopped in transit by Debtor.</w:t>
      </w:r>
    </w:p>
    <w:p>
      <w:pPr>
        <w:spacing w:after="0" w:line="208"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Obligations</w:t>
      </w:r>
      <w:r>
        <w:rPr>
          <w:rFonts w:ascii="Arial" w:cs="Arial" w:eastAsia="Arial" w:hAnsi="Arial"/>
          <w:sz w:val="17"/>
          <w:szCs w:val="17"/>
          <w:color w:val="auto"/>
        </w:rPr>
        <w:t>. “Obligations” shall mean (a) Debtor's obligation to pay dividends on, and redeem at the Maturity Date, the Preferred Shares as required by the terms thereof; (b) all obligations of the Debtor associated with any renewal, extension, refinancing, or amendment to the terms of the Preferred Shares; and (c) all other debts, liabilities, obligations, covenants and agreements of Debtor contained in the Transaction Documents.</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114" w:name="page115"/>
    <w:bookmarkEnd w:id="114"/>
    <w:p>
      <w:pPr>
        <w:ind w:right="60" w:firstLine="648"/>
        <w:spacing w:after="0" w:line="277"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Person</w:t>
      </w:r>
      <w:r>
        <w:rPr>
          <w:rFonts w:ascii="Arial" w:cs="Arial" w:eastAsia="Arial" w:hAnsi="Arial"/>
          <w:sz w:val="18"/>
          <w:szCs w:val="18"/>
          <w:color w:val="auto"/>
        </w:rPr>
        <w:t>. “Person” shall mean and include an individual, partnership, corporation, trust, unincorporated association and any unit, department or agency of government.</w:t>
      </w:r>
    </w:p>
    <w:p>
      <w:pPr>
        <w:spacing w:after="0" w:line="224"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Security Agreement</w:t>
      </w:r>
      <w:r>
        <w:rPr>
          <w:rFonts w:ascii="Arial" w:cs="Arial" w:eastAsia="Arial" w:hAnsi="Arial"/>
          <w:sz w:val="17"/>
          <w:szCs w:val="17"/>
          <w:color w:val="auto"/>
        </w:rPr>
        <w:t>. “Security Agreement” shall mean this Amended and Restated Security Agreement, together with the schedules attached hereto, as the same may be amended, supplemented or otherwise modified from time to time in accordance with the terms hereof.</w:t>
      </w:r>
    </w:p>
    <w:p>
      <w:pPr>
        <w:spacing w:after="0" w:line="20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Security Interest</w:t>
      </w:r>
      <w:r>
        <w:rPr>
          <w:rFonts w:ascii="Arial" w:cs="Arial" w:eastAsia="Arial" w:hAnsi="Arial"/>
          <w:sz w:val="18"/>
          <w:szCs w:val="18"/>
          <w:color w:val="auto"/>
        </w:rPr>
        <w:t>. “Security Interest” shall mean the security interest of Vicis in the Collateral granted by Debtor pursuant to this Security Agreement.</w:t>
      </w:r>
    </w:p>
    <w:p>
      <w:pPr>
        <w:spacing w:after="0" w:line="224"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“Transaction Documents” shall mean (i) the Transaction Documents (as that term is defined in the Securities Purchase Agreement dated as of September 8, 2008, by and between Vicis and Debtor, plus (ii) the Transaction Documents (as that term is defined in the Purchase Agreement).</w:t>
      </w:r>
    </w:p>
    <w:p>
      <w:pPr>
        <w:spacing w:after="0" w:line="23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u w:val="single" w:color="auto"/>
          <w:color w:val="auto"/>
        </w:rPr>
        <w:t>UCC</w:t>
      </w:r>
      <w:r>
        <w:rPr>
          <w:rFonts w:ascii="Arial" w:cs="Arial" w:eastAsia="Arial" w:hAnsi="Arial"/>
          <w:sz w:val="16"/>
          <w:szCs w:val="16"/>
          <w:color w:val="auto"/>
        </w:rPr>
        <w:t>. “UCC” shall mean the Uniform Commercial Code as adopted in the State of Nevada and in effect from time to time.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SECURITY INTEREST; REPRESENTATIONS AND WARRANTIES</w:t>
      </w:r>
    </w:p>
    <w:p>
      <w:pPr>
        <w:spacing w:after="0" w:line="26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The Security Interest</w:t>
      </w:r>
      <w:r>
        <w:rPr>
          <w:rFonts w:ascii="Arial" w:cs="Arial" w:eastAsia="Arial" w:hAnsi="Arial"/>
          <w:sz w:val="17"/>
          <w:szCs w:val="17"/>
          <w:color w:val="auto"/>
        </w:rPr>
        <w:t>. To secure the full and complete payment and performance when due (whether at maturity, by acceleration, or otherwise) of each of the Obligations, Debtor hereby grants to Vicis a security interest in all of Debtor’s right, title and interest in and to the Collateral.</w:t>
      </w:r>
    </w:p>
    <w:p>
      <w:pPr>
        <w:spacing w:after="0" w:line="20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Debtor hereby represents and warrants to Vicis that:</w:t>
      </w:r>
    </w:p>
    <w:p>
      <w:pPr>
        <w:spacing w:after="0" w:line="279" w:lineRule="exact"/>
        <w:rPr>
          <w:sz w:val="20"/>
          <w:szCs w:val="20"/>
          <w:color w:val="auto"/>
        </w:rPr>
      </w:pPr>
    </w:p>
    <w:p>
      <w:pPr>
        <w:ind w:left="1720" w:hanging="415"/>
        <w:spacing w:after="0"/>
        <w:tabs>
          <w:tab w:leader="none" w:pos="17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The records of Debtor with respect to the Collateral are presently located only at the address(es)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attached to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Security Agreement.</w:t>
      </w:r>
    </w:p>
    <w:p>
      <w:pPr>
        <w:spacing w:after="0" w:line="264" w:lineRule="exact"/>
        <w:rPr>
          <w:rFonts w:ascii="Arial" w:cs="Arial" w:eastAsia="Arial" w:hAnsi="Arial"/>
          <w:sz w:val="16"/>
          <w:szCs w:val="16"/>
          <w:color w:val="auto"/>
        </w:rPr>
      </w:pPr>
    </w:p>
    <w:p>
      <w:pPr>
        <w:ind w:left="1740" w:hanging="435"/>
        <w:spacing w:after="0"/>
        <w:tabs>
          <w:tab w:leader="none" w:pos="17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The Collateral is presently located only at the location(s)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to this Security Agreement.</w:t>
      </w:r>
    </w:p>
    <w:p>
      <w:pPr>
        <w:spacing w:after="0" w:line="279" w:lineRule="exact"/>
        <w:rPr>
          <w:rFonts w:ascii="Arial" w:cs="Arial" w:eastAsia="Arial" w:hAnsi="Arial"/>
          <w:sz w:val="18"/>
          <w:szCs w:val="18"/>
          <w:color w:val="auto"/>
        </w:rPr>
      </w:pPr>
    </w:p>
    <w:p>
      <w:pPr>
        <w:ind w:left="1720" w:hanging="415"/>
        <w:spacing w:after="0"/>
        <w:tabs>
          <w:tab w:leader="none" w:pos="17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The chief executive office and chief place(s) of business of Debtor are presently located at the address(es)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to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Security Agreement.</w:t>
      </w:r>
    </w:p>
    <w:p>
      <w:pPr>
        <w:spacing w:after="0" w:line="264" w:lineRule="exact"/>
        <w:rPr>
          <w:rFonts w:ascii="Arial" w:cs="Arial" w:eastAsia="Arial" w:hAnsi="Arial"/>
          <w:sz w:val="16"/>
          <w:szCs w:val="16"/>
          <w:color w:val="auto"/>
        </w:rPr>
      </w:pPr>
    </w:p>
    <w:p>
      <w:pPr>
        <w:ind w:right="80" w:firstLine="1305"/>
        <w:spacing w:after="0" w:line="277" w:lineRule="auto"/>
        <w:tabs>
          <w:tab w:leader="none" w:pos="172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Debtor is a Nevada corporation and its exact legal name is set forth in the definition of “Debtor” in the introductory paragraph of this Security Agreement. The organization identification number of Debtor is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to this Security Agreement.</w:t>
      </w:r>
    </w:p>
    <w:p>
      <w:pPr>
        <w:spacing w:after="0" w:line="224" w:lineRule="exact"/>
        <w:rPr>
          <w:rFonts w:ascii="Arial" w:cs="Arial" w:eastAsia="Arial" w:hAnsi="Arial"/>
          <w:sz w:val="18"/>
          <w:szCs w:val="18"/>
          <w:color w:val="auto"/>
        </w:rPr>
      </w:pPr>
    </w:p>
    <w:p>
      <w:pPr>
        <w:ind w:right="20" w:firstLine="1305"/>
        <w:spacing w:after="0" w:line="259" w:lineRule="auto"/>
        <w:tabs>
          <w:tab w:leader="none" w:pos="171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All of Debtor’s present patents and trademarks, if any, including those which have been registered with, or for which an application for registration has been filed in, the United States Patent and Trademark Office are listed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attached to this Security Agreement. All of Debtor’s present copyrights registered with, or for which an application for registration has been filed in, the United States Copyright Office or any similar office or agency of any state or any other country are listed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attached to this Security Agreement.</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115" w:name="page116"/>
    <w:bookmarkEnd w:id="115"/>
    <w:p>
      <w:pPr>
        <w:ind w:left="1700" w:hanging="395"/>
        <w:spacing w:after="0"/>
        <w:tabs>
          <w:tab w:leader="none" w:pos="17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Debtor has good title to, or valid leasehold interest in, all of the Collateral and there are no Liens on any of the Collateral except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Permitted Liens.</w:t>
      </w:r>
    </w:p>
    <w:p>
      <w:pPr>
        <w:spacing w:after="0" w:line="26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Authorization to File Financing Statements</w:t>
      </w:r>
      <w:r>
        <w:rPr>
          <w:rFonts w:ascii="Arial" w:cs="Arial" w:eastAsia="Arial" w:hAnsi="Arial"/>
          <w:sz w:val="16"/>
          <w:szCs w:val="16"/>
          <w:color w:val="auto"/>
        </w:rPr>
        <w:t>. Debtor hereby irrevocably authorizes Vicis at any time and from time to time to file in any UCC jurisdiction any initial financing statements and amendments thereto that (a) indicate the Collateral (i) as all assets of Debtor or words of similar effect, regardless of whether any particular asset comprised in the Collateral falls within the scope of Article 9 of the UCC or such other jurisdiction, or (ii) as being of an equal or lesser scope or with greater detail, and (b) contain any other information required by Part 5 of Article 9 of the UCC for the sufficiency of filing office acceptance of any financing statement or amendment, including whether Debtor is an organization, the type of organization and any state or federal organization identification number issued to Debtor. Debtor agrees to furnish any such information to Vicis promptly upon request. Debtor also ratifies its authorization for Vicis to have filed in any UCC jurisdiction any like initial financing statements or amendments thereto if filed prior to the date hereof.</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AGREEMENTS OF DEBTOR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From and after the date of this Security Agreement, and until all of the Obligations are paid in full, Debtor shall:</w:t>
      </w:r>
    </w:p>
    <w:p>
      <w:pPr>
        <w:spacing w:after="0" w:line="27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Sale of Collateral</w:t>
      </w:r>
      <w:r>
        <w:rPr>
          <w:rFonts w:ascii="Arial" w:cs="Arial" w:eastAsia="Arial" w:hAnsi="Arial"/>
          <w:sz w:val="18"/>
          <w:szCs w:val="18"/>
          <w:color w:val="auto"/>
        </w:rPr>
        <w:t>. Not sell, lease, transfer or otherwise dispose of Collateral or any interest therein, except as provided for in the Purchase Agreement and for sales of Inventory in the ordinary course of business.</w:t>
      </w:r>
    </w:p>
    <w:p>
      <w:pPr>
        <w:spacing w:after="0" w:line="22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Maintenance of Security Interest</w:t>
      </w:r>
      <w:r>
        <w:rPr>
          <w:rFonts w:ascii="Arial" w:cs="Arial" w:eastAsia="Arial" w:hAnsi="Arial"/>
          <w:sz w:val="16"/>
          <w:szCs w:val="16"/>
          <w:color w:val="auto"/>
        </w:rPr>
        <w:t>.</w:t>
      </w:r>
    </w:p>
    <w:p>
      <w:pPr>
        <w:spacing w:after="0" w:line="279" w:lineRule="exact"/>
        <w:rPr>
          <w:sz w:val="20"/>
          <w:szCs w:val="20"/>
          <w:color w:val="auto"/>
        </w:rPr>
      </w:pPr>
    </w:p>
    <w:p>
      <w:pPr>
        <w:ind w:right="160" w:firstLine="1305"/>
        <w:spacing w:after="0" w:line="312" w:lineRule="auto"/>
        <w:tabs>
          <w:tab w:leader="none" w:pos="171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At the expense of Debtor, defend the Security Interest against any and all claims of any Person adverse to Vicis and take such action and execute such financing statements and other documents as Vicis may from time to time request to maintain the perfected status of the Security Interest. Debtor shall not further encumber or grant a security interest in any of the Collateral except as provided for in the Purchase Agreement.</w:t>
      </w:r>
    </w:p>
    <w:p>
      <w:pPr>
        <w:spacing w:after="0" w:line="200" w:lineRule="exact"/>
        <w:rPr>
          <w:rFonts w:ascii="Arial" w:cs="Arial" w:eastAsia="Arial" w:hAnsi="Arial"/>
          <w:sz w:val="16"/>
          <w:szCs w:val="16"/>
          <w:color w:val="auto"/>
        </w:rPr>
      </w:pPr>
    </w:p>
    <w:p>
      <w:pPr>
        <w:ind w:firstLine="1305"/>
        <w:spacing w:after="0" w:line="272" w:lineRule="auto"/>
        <w:tabs>
          <w:tab w:leader="none" w:pos="1722"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Take any other action requested by Vicis to ensure the attachment, perfection and first priority of, and the ability of Vicis to enforce its security interest in any and all of the Collateral including, without limitation, (i) executing, delivering and, where appropriate, filing financing statements and amendments relating thereto under the UCC, to the extent, if any, that Debtor’s signature thereon is required therefor, (ii) complying with any provision of any statute, regulation or treaty of the United States as to any Collateral if compliance with such provision is a condition to attachment, perfection or priority of, or ability of Vicis to enforce, its security interest in such Collateral, (iii) taking all actions requi red by any earlier versions of the UCC (to the extent applicable) or by other law, as applicable in any relevant UCC jurisdiction, or by other law as applicable in any foreign jurisdiction, and (iv) obtaining waivers from landlords where any of the tangible Collateral is located in form and substance satisfactory to Vicis.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116" w:name="page117"/>
    <w:bookmarkEnd w:id="116"/>
    <w:p>
      <w:pPr>
        <w:ind w:firstLine="648"/>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Locations</w:t>
      </w:r>
      <w:r>
        <w:rPr>
          <w:rFonts w:ascii="Arial" w:cs="Arial" w:eastAsia="Arial" w:hAnsi="Arial"/>
          <w:sz w:val="18"/>
          <w:szCs w:val="18"/>
          <w:color w:val="auto"/>
        </w:rPr>
        <w:t xml:space="preserve">. Give Vicis at least thirty (30) days prior written notice of Debtor’s intention to relocate the tangible Collateral (other than Inventory in transit) or any of the records relating to the Collateral from the locations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to this Security Agreement, in which event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w:t>
      </w:r>
      <w:r>
        <w:rPr>
          <w:rFonts w:ascii="Arial" w:cs="Arial" w:eastAsia="Arial" w:hAnsi="Arial"/>
          <w:sz w:val="18"/>
          <w:szCs w:val="18"/>
          <w:color w:val="auto"/>
        </w:rPr>
        <w:t xml:space="preserve"> shall be deemed amended to include the new location. Any additional filings or refilings requested by Vicis as a result of any such relocation in order to maintain the Security Interest in the Collateral shall be at Debtor’s expense.</w:t>
      </w:r>
    </w:p>
    <w:p>
      <w:pPr>
        <w:spacing w:after="0" w:line="241"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Insurance</w:t>
      </w:r>
      <w:r>
        <w:rPr>
          <w:rFonts w:ascii="Arial" w:cs="Arial" w:eastAsia="Arial" w:hAnsi="Arial"/>
          <w:sz w:val="16"/>
          <w:szCs w:val="16"/>
          <w:color w:val="auto"/>
        </w:rPr>
        <w:t>. Keep the Collateral consisting of tangible personal property insured against loss or damage to the Collateral under a policy or policies covering such risks as are ordinarily insured against by similar businesses, but in any event including fire, lightning, windstorm, hail, explosion, riot, riot attending a strike, civil commotion, damage from aircraft, smoke and uniform standard extended coverage and vandalism and malicious mischief endorsements, limited only as may be provided in the standard form of such endorsements at the time in use in the applicable state. Such insurance shall be for amounts not less than the actual replacemen t cost of the Collateral. No policy of insurance shall be so written that the proceeds thereof will produce less than the minimum coverage required by the preceding sentence, by reason of co-insurance provisions or otherwise, without the prior consent thereto in writing by Vicis. Debtor will obtain lender’s loss payable endorsements on applicable insurance policies in favor of Vicis and will provide certificates of such insurance to Vicis. Debtor shall cause each insurer to agree, by endorsement on the policy or policies or certificates of insurance issued by it or by independent instrument furnished to Vicis, that such insurer will give thirty (30) days written notice to Vicis before such policy will be altered or</w:t>
      </w:r>
    </w:p>
    <w:p>
      <w:pPr>
        <w:spacing w:after="0" w:line="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canceled. No settlement of any insurance claim shall be made without Vicis’s prior consent. In the event of any insured loss, Debtor shall promptly notify Vicis thereof in writing, and Debtor hereby authorizes and directs any insur er concerned to make payment of such loss directly to Vicis as its interest may appear. Vicis is authorized, in the name and on behalf of Debtor, to make proof of loss and to adjust, compromise and collect, in such manner and amounts as it shall determine, all claims under all policies; and Debtor agrees to sign, on demand of Vicis, all receipts, vouchers, releases and other instruments which may be necessary or desirable in aid of this authorization. The proceeds of any insurance from loss, theft, or damage to the Collateral shall be held in a segregated account established by Vicis and disbursed and applied at the discretion of Vicis, either in reduction of the Obligations or applied toward the repair, restoration or replacement of the Collateral.</w:t>
      </w:r>
    </w:p>
    <w:p>
      <w:pPr>
        <w:spacing w:after="0" w:line="2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Name; Legal Status</w:t>
      </w:r>
      <w:r>
        <w:rPr>
          <w:rFonts w:ascii="Arial" w:cs="Arial" w:eastAsia="Arial" w:hAnsi="Arial"/>
          <w:sz w:val="18"/>
          <w:szCs w:val="18"/>
          <w:color w:val="auto"/>
        </w:rPr>
        <w:t>. (a) Without providing at least 30 days prior written notice to Vicis, Debtor will not change its name, its place of business or, if more than one, chief executive office, or its mailing address or organizational identification number if it has one, (b) if Debtor does not have an organizational identification number and later obtains one, Debtor shall forthwith notify Vicis of such organizational identification number, and (c) Debtor will not change its type of organization or jurisdiction of organization.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7" w:name="page118"/>
    <w:bookmarkEnd w:id="117"/>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RIGHTS AND REMEDIES</w:t>
      </w:r>
    </w:p>
    <w:p>
      <w:pPr>
        <w:spacing w:after="0" w:line="26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Right to Cure</w:t>
      </w:r>
      <w:r>
        <w:rPr>
          <w:rFonts w:ascii="Arial" w:cs="Arial" w:eastAsia="Arial" w:hAnsi="Arial"/>
          <w:sz w:val="18"/>
          <w:szCs w:val="18"/>
          <w:color w:val="auto"/>
        </w:rPr>
        <w:t>. In case of failure by Debtor to procure or maintain insurance, or to pay any fees, assessments, charges or taxes arising with respect to the Collateral, Vicis shall have the right, but shall not be obligated, to effect such insurance or pay such fees, assessments, charges or taxes, as the case may be, and, in that event, the cost thereof shall be payable by Debtor to Vicis immediately upon demand, together with interest at an annual rate equal to 10% from the date of disbursement by Vicis to the date of payment by Debtor.</w:t>
      </w:r>
    </w:p>
    <w:p>
      <w:pPr>
        <w:spacing w:after="0" w:line="24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Rights of Parties</w:t>
      </w:r>
      <w:r>
        <w:rPr>
          <w:rFonts w:ascii="Arial" w:cs="Arial" w:eastAsia="Arial" w:hAnsi="Arial"/>
          <w:sz w:val="17"/>
          <w:szCs w:val="17"/>
          <w:color w:val="auto"/>
        </w:rPr>
        <w:t>. Upon the occurrence and during the continuance of an Event of Default, in addition to all the rights and remedies provided in the Transaction Documents or in Article 9 of the UCC and any other applicable law, Vicis may (but is under no obligation so to do):</w:t>
      </w:r>
    </w:p>
    <w:p>
      <w:pPr>
        <w:spacing w:after="0" w:line="201" w:lineRule="exact"/>
        <w:rPr>
          <w:sz w:val="20"/>
          <w:szCs w:val="20"/>
          <w:color w:val="auto"/>
        </w:rPr>
      </w:pPr>
    </w:p>
    <w:p>
      <w:pPr>
        <w:ind w:left="1720" w:hanging="415"/>
        <w:spacing w:after="0"/>
        <w:tabs>
          <w:tab w:leader="none" w:pos="17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require Debtor to assemble the Collateral at a place designated by Vicis, which is reasonably convenient to the parties; and</w:t>
      </w:r>
    </w:p>
    <w:p>
      <w:pPr>
        <w:spacing w:after="0" w:line="290" w:lineRule="exact"/>
        <w:rPr>
          <w:rFonts w:ascii="Arial" w:cs="Arial" w:eastAsia="Arial" w:hAnsi="Arial"/>
          <w:sz w:val="17"/>
          <w:szCs w:val="17"/>
          <w:color w:val="auto"/>
        </w:rPr>
      </w:pPr>
    </w:p>
    <w:p>
      <w:pPr>
        <w:ind w:firstLine="1305"/>
        <w:spacing w:after="0" w:line="264" w:lineRule="auto"/>
        <w:tabs>
          <w:tab w:leader="none" w:pos="172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take physical possession of Inventory and other tangible Collateral and of Debtor’s records pertaining to all Collateral that are necessary to properly administer and control the Collateral or the handling and collection of Collateral, and sell, lease or otherwise dispose of the Collateral in whole or in part, at public or private sale, on or off the premises of Debtor; and</w:t>
      </w:r>
    </w:p>
    <w:p>
      <w:pPr>
        <w:spacing w:after="0" w:line="235" w:lineRule="exact"/>
        <w:rPr>
          <w:rFonts w:ascii="Arial" w:cs="Arial" w:eastAsia="Arial" w:hAnsi="Arial"/>
          <w:sz w:val="18"/>
          <w:szCs w:val="18"/>
          <w:color w:val="auto"/>
        </w:rPr>
      </w:pPr>
    </w:p>
    <w:p>
      <w:pPr>
        <w:ind w:left="1720" w:hanging="415"/>
        <w:spacing w:after="0"/>
        <w:tabs>
          <w:tab w:leader="none" w:pos="17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collect any and all money due or to become due and enforce in Debtor’s name all rights with respect to the Collateral; and</w:t>
      </w:r>
    </w:p>
    <w:p>
      <w:pPr>
        <w:spacing w:after="0" w:line="279" w:lineRule="exact"/>
        <w:rPr>
          <w:rFonts w:ascii="Arial" w:cs="Arial" w:eastAsia="Arial" w:hAnsi="Arial"/>
          <w:sz w:val="18"/>
          <w:szCs w:val="18"/>
          <w:color w:val="auto"/>
        </w:rPr>
      </w:pPr>
    </w:p>
    <w:p>
      <w:pPr>
        <w:ind w:left="1740" w:hanging="435"/>
        <w:spacing w:after="0"/>
        <w:tabs>
          <w:tab w:leader="none" w:pos="17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settle, adjust or compromise any dispute with respect to any Account; and</w:t>
      </w:r>
    </w:p>
    <w:p>
      <w:pPr>
        <w:spacing w:after="0" w:line="279" w:lineRule="exact"/>
        <w:rPr>
          <w:rFonts w:ascii="Arial" w:cs="Arial" w:eastAsia="Arial" w:hAnsi="Arial"/>
          <w:sz w:val="18"/>
          <w:szCs w:val="18"/>
          <w:color w:val="auto"/>
        </w:rPr>
      </w:pPr>
    </w:p>
    <w:p>
      <w:pPr>
        <w:ind w:left="1720" w:hanging="415"/>
        <w:spacing w:after="0"/>
        <w:tabs>
          <w:tab w:leader="none" w:pos="17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receive and open mail addressed to Debtor; and</w:t>
      </w:r>
    </w:p>
    <w:p>
      <w:pPr>
        <w:spacing w:after="0" w:line="279" w:lineRule="exact"/>
        <w:rPr>
          <w:rFonts w:ascii="Arial" w:cs="Arial" w:eastAsia="Arial" w:hAnsi="Arial"/>
          <w:sz w:val="18"/>
          <w:szCs w:val="18"/>
          <w:color w:val="auto"/>
        </w:rPr>
      </w:pPr>
    </w:p>
    <w:p>
      <w:pPr>
        <w:ind w:left="1700" w:hanging="395"/>
        <w:spacing w:after="0"/>
        <w:tabs>
          <w:tab w:leader="none" w:pos="17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on behalf of Debtor, endorse checks, notes, drafts, money orders, instruments or other evidences of payment.</w:t>
      </w:r>
    </w:p>
    <w:p>
      <w:pPr>
        <w:spacing w:after="0" w:line="27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Power of Attorney</w:t>
      </w:r>
      <w:r>
        <w:rPr>
          <w:rFonts w:ascii="Arial" w:cs="Arial" w:eastAsia="Arial" w:hAnsi="Arial"/>
          <w:sz w:val="18"/>
          <w:szCs w:val="18"/>
          <w:color w:val="auto"/>
        </w:rPr>
        <w:t>. Upon the occurrence and during the continuance of an Event of Default, Debtor does hereby constitute and appoint Vicis as Debtor’s true and lawful attorney with full power of substitution for Debtor in Debtor’s name, place and stead for the purposes of performing any obligation of Debtor under this Security Agreement and taking any action and executing any instrument which Vicis may deem necessary or advisable to perform any obligation of Debtor under this Security Agreement, which appointment is irrevocable and coupled with an interest, and shall not terminate until the Obligations are paid in full.</w:t>
      </w:r>
    </w:p>
    <w:p>
      <w:pPr>
        <w:spacing w:after="0" w:line="242"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Right to Collect Accounts</w:t>
      </w:r>
      <w:r>
        <w:rPr>
          <w:rFonts w:ascii="Arial" w:cs="Arial" w:eastAsia="Arial" w:hAnsi="Arial"/>
          <w:sz w:val="16"/>
          <w:szCs w:val="16"/>
          <w:color w:val="auto"/>
        </w:rPr>
        <w:t xml:space="preserve">. Upon the occurrence and during the continuance of an Event of Default and without limiting Debtor’s obligations under the Transaction Documents: (a) Debtor authorizes Vicis to notify any and all debtors on the Accounts to make payment directly to Vicis (or to such place as Vicis may direct); (b) Debtor agrees, on written notice from Vicis, to deliver to Vicis promptly upon receipt thereof, in the form in which received (together with all necessary endorsements), all payments received by Debtor on account of any Account; (c) Vicis may, at its option, apply all such payments against the Obligations or remit all or part of such payments to Debtor; and (d) Vicis may take any actions in accordance with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of this Agreement.</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18" w:name="page119"/>
    <w:bookmarkEnd w:id="118"/>
    <w:p>
      <w:pPr>
        <w:jc w:val="both"/>
        <w:ind w:right="80" w:firstLine="648"/>
        <w:spacing w:after="0" w:line="342"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Reasonable Notice</w:t>
      </w:r>
      <w:r>
        <w:rPr>
          <w:rFonts w:ascii="Arial" w:cs="Arial" w:eastAsia="Arial" w:hAnsi="Arial"/>
          <w:sz w:val="16"/>
          <w:szCs w:val="16"/>
          <w:color w:val="auto"/>
        </w:rPr>
        <w:t xml:space="preserve">. Written notice, when required by law, sent in accordance with the provisions of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of the Purchase Agreement and given at least ten (10) business days (counting the day of sending) before the date of a proposed disposition of the Collateral shall be reasonable notice.</w:t>
      </w:r>
    </w:p>
    <w:p>
      <w:pPr>
        <w:spacing w:after="0" w:line="17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Limitation on Duties Regarding Collateral</w:t>
      </w:r>
      <w:r>
        <w:rPr>
          <w:rFonts w:ascii="Arial" w:cs="Arial" w:eastAsia="Arial" w:hAnsi="Arial"/>
          <w:sz w:val="16"/>
          <w:szCs w:val="16"/>
          <w:color w:val="auto"/>
        </w:rPr>
        <w:t>. The sole duty of Vicis with respect to the custody, safekeeping and physical preservation of the Collateral in its possession, under Section 9-207 of the UCC or otherwise, shall be to deal with it in the same manner as Vicis deals with similar property for its own account. Neither Vicis nor any of its directors, officers, employees or agents, shall be liable for failure to demand, collect or realize upon any of the Collateral or for any delay in doing so or shall be under any obligation to sell or otherwise dispose of any Collateral upon the request of Debtor or otherwise.</w:t>
      </w:r>
    </w:p>
    <w:p>
      <w:pPr>
        <w:spacing w:after="0" w:line="20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Lock Box; Collateral Account</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shall be effective only upon the occurrence and during the continuance of an Event of Default. If Vicis so requests in writing, Debtor will direct each of its debtors on the Accounts to make payments due under the relevant Account or chattel paper directly to a special lock box to be under the control of Vicis. Debtor hereby authorizes and directs Vicis to deposit into a special collateral account to be established and maintained by Vicis all checks, drafts and cash payments received in said lock box. All deposit s in said collateral account shall constitute proceeds of Collateral and shall not constitute payment of any Obligation until so applied. At its option, Vicis may, at any time, apply finally collected funds on deposit in said collateral account to the payment of the Obligations, in the order of application selected in the sole discretion of Vicis, or permit Debtor to withdraw all or any part of the balance on deposit in said collateral account. If a collateral account is so established, Debtor agrees that it will promptly deliver to Vicis, for deposit into said collateral account, all payments on Accounts and chattel paper received by it. All such payments shall be delivered to Vicis in the form received (except for Debtor’s endorsement where necessary). Until so deposited, all payments on Accounts and chattel paper received by Debtor shall be held in trust by Debtor for and as the property of Vicis and shall not be commingled with any funds or property of De btor.</w:t>
      </w:r>
    </w:p>
    <w:p>
      <w:pPr>
        <w:spacing w:after="0" w:line="223" w:lineRule="exact"/>
        <w:rPr>
          <w:sz w:val="20"/>
          <w:szCs w:val="20"/>
          <w:color w:val="auto"/>
        </w:rPr>
      </w:pPr>
    </w:p>
    <w:p>
      <w:pPr>
        <w:jc w:val="center"/>
        <w:ind w:right="-79"/>
        <w:spacing w:after="0"/>
        <w:tabs>
          <w:tab w:leader="none" w:pos="2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u w:val="single" w:color="auto"/>
          <w:color w:val="auto"/>
        </w:rPr>
        <w:t>Application of Proceeds</w:t>
      </w:r>
      <w:r>
        <w:rPr>
          <w:rFonts w:ascii="Arial" w:cs="Arial" w:eastAsia="Arial" w:hAnsi="Arial"/>
          <w:sz w:val="16"/>
          <w:szCs w:val="16"/>
          <w:color w:val="auto"/>
        </w:rPr>
        <w:t>. Vicis shall apply the proceeds resulting from any sale or disposition of the Collateral in the following order:</w:t>
      </w:r>
    </w:p>
    <w:p>
      <w:pPr>
        <w:spacing w:after="0" w:line="279" w:lineRule="exact"/>
        <w:rPr>
          <w:sz w:val="20"/>
          <w:szCs w:val="20"/>
          <w:color w:val="auto"/>
        </w:rPr>
      </w:pPr>
    </w:p>
    <w:p>
      <w:pPr>
        <w:ind w:left="1720" w:hanging="415"/>
        <w:spacing w:after="0"/>
        <w:tabs>
          <w:tab w:leader="none" w:pos="17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the costs of any sale or other disposition;</w:t>
      </w:r>
    </w:p>
    <w:p>
      <w:pPr>
        <w:spacing w:after="0" w:line="279" w:lineRule="exact"/>
        <w:rPr>
          <w:rFonts w:ascii="Arial" w:cs="Arial" w:eastAsia="Arial" w:hAnsi="Arial"/>
          <w:sz w:val="18"/>
          <w:szCs w:val="18"/>
          <w:color w:val="auto"/>
        </w:rPr>
      </w:pPr>
    </w:p>
    <w:p>
      <w:pPr>
        <w:ind w:left="1740" w:hanging="435"/>
        <w:spacing w:after="0"/>
        <w:tabs>
          <w:tab w:leader="none" w:pos="17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the expenses incurred by Vicis in connection with any sale or other disposition, including attorneys’ fees;</w:t>
      </w:r>
    </w:p>
    <w:p>
      <w:pPr>
        <w:spacing w:after="0" w:line="279" w:lineRule="exact"/>
        <w:rPr>
          <w:rFonts w:ascii="Arial" w:cs="Arial" w:eastAsia="Arial" w:hAnsi="Arial"/>
          <w:sz w:val="18"/>
          <w:szCs w:val="18"/>
          <w:color w:val="auto"/>
        </w:rPr>
      </w:pPr>
    </w:p>
    <w:p>
      <w:pPr>
        <w:ind w:left="1720" w:hanging="415"/>
        <w:spacing w:after="0"/>
        <w:tabs>
          <w:tab w:leader="none" w:pos="17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the payment of the Obligations then due and owing in any order selected by Vicis; and</w:t>
      </w:r>
    </w:p>
    <w:p>
      <w:pPr>
        <w:spacing w:after="0" w:line="279" w:lineRule="exact"/>
        <w:rPr>
          <w:rFonts w:ascii="Arial" w:cs="Arial" w:eastAsia="Arial" w:hAnsi="Arial"/>
          <w:sz w:val="18"/>
          <w:szCs w:val="18"/>
          <w:color w:val="auto"/>
        </w:rPr>
      </w:pPr>
    </w:p>
    <w:p>
      <w:pPr>
        <w:ind w:left="1740" w:hanging="435"/>
        <w:spacing w:after="0"/>
        <w:tabs>
          <w:tab w:leader="none" w:pos="17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Debtor.</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44" w:right="339" w:bottom="1440" w:gutter="0" w:footer="0" w:header="0"/>
        </w:sectPr>
      </w:pPr>
    </w:p>
    <w:bookmarkStart w:id="119" w:name="page120"/>
    <w:bookmarkEnd w:id="119"/>
    <w:p>
      <w:pPr>
        <w:ind w:right="140" w:firstLine="648"/>
        <w:spacing w:after="0" w:line="25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Other Remedies</w:t>
      </w:r>
      <w:r>
        <w:rPr>
          <w:rFonts w:ascii="Arial" w:cs="Arial" w:eastAsia="Arial" w:hAnsi="Arial"/>
          <w:sz w:val="18"/>
          <w:szCs w:val="18"/>
          <w:color w:val="auto"/>
        </w:rPr>
        <w:t>. No remedy herein conferred upon Vicis is intended to be exclusive of any other remedy and each and every such remedy shall be cumulative and shall be in addition to every other remedy given under this Security Agreement and the Transaction Documents now or hereafter existing at law or in equity or by statute or otherwise. No failure or delay on the part of Vicis in exercising any right or remedy hereunder shall operate as a waiver thereof nor shall any single or partial exercise of any right hereunder preclude other or further exercise thereof or the exercise of any other right or remedy.</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w:t>
      </w:r>
    </w:p>
    <w:p>
      <w:pPr>
        <w:spacing w:after="0" w:line="26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Expenses and Attorneys’ Fees</w:t>
      </w:r>
      <w:r>
        <w:rPr>
          <w:rFonts w:ascii="Arial" w:cs="Arial" w:eastAsia="Arial" w:hAnsi="Arial"/>
          <w:sz w:val="18"/>
          <w:szCs w:val="18"/>
          <w:color w:val="auto"/>
        </w:rPr>
        <w:t>. Debtor shall pay all fees and expenses incurred by Vicis, including the fees of counsel including in-house counsel, in connection with the protection, administration and enforcement of the rights of Vicis under this Security Agreement or with respect to the Collateral, including without limitation the protection and enforcement of such rights in any bankruptcy.</w:t>
      </w:r>
    </w:p>
    <w:p>
      <w:pPr>
        <w:spacing w:after="0" w:line="23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Setoff</w:t>
      </w:r>
      <w:r>
        <w:rPr>
          <w:rFonts w:ascii="Arial" w:cs="Arial" w:eastAsia="Arial" w:hAnsi="Arial"/>
          <w:sz w:val="16"/>
          <w:szCs w:val="16"/>
          <w:color w:val="auto"/>
        </w:rPr>
        <w:t>. Debtor agrees that Vicis shall have all rights of setoff and bankers’ lien provided by applicable law.</w:t>
      </w:r>
    </w:p>
    <w:p>
      <w:pPr>
        <w:spacing w:after="0" w:line="27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Assignability; Successors</w:t>
      </w:r>
      <w:r>
        <w:rPr>
          <w:rFonts w:ascii="Arial" w:cs="Arial" w:eastAsia="Arial" w:hAnsi="Arial"/>
          <w:sz w:val="18"/>
          <w:szCs w:val="18"/>
          <w:color w:val="auto"/>
        </w:rPr>
        <w:t>. Debtor’s rights and liabilities under this Security Agreement are not assignable or delegable, in whole or in part, without the prior written consent of Vicis. The provisions of this Security Agreement shall inure to the benefit of and be binding upon the successors and assigns of the parties.</w:t>
      </w:r>
    </w:p>
    <w:p>
      <w:pPr>
        <w:spacing w:after="0" w:line="235"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Survival</w:t>
      </w:r>
      <w:r>
        <w:rPr>
          <w:rFonts w:ascii="Arial" w:cs="Arial" w:eastAsia="Arial" w:hAnsi="Arial"/>
          <w:sz w:val="17"/>
          <w:szCs w:val="17"/>
          <w:color w:val="auto"/>
        </w:rPr>
        <w:t>. All agreements, representations and warranties made in this Security Agreement or in any document delivered pursuant to this Security Agreement shall survive the execution and delivery of this Security Agreement, and the delivery of any such document.</w:t>
      </w:r>
    </w:p>
    <w:p>
      <w:pPr>
        <w:spacing w:after="0" w:line="20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Security Agreement shall be governed by, and construed and interpreted in accordance with, the laws of the State of Florida applicable to contracts made and wholly performed within such state.</w:t>
      </w:r>
    </w:p>
    <w:p>
      <w:pPr>
        <w:spacing w:after="0" w:line="224"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Counterparts; Headings</w:t>
      </w:r>
      <w:r>
        <w:rPr>
          <w:rFonts w:ascii="Arial" w:cs="Arial" w:eastAsia="Arial" w:hAnsi="Arial"/>
          <w:sz w:val="18"/>
          <w:szCs w:val="18"/>
          <w:color w:val="auto"/>
        </w:rPr>
        <w:t>. This Security Agreement may be executed in several counterparts, each of which shall be deemed an original, but such counterparts shall together constitute but one and the same agreement. The article and section headings in this Security Agreement are inserted for convenience of reference only and shall not constitute a part hereof.</w:t>
      </w:r>
    </w:p>
    <w:p>
      <w:pPr>
        <w:spacing w:after="0" w:line="23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or notices required or permitted by this Security Agreement shall be given to Debtor in accordance with</w:t>
      </w:r>
      <w:r>
        <w:rPr>
          <w:rFonts w:ascii="Arial" w:cs="Arial" w:eastAsia="Arial" w:hAnsi="Arial"/>
          <w:sz w:val="16"/>
          <w:szCs w:val="16"/>
          <w:u w:val="single" w:color="auto"/>
          <w:color w:val="auto"/>
        </w:rPr>
        <w:t xml:space="preserve"> Section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12.6</w:t>
      </w:r>
      <w:r>
        <w:rPr>
          <w:rFonts w:ascii="Arial" w:cs="Arial" w:eastAsia="Arial" w:hAnsi="Arial"/>
          <w:sz w:val="18"/>
          <w:szCs w:val="18"/>
          <w:color w:val="auto"/>
        </w:rPr>
        <w:t xml:space="preserve"> of the Purchase Agreement.</w:t>
      </w:r>
    </w:p>
    <w:p>
      <w:pPr>
        <w:spacing w:after="0" w:line="26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u w:val="single" w:color="auto"/>
          <w:color w:val="auto"/>
        </w:rPr>
        <w:t>Amendment; No Waiver; Cumulative Remedies</w:t>
      </w:r>
      <w:r>
        <w:rPr>
          <w:rFonts w:ascii="Arial" w:cs="Arial" w:eastAsia="Arial" w:hAnsi="Arial"/>
          <w:sz w:val="16"/>
          <w:szCs w:val="16"/>
          <w:color w:val="auto"/>
        </w:rPr>
        <w:t>. No amendment of this Security Agreement shall be effective unless in writing and signed by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Debtor and Vicis. Vicis shall not by any act (except by a written instrument signed by Vicis), delay, indulgence, omission or otherwise be deemed to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waived any right or remedy hereunder or to have acquiesced in any Event of Default or in any breach of any of the terms and conditions hereof. No failure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exercise, nor any delay in exercising, on the part of Vicis, any right, power or privilege hereunder shall operate as a waiver thereof. No single or partial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exercise of any right, power or privilege hereunder shall preclude any other or further exercise thereof or the exercise of any other right, power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privilege. A waiver by Vicis of any right or remedy hereunder on any one occasion shall not be construed as a bar to any right or remedy which Vicis would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otherwise have on any future occasion. The rights and remedies herein provided are cumulative, may be exercised singly or concurrently and are not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exclusive of any other rights or remedies provided by law.</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sectPr>
      </w:pPr>
    </w:p>
    <w:bookmarkStart w:id="120" w:name="page121"/>
    <w:bookmarkEnd w:id="120"/>
    <w:p>
      <w:pPr>
        <w:ind w:right="140" w:firstLine="648"/>
        <w:spacing w:after="0" w:line="264"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Security Agreement which is prohibited or unenforceable in any jurisdiction shall, as to such jurisdiction, be ineffective to the extent of such prohibition or unenforceability without invalidating the remaining provisions of this Security Agreement in such jurisdiction or affecting the validity or enforceability of any provision in any other jurisdiction.</w:t>
      </w:r>
    </w:p>
    <w:p>
      <w:pPr>
        <w:spacing w:after="0" w:line="23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WAIVER OF RIGHT TO JURY TRIAL</w:t>
      </w:r>
      <w:r>
        <w:rPr>
          <w:rFonts w:ascii="Arial" w:cs="Arial" w:eastAsia="Arial" w:hAnsi="Arial"/>
          <w:sz w:val="18"/>
          <w:szCs w:val="18"/>
          <w:color w:val="auto"/>
        </w:rPr>
        <w:t>. VICIS AND DEBTOR ACKNOWLEDGE AND AGREE THAT ANY CONTROVERSY WHICH MAY ARISE UNDER THIS SECURITY AGREEMENT WOULD BE BASED UPON DIFFICULT AND COMPLEX ISSUES AND, THEREFORE, THE PARTIES AGREE THAT ANY LAWSUIT ARISING OUT OF ANY SUCH CONTROVERSY SHALL BE TRIED IN A COURT OF COMPETENT JURISDICTION BY A JUDGE SITTING WITHOUT A JURY.</w:t>
      </w:r>
    </w:p>
    <w:p>
      <w:pPr>
        <w:spacing w:after="0" w:line="24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As a material inducement to Vicis to make the Investment:</w:t>
      </w:r>
    </w:p>
    <w:p>
      <w:pPr>
        <w:spacing w:after="0" w:line="279" w:lineRule="exact"/>
        <w:rPr>
          <w:sz w:val="20"/>
          <w:szCs w:val="20"/>
          <w:color w:val="auto"/>
        </w:rPr>
      </w:pPr>
    </w:p>
    <w:p>
      <w:pPr>
        <w:ind w:firstLine="1305"/>
        <w:spacing w:after="0" w:line="257" w:lineRule="auto"/>
        <w:tabs>
          <w:tab w:leader="none" w:pos="171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DEBTOR AGREES THAT ALL ACTIONS OR PROCEEDINGS IN ANY MANNER RELATING TO OR ARISING OUT OF THIS SECURITY AGREEMENT MAY BE BROUGHT ONLY IN COURTS OF THE STATE OF FLORIDA OR THE FEDERAL COURTS LOCATED IN FLORIDA AND DEBTOR CONSENTS TO THE JURISDICTION OF SUCH COURTS. DEBTOR WAIVES ANY OBJECTION IT MAY NOW OR HEREAFTER HAVE TO THE VENUE OF ANY SUCH COURT AND ANY RIGHT IT MAY HAVE NOW OR HEREAFTER HAVE TO CLAIM THAT ANY SUCH ACTION OR PROCEEDING IS IN AN INCONVENIENT COURT; AND</w:t>
      </w:r>
    </w:p>
    <w:p>
      <w:pPr>
        <w:spacing w:after="0" w:line="242" w:lineRule="exact"/>
        <w:rPr>
          <w:rFonts w:ascii="Arial" w:cs="Arial" w:eastAsia="Arial" w:hAnsi="Arial"/>
          <w:sz w:val="18"/>
          <w:szCs w:val="18"/>
          <w:color w:val="auto"/>
        </w:rPr>
      </w:pPr>
    </w:p>
    <w:p>
      <w:pPr>
        <w:ind w:right="120" w:firstLine="1305"/>
        <w:spacing w:after="0" w:line="277" w:lineRule="auto"/>
        <w:tabs>
          <w:tab w:leader="none" w:pos="172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Debtor consents to the service of process in any such action or proceeding by certified mail sent to Debtor at the address specified in </w:t>
      </w:r>
      <w:r>
        <w:rPr>
          <w:rFonts w:ascii="Arial" w:cs="Arial" w:eastAsia="Arial" w:hAnsi="Arial"/>
          <w:sz w:val="18"/>
          <w:szCs w:val="18"/>
          <w:u w:val="single" w:color="auto"/>
          <w:color w:val="auto"/>
        </w:rPr>
        <w:t>Section 12.6</w:t>
      </w:r>
      <w:r>
        <w:rPr>
          <w:rFonts w:ascii="Arial" w:cs="Arial" w:eastAsia="Arial" w:hAnsi="Arial"/>
          <w:sz w:val="18"/>
          <w:szCs w:val="18"/>
          <w:color w:val="auto"/>
        </w:rPr>
        <w:t xml:space="preserve"> of the Purchase Agreement.</w:t>
      </w:r>
    </w:p>
    <w:p>
      <w:pPr>
        <w:spacing w:after="0" w:line="22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Effect of Amendment and Restatement</w:t>
      </w:r>
      <w:r>
        <w:rPr>
          <w:rFonts w:ascii="Arial" w:cs="Arial" w:eastAsia="Arial" w:hAnsi="Arial"/>
          <w:sz w:val="18"/>
          <w:szCs w:val="18"/>
          <w:color w:val="auto"/>
        </w:rPr>
        <w:t>. This Security Agreement amends and restates the September Security Agreement and shall not be construed to be a substitution or novation of the September Security Agreement.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TO FOLLOW]</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121" w:name="page122"/>
    <w:bookmarkEnd w:id="121"/>
    <w:p>
      <w:pPr>
        <w:ind w:left="660"/>
        <w:spacing w:after="0"/>
        <w:rPr>
          <w:sz w:val="20"/>
          <w:szCs w:val="20"/>
          <w:color w:val="auto"/>
        </w:rPr>
      </w:pPr>
      <w:r>
        <w:rPr>
          <w:rFonts w:ascii="Arial" w:cs="Arial" w:eastAsia="Arial" w:hAnsi="Arial"/>
          <w:sz w:val="16"/>
          <w:szCs w:val="16"/>
          <w:color w:val="auto"/>
        </w:rPr>
        <w:t>IN WITNESS WHEREOF, this Amended and Restated Security Agreement has been executed as of the day and year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H.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H. 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PURCHASER: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VICIS CAPITAL MASTER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Vicis Capital LLC</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7"/>
                <w:szCs w:val="17"/>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/s/ Keith W. Hughes</w:t>
            </w: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1760" w:type="dxa"/>
            <w:vAlign w:val="bottom"/>
            <w:gridSpan w:val="3"/>
          </w:tcPr>
          <w:p>
            <w:pPr>
              <w:ind w:left="80"/>
              <w:spacing w:after="0"/>
              <w:rPr>
                <w:sz w:val="20"/>
                <w:szCs w:val="20"/>
                <w:color w:val="auto"/>
              </w:rPr>
            </w:pPr>
            <w:r>
              <w:rPr>
                <w:rFonts w:ascii="Arial" w:cs="Arial" w:eastAsia="Arial" w:hAnsi="Arial"/>
                <w:sz w:val="18"/>
                <w:szCs w:val="18"/>
                <w:color w:val="auto"/>
              </w:rPr>
              <w:t>Keith W. Hughes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1760" w:type="dxa"/>
            <w:vAlign w:val="bottom"/>
            <w:gridSpan w:val="3"/>
          </w:tcPr>
          <w:p>
            <w:pPr>
              <w:ind w:left="80"/>
              <w:spacing w:after="0"/>
              <w:rPr>
                <w:sz w:val="20"/>
                <w:szCs w:val="20"/>
                <w:color w:val="auto"/>
              </w:rPr>
            </w:pPr>
            <w:r>
              <w:rPr>
                <w:rFonts w:ascii="Arial" w:cs="Arial" w:eastAsia="Arial" w:hAnsi="Arial"/>
                <w:sz w:val="18"/>
                <w:szCs w:val="18"/>
                <w:color w:val="auto"/>
                <w:w w:val="93"/>
              </w:rPr>
              <w:t>Chief Financial Officer</w:t>
            </w:r>
          </w:p>
        </w:tc>
      </w:tr>
    </w:tbl>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90" w:right="1159" w:bottom="1440" w:gutter="0" w:footer="0" w:header="0"/>
        </w:sectPr>
      </w:pPr>
    </w:p>
    <w:bookmarkStart w:id="122" w:name="page123"/>
    <w:bookmarkEnd w:id="122"/>
    <w:p>
      <w:pPr>
        <w:jc w:val="center"/>
        <w:ind w:right="-1220"/>
        <w:spacing w:after="0"/>
        <w:rPr>
          <w:sz w:val="20"/>
          <w:szCs w:val="20"/>
          <w:color w:val="auto"/>
        </w:rPr>
      </w:pPr>
      <w:r>
        <w:rPr>
          <w:rFonts w:ascii="Arial" w:cs="Arial" w:eastAsia="Arial" w:hAnsi="Arial"/>
          <w:sz w:val="17"/>
          <w:szCs w:val="17"/>
          <w:u w:val="single" w:color="auto"/>
          <w:color w:val="auto"/>
        </w:rPr>
        <w:t>SCHEDULE 1 TO SECURITY AGREEMENT</w:t>
      </w:r>
    </w:p>
    <w:p>
      <w:pPr>
        <w:spacing w:after="0" w:line="26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Locations of Collateral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Organizational ID: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Address of Debtor’s records of Collateral and chief executive office: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407 Sixth Street, Rochester, MI 48307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Collateral Locations: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407 Sixth Street, Rochester, MI 48307</w:t>
      </w:r>
    </w:p>
    <w:p>
      <w:pPr>
        <w:spacing w:after="0" w:line="200" w:lineRule="exact"/>
        <w:rPr>
          <w:sz w:val="20"/>
          <w:szCs w:val="20"/>
          <w:color w:val="auto"/>
        </w:rPr>
      </w:pPr>
    </w:p>
    <w:p>
      <w:pPr>
        <w:spacing w:after="0" w:line="20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123" w:name="page124"/>
    <w:bookmarkEnd w:id="123"/>
    <w:p>
      <w:pPr>
        <w:jc w:val="center"/>
        <w:ind w:right="-1220"/>
        <w:spacing w:after="0"/>
        <w:rPr>
          <w:sz w:val="20"/>
          <w:szCs w:val="20"/>
          <w:color w:val="auto"/>
        </w:rPr>
      </w:pPr>
      <w:r>
        <w:rPr>
          <w:rFonts w:ascii="Arial" w:cs="Arial" w:eastAsia="Arial" w:hAnsi="Arial"/>
          <w:sz w:val="17"/>
          <w:szCs w:val="17"/>
          <w:u w:val="single" w:color="auto"/>
          <w:color w:val="auto"/>
        </w:rPr>
        <w:t>SCHEDULE 2 TO SECURITY AGREEMENT</w:t>
      </w:r>
    </w:p>
    <w:p>
      <w:pPr>
        <w:spacing w:after="0" w:line="26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Intellectual Property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Copyrights</w:t>
      </w:r>
    </w:p>
    <w:p>
      <w:pPr>
        <w:spacing w:after="0" w:line="200" w:lineRule="exact"/>
        <w:rPr>
          <w:sz w:val="20"/>
          <w:szCs w:val="20"/>
          <w:color w:val="auto"/>
        </w:rPr>
      </w:pP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124" w:name="page125"/>
    <w:bookmarkEnd w:id="12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color w:val="auto"/>
        </w:rPr>
        <w:t>GUARANTY AGREEMENT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GUARANTY AGREEMENT (this “</w:t>
      </w:r>
      <w:r>
        <w:rPr>
          <w:rFonts w:ascii="Arial" w:cs="Arial" w:eastAsia="Arial" w:hAnsi="Arial"/>
          <w:sz w:val="18"/>
          <w:szCs w:val="18"/>
          <w:u w:val="single" w:color="auto"/>
          <w:color w:val="auto"/>
        </w:rPr>
        <w:t>Guaranty</w:t>
      </w:r>
      <w:r>
        <w:rPr>
          <w:rFonts w:ascii="Arial" w:cs="Arial" w:eastAsia="Arial" w:hAnsi="Arial"/>
          <w:sz w:val="18"/>
          <w:szCs w:val="18"/>
          <w:color w:val="auto"/>
        </w:rPr>
        <w:t>”) is made as of June 4, 2010 by and between OptimizeRx Corporation, a Michigan corporation (“</w:t>
      </w:r>
      <w:r>
        <w:rPr>
          <w:rFonts w:ascii="Arial" w:cs="Arial" w:eastAsia="Arial" w:hAnsi="Arial"/>
          <w:sz w:val="18"/>
          <w:szCs w:val="18"/>
          <w:u w:val="single" w:color="auto"/>
          <w:color w:val="auto"/>
        </w:rPr>
        <w:t>Debtor</w:t>
      </w:r>
      <w:r>
        <w:rPr>
          <w:rFonts w:ascii="Arial" w:cs="Arial" w:eastAsia="Arial" w:hAnsi="Arial"/>
          <w:sz w:val="18"/>
          <w:szCs w:val="18"/>
          <w:color w:val="auto"/>
        </w:rPr>
        <w:t>”), and Vicis Capital Master Fund (“</w:t>
      </w:r>
      <w:r>
        <w:rPr>
          <w:rFonts w:ascii="Arial" w:cs="Arial" w:eastAsia="Arial" w:hAnsi="Arial"/>
          <w:sz w:val="18"/>
          <w:szCs w:val="18"/>
          <w:u w:val="single" w:color="auto"/>
          <w:color w:val="auto"/>
        </w:rPr>
        <w:t>Vicis</w:t>
      </w:r>
      <w:r>
        <w:rPr>
          <w:rFonts w:ascii="Arial" w:cs="Arial" w:eastAsia="Arial" w:hAnsi="Arial"/>
          <w:sz w:val="18"/>
          <w:szCs w:val="18"/>
          <w:color w:val="auto"/>
        </w:rPr>
        <w:t>”), a sub-trust of Vicis Capital Series Master Trust, a unit trust organized and existing under the laws of the Cayman Islands.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 E C I T A L 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Debtor is a wholly owned subsidiary of OptimizeRx Corporation, a Nevada corporation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pursuant to a Securities Purchase Agreement of even date herewith by and between Vicis and Issuer (as amended or modified from time to time,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Issuer has issued and may issue additional shares of the Issuer’s Series B Convertible Preferred Stock, par value $.001 per share (the “</w:t>
      </w:r>
      <w:r>
        <w:rPr>
          <w:rFonts w:ascii="Arial" w:cs="Arial" w:eastAsia="Arial" w:hAnsi="Arial"/>
          <w:sz w:val="18"/>
          <w:szCs w:val="18"/>
          <w:u w:val="single" w:color="auto"/>
          <w:color w:val="auto"/>
        </w:rPr>
        <w:t>Preferred Shares</w:t>
      </w:r>
      <w:r>
        <w:rPr>
          <w:rFonts w:ascii="Arial" w:cs="Arial" w:eastAsia="Arial" w:hAnsi="Arial"/>
          <w:sz w:val="18"/>
          <w:szCs w:val="18"/>
          <w:color w:val="auto"/>
        </w:rPr>
        <w:t>”), to Vicis.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it is a condition precedent to Vicis entering into the Purchase Agreement and acquiring the Preferred Shares that Guarantor execute and deliver to Vicis a guaranty in the form hereof.</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this is the Guaranty Agreement referred to in the Purchase Agreement.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recitals and for other good and valuable consideration, the receipt and sufficiency of which are hereby acknowledged, Guarantor hereby agrees with Vicis as follows: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When used in this Guaranty, capitalized terms shall have the meanings specified in the Purchase Agreement, the preamble, the recitals and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6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Event of Default</w:t>
      </w:r>
      <w:r>
        <w:rPr>
          <w:rFonts w:ascii="Arial" w:cs="Arial" w:eastAsia="Arial" w:hAnsi="Arial"/>
          <w:sz w:val="16"/>
          <w:szCs w:val="16"/>
          <w:color w:val="auto"/>
        </w:rPr>
        <w:t>. “Event of Default” shall have the meaning specified in the Purchase Agreement.</w:t>
      </w:r>
    </w:p>
    <w:p>
      <w:pPr>
        <w:spacing w:after="0" w:line="279" w:lineRule="exact"/>
        <w:rPr>
          <w:sz w:val="20"/>
          <w:szCs w:val="20"/>
          <w:color w:val="auto"/>
        </w:rPr>
      </w:pPr>
    </w:p>
    <w:p>
      <w:pPr>
        <w:jc w:val="center"/>
        <w:ind w:right="20"/>
        <w:spacing w:after="0"/>
        <w:tabs>
          <w:tab w:leader="none" w:pos="2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Guaranty</w:t>
      </w:r>
      <w:r>
        <w:rPr>
          <w:rFonts w:ascii="Arial" w:cs="Arial" w:eastAsia="Arial" w:hAnsi="Arial"/>
          <w:sz w:val="16"/>
          <w:szCs w:val="16"/>
          <w:color w:val="auto"/>
        </w:rPr>
        <w:t>. “Guaranty” shall mean this Guaranty, as the same shall be amended from time to time in accordance with the terms hereof.</w:t>
      </w:r>
    </w:p>
    <w:p>
      <w:pPr>
        <w:spacing w:after="0" w:line="27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Law</w:t>
      </w:r>
      <w:r>
        <w:rPr>
          <w:rFonts w:ascii="Arial" w:cs="Arial" w:eastAsia="Arial" w:hAnsi="Arial"/>
          <w:sz w:val="18"/>
          <w:szCs w:val="18"/>
          <w:color w:val="auto"/>
        </w:rPr>
        <w:t>. “Law” shall mean any federal, state, local or other law, rule, regulation or governmental requirement of any kind, and the rules, regulations, interpretations and orders promulgated thereunder.</w:t>
      </w:r>
    </w:p>
    <w:p>
      <w:pPr>
        <w:spacing w:after="0" w:line="224"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Obligations</w:t>
      </w:r>
      <w:r>
        <w:rPr>
          <w:rFonts w:ascii="Arial" w:cs="Arial" w:eastAsia="Arial" w:hAnsi="Arial"/>
          <w:sz w:val="18"/>
          <w:szCs w:val="18"/>
          <w:color w:val="auto"/>
        </w:rPr>
        <w:t>. “Obligations” shall mean (a) the redemption of, and payment of dividends on, the Preferred Shares, and any renewal, extension or refinancing thereof; (b) all debts, liabilities, obligations, covenants and agreements of the Issuer and Debtor contained in the Transaction Documents; and (c) any and all other debts, liabilities and obligations of the Debtor and Issuer to Vicis.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439420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6" w:name="page127"/>
    <w:bookmarkEnd w:id="126"/>
    <w:p>
      <w:pPr>
        <w:ind w:right="80" w:firstLine="648"/>
        <w:spacing w:after="0" w:line="277"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Person</w:t>
      </w:r>
      <w:r>
        <w:rPr>
          <w:rFonts w:ascii="Arial" w:cs="Arial" w:eastAsia="Arial" w:hAnsi="Arial"/>
          <w:sz w:val="18"/>
          <w:szCs w:val="18"/>
          <w:color w:val="auto"/>
        </w:rPr>
        <w:t>. “Person” shall mean and include an individual, partnership, corporation, trust, unincorporated association and any unit, department or agency of government.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GUARANTY</w:t>
      </w:r>
    </w:p>
    <w:p>
      <w:pPr>
        <w:spacing w:after="0" w:line="26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The Guaranty</w:t>
      </w:r>
      <w:r>
        <w:rPr>
          <w:rFonts w:ascii="Arial" w:cs="Arial" w:eastAsia="Arial" w:hAnsi="Arial"/>
          <w:sz w:val="18"/>
          <w:szCs w:val="18"/>
          <w:color w:val="auto"/>
        </w:rPr>
        <w:t>. Guarantor, for itself, its successors and assigns, hereby unconditionally and absolutely guarantees to Vicis the full and complete payment and performance when due (whether at stated maturity, by acceleration or otherwise) of each of the Obligations. This is a guaranty of payment and performance and not of collection.</w:t>
      </w:r>
    </w:p>
    <w:p>
      <w:pPr>
        <w:spacing w:after="0" w:line="23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u w:val="single" w:color="auto"/>
          <w:color w:val="auto"/>
        </w:rPr>
        <w:t>Waivers and Consents</w:t>
      </w:r>
      <w:r>
        <w:rPr>
          <w:rFonts w:ascii="Arial" w:cs="Arial" w:eastAsia="Arial" w:hAnsi="Arial"/>
          <w:sz w:val="15"/>
          <w:szCs w:val="15"/>
          <w:color w:val="auto"/>
        </w:rPr>
        <w:t>.</w:t>
      </w:r>
    </w:p>
    <w:p>
      <w:pPr>
        <w:spacing w:after="0" w:line="279" w:lineRule="exact"/>
        <w:rPr>
          <w:sz w:val="20"/>
          <w:szCs w:val="20"/>
          <w:color w:val="auto"/>
        </w:rPr>
      </w:pPr>
    </w:p>
    <w:p>
      <w:pPr>
        <w:ind w:right="40" w:firstLine="1305"/>
        <w:spacing w:after="0" w:line="286" w:lineRule="auto"/>
        <w:tabs>
          <w:tab w:leader="none" w:pos="171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Guarantor acknowledges that the obligations undertaken herein involve the guaranty of obligations of a Person other than Guarantor and, in full recognition of that fact, Guarantor consents and agrees that Vicis may, at any time and from time to time, without notice or demand, and without affecting the enforceability or continuing effectiveness hereof: (i) supplement, modify, amend, extend, renew, accelerate or otherwise change the time for payment or the other terms of the Obligations or any part thereof, including without limitation any increase or decrease of the principal amount thereof or the rate(s) of interest thereon; (ii) supplement, modify, amend or waive, or enter into or give any agreement, approval or conse nt with respect to, the Obligations or any part thereof, or any of the Transaction Documents or any additional security or guaranties, or any condition, covenant, default, remedy, right, representation or term thereof or thereunder; (iii) accept new or additional instruments, documents or agreements in exchange for or relative to any of the Transaction Documents or the Obligations or any part thereof; (iv) accept partial payments on the Obligations; (v) receive and hold additional security or guaranties for the Obligations or any part thereof; (vi) release, reconvey, terminate, waive, abandon, fail to perfect, subordinate, exchange, substitute, transfer and/or enforce any security or guaranties, and apply any security and direct the order or manner of sale thereof as Vicis in its sole and absolute discretion may determine; (vii) release any Person from any personal liability with respect to the Obligations or any part thereof; (viii) settle, release on terms satisfactory to Vicis or by operation of applicabl e Law or otherwise, liquidate or enforce any Obligations and any security or guaranty in any manner, consent to the transfer of any security and bid and purchase at any sale; and/or (ix) consent to the merger, change or any other restructuring or termination of the corporate existence of Issuer or any other Person, and correspondingly restructure the Obligations, and any such merger, change, restructuring or termination shall not affect the liability of Guarantor or the continuing effectiveness hereof, or the enforceability hereof with respect to all or any part of the Obligations.</w:t>
      </w:r>
    </w:p>
    <w:p>
      <w:pPr>
        <w:spacing w:after="0" w:line="222" w:lineRule="exact"/>
        <w:rPr>
          <w:rFonts w:ascii="Arial" w:cs="Arial" w:eastAsia="Arial" w:hAnsi="Arial"/>
          <w:sz w:val="16"/>
          <w:szCs w:val="16"/>
          <w:color w:val="auto"/>
        </w:rPr>
      </w:pPr>
    </w:p>
    <w:p>
      <w:pPr>
        <w:ind w:right="20" w:firstLine="1305"/>
        <w:spacing w:after="0" w:line="289" w:lineRule="auto"/>
        <w:tabs>
          <w:tab w:leader="none" w:pos="172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any Event of Default, Vicis may enforce this Guaranty independently of any other remedy, guaranty or security Vicis at any time may have or hold in connection with the Obligations, and it shall not be necessary for Vicis to marshal assets in favor of Issuer, any other guarantor of the Obligations or any other Person or to proceed upon or against and/or exhaust any security or remedy before proceeding to enforce this Guaranty. Guarantor expressly waives any right to require Vicis to marshal assets in favor of Issuer or any other Person or to proceed against Issuer or any other guarantor of the Obligations or any collateral provided by any Person, and agrees that Vicis ma y proceed against any obligor and/or the collateral in such order as it shall determine in its sole and absolute discretion. Vicis may file a separate action or actions against Guarantor, whether action is brought or prosecuted with respect to any security or against any other Person, or whether any other Person is joined in any such action or actions. Guarantor agrees that Vicis and Issuer may deal with each other in connection with the Obligations or otherwise, or alter any contracts or agreements now or hereafter existing between them, in any manner whatsoever, all without in any way altering or affecting the security of this Guaranty.</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7" w:name="page128"/>
    <w:bookmarkEnd w:id="127"/>
    <w:p>
      <w:pPr>
        <w:ind w:left="-20" w:right="60" w:firstLine="1305"/>
        <w:spacing w:after="0" w:line="293" w:lineRule="auto"/>
        <w:tabs>
          <w:tab w:leader="none" w:pos="1692"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rights of Vicis hereunder shall be reinstated and revived, and the enforceability of this Guaranty shall continue, with respect to any amount at any time paid on account of the Obligations which thereafter shall be required to be restored or returned by Vicis upon the bankruptcy, insolvency or reorganization of any Person, all as though such amount had not been paid. The rights of Vicis created or granted herein and the enforceability of this Guaranty shall remain effective at all times to guarantee the full amount of all the Obligations even though the Obligations, including any part thereof or any other security or guaranty therefor, may be or hereafter may become invalid or otherwise unenforceable as against Iss uer or any other guarantor of the Obligations and whether or not Issuer or any other guarantor of the Obligations shall have any personal liability with respect thereto.</w:t>
      </w:r>
    </w:p>
    <w:p>
      <w:pPr>
        <w:spacing w:after="0" w:line="218" w:lineRule="exact"/>
        <w:rPr>
          <w:rFonts w:ascii="Arial" w:cs="Arial" w:eastAsia="Arial" w:hAnsi="Arial"/>
          <w:sz w:val="16"/>
          <w:szCs w:val="16"/>
          <w:color w:val="auto"/>
        </w:rPr>
      </w:pPr>
    </w:p>
    <w:p>
      <w:pPr>
        <w:ind w:left="-20" w:firstLine="1305"/>
        <w:spacing w:after="0" w:line="267" w:lineRule="auto"/>
        <w:tabs>
          <w:tab w:leader="none" w:pos="1702"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To the extent permitted by applicable law, Guarantor expressly waives any and all defenses now or hereafter arising or asserted by reason of: (i) any disability or other defense of Issuer or any other guarantor for the Obligations with respect to the Obligations (other than full payment and performance of all of the Obligations); (ii) the unenforceability or invalidity of any security for or guaranty of the Obligations or the lack of perfection or continuing perfection or failure of priority of any security for the Obligations; (iii) the cessation for any cause whatsoever of the liability of Issuer or any other guarantor of the Obligations (other than by reason of the full payment and performance of all Obligation s); (iv) any failure of Vicis to marshal assets in favor of Issuer or any other Person; (v) any failure of Vicis to give notice of sale or other disposition of collateral to Issuer or any other Person or any defect in any notice that may be given in connection with any sale or disposition of collateral; (vi) any failure of Vicis to comply with applicable Laws in connection with the sale or other disposition of any collateral or other security for any Obligation, including, without limitation, any failure of Vicis to conduct a commercially reasonable sale or other disposition of any collateral or other security for any Obligation; (vii) any act or omission of Vicis or others that directly or indirectly results in or aids the discharge or release of Issuer or any other guarantor of the Obligations, or of any security or guaranty therefor by operation of Law or otherwise; (viii) any Law which provides that the obligation of a surety or guarantor must neither be larger in amount nor in other respects more burden some than that of the principal or which reduces a surety’s or guarantor’s obligation in proportion to the principal obligation; (ix) any failure of Vicis to file or enforce a claim in any bankruptcy or other proceeding with respect to any Person; (x) the election by Vicis, in any bankruptcy proceeding of any Person, of the application or non-application of Section 1111(b)(2) of the United States Bankruptcy Code; (xi) any extension of credit or the grant of any lien under Section 364 of the United States Bankruptcy Code; (xii) any use of collateral under Section 363 of the United States Bankruptcy Code; (xiii) any agreement or stipulation with respect to the provision of adequate protection in any bankruptcy proceeding of any Person; (xiv) the avoidance of any lien or security interest in favor of Vicis for any reason; (xv) any bankruptcy, insolvency, reorganization, arrangement, readjustment of debt, liquidation or dissolution proceeding commenced by or against any Person, including without limi tation any discharge of, or bar or stay against collecting, all or any of the Obligations (or any interest thereon) in or as a result of any such proceeding; or (xvi) any action taken by Vicis that is authorized by this Section or any other provision of any Transaction Document. Until all of the Obligations have been paid in full, Guarantor expressly waives all presentments, demands for payment or performance, notices of nonpayment or nonperformance, protests, notices of protest, notices of dishonor and all other notices or demands of any kind or nature whatsoever with respect to the Obligations, and all notices of acceptance of this Guaranty or of the existence, creation or incurrence of new or additional Obligations.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44" w:right="239" w:bottom="1440" w:gutter="0" w:footer="0" w:header="0"/>
        </w:sectPr>
      </w:pPr>
    </w:p>
    <w:bookmarkStart w:id="128" w:name="page129"/>
    <w:bookmarkEnd w:id="128"/>
    <w:p>
      <w:pPr>
        <w:ind w:left="-20" w:firstLine="1305"/>
        <w:spacing w:after="0" w:line="255" w:lineRule="auto"/>
        <w:tabs>
          <w:tab w:leader="none" w:pos="1692"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Condition of Issuer</w:t>
      </w:r>
      <w:r>
        <w:rPr>
          <w:rFonts w:ascii="Arial" w:cs="Arial" w:eastAsia="Arial" w:hAnsi="Arial"/>
          <w:sz w:val="18"/>
          <w:szCs w:val="18"/>
          <w:color w:val="auto"/>
        </w:rPr>
        <w:t>. Guarantor represents and warrants to Vicis that it has established adequate means of obtaining from Issuer, on a continuing basis, financial and other information pertaining to the business, operations and condition (financial and otherwise) of Issuer and its assets and properties. Guarantor hereby expressly waives and relinquishes any duty on the part of Vicis (should any such duty exist) to disclose to Guarantor any matter, fact or thing related to the business, operations or condition (financial or otherwise) of Issuer or its assets or properties, whether now known or hereafter known by Vicis during the life of this Guar anty. With respect to any of the Obligations, Vicis need not inquire into the powers of Issuer or agents acting or purporting to act on its behalf, and all Obligations made or created in good faith reliance upon the professed exercise of such powers shall be guaranteed hereby.</w:t>
      </w:r>
    </w:p>
    <w:p>
      <w:pPr>
        <w:spacing w:after="0" w:line="243" w:lineRule="exact"/>
        <w:rPr>
          <w:rFonts w:ascii="Arial" w:cs="Arial" w:eastAsia="Arial" w:hAnsi="Arial"/>
          <w:sz w:val="18"/>
          <w:szCs w:val="18"/>
          <w:color w:val="auto"/>
        </w:rPr>
      </w:pPr>
    </w:p>
    <w:p>
      <w:pPr>
        <w:ind w:left="-20" w:right="500" w:firstLine="1305"/>
        <w:spacing w:after="0" w:line="277" w:lineRule="auto"/>
        <w:tabs>
          <w:tab w:leader="none" w:pos="1672"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Continuing Guaranty</w:t>
      </w:r>
      <w:r>
        <w:rPr>
          <w:rFonts w:ascii="Arial" w:cs="Arial" w:eastAsia="Arial" w:hAnsi="Arial"/>
          <w:sz w:val="18"/>
          <w:szCs w:val="18"/>
          <w:color w:val="auto"/>
        </w:rPr>
        <w:t>. This is a continuing guaranty and shall remain in full force and effect as to all of the Obligations until all amounts owing by Issuer to Vicis on the Obligations shall have been paid in full.</w:t>
      </w:r>
    </w:p>
    <w:p>
      <w:pPr>
        <w:spacing w:after="0" w:line="224" w:lineRule="exact"/>
        <w:rPr>
          <w:rFonts w:ascii="Arial" w:cs="Arial" w:eastAsia="Arial" w:hAnsi="Arial"/>
          <w:sz w:val="18"/>
          <w:szCs w:val="18"/>
          <w:color w:val="auto"/>
        </w:rPr>
      </w:pPr>
    </w:p>
    <w:p>
      <w:pPr>
        <w:ind w:left="-20" w:right="20" w:firstLine="1305"/>
        <w:spacing w:after="0" w:line="287" w:lineRule="auto"/>
        <w:tabs>
          <w:tab w:leader="none" w:pos="1702"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Subrogation; Subordination</w:t>
      </w:r>
      <w:r>
        <w:rPr>
          <w:rFonts w:ascii="Arial" w:cs="Arial" w:eastAsia="Arial" w:hAnsi="Arial"/>
          <w:sz w:val="16"/>
          <w:szCs w:val="16"/>
          <w:color w:val="auto"/>
        </w:rPr>
        <w:t>. Guarantor expressly waives any claim for reimbursement, contribution, indemnity or subrogation which Guarantor may have against Issuer as a guarantor of the Obligations and any other legal or equitable claim against Issuer arising out of the payment of the Obligations by Guarantor or from the proceeds of any collateral for this Guaranty, until all amounts owing to Vicis under the Obligations shall have been paid in full and all commitments to lend have been terminated or expired. In furtherance, and not in limitation, of the foregoing waiver, until all amounts owing to Vicis under the Obligations shall have been paid in full, Guarantor hereby agrees that no payment by Guarantor pursuant to this Guaranty shall constitute Guarantor a creditor of Issuer. Until all amounts owing to Vicis under the Obligations shall have been paid in full, Guarantor shall not seek any reimbursement from Issuer in respect of payments made by Guarantor in connection with this Guaranty, or in respect of amounts realized by Vicis in connection with any collateral for the Obligations, and Guarantor expressly waives any right to enforce any remedy that Vicis now has or hereafter may have against any other Person and waives the benefit of, or any right to participate in, any collateral now or hereafter held by Vicis. No claim which any Guarantor may have against any other guarantor of any of the Obligations or against Issuer, to the extent not waived pursuant to this Section, shall be enforced nor any payment accepted until the Obligations are paid in full and all such payments are not subject to any right of recovery.</w:t>
      </w:r>
      <w:r>
        <w:rPr>
          <w:rFonts w:ascii="Arial" w:cs="Arial" w:eastAsia="Arial" w:hAnsi="Arial"/>
          <w:sz w:val="19"/>
          <w:szCs w:val="19"/>
          <w:color w:val="auto"/>
        </w:rPr>
        <w:t>&lt; /div&gt;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44" w:right="259" w:bottom="1440" w:gutter="0" w:footer="0" w:header="0"/>
        </w:sectPr>
      </w:pPr>
    </w:p>
    <w:bookmarkStart w:id="129" w:name="page130"/>
    <w:bookmarkEnd w:id="129"/>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OF GUARANTOR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Guarantor hereby represents and warrants to Vicis as follows:</w:t>
      </w:r>
    </w:p>
    <w:p>
      <w:pPr>
        <w:spacing w:after="0" w:line="279"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Authorization</w:t>
      </w:r>
      <w:r>
        <w:rPr>
          <w:rFonts w:ascii="Arial" w:cs="Arial" w:eastAsia="Arial" w:hAnsi="Arial"/>
          <w:sz w:val="17"/>
          <w:szCs w:val="17"/>
          <w:color w:val="auto"/>
        </w:rPr>
        <w:t>. Guarantor is a corporation duly and validly organized and existing under the laws of the State of Michigan, has the corporate power to own its owned assets and properties and to carry on its business, and is duly licensed or qualified to do business in all jurisdictions in which failure to do so would have a material adverse effect on its business or financial condition. The making, execution, delivery and performance of this Guaranty, and compliance with its terms, have been duly authorized by all necessary corporate action of Guarantor.</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Enforceability</w:t>
      </w:r>
      <w:r>
        <w:rPr>
          <w:rFonts w:ascii="Arial" w:cs="Arial" w:eastAsia="Arial" w:hAnsi="Arial"/>
          <w:sz w:val="16"/>
          <w:szCs w:val="16"/>
          <w:color w:val="auto"/>
        </w:rPr>
        <w:t>. This Guaranty is the legal, valid and binding obligation of Guarantor, enforceable against Guarantor in accordance with 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terms.</w:t>
      </w:r>
    </w:p>
    <w:p>
      <w:pPr>
        <w:spacing w:after="0" w:line="26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Absence of Conflicting Obligations</w:t>
      </w:r>
      <w:r>
        <w:rPr>
          <w:rFonts w:ascii="Arial" w:cs="Arial" w:eastAsia="Arial" w:hAnsi="Arial"/>
          <w:sz w:val="18"/>
          <w:szCs w:val="18"/>
          <w:color w:val="auto"/>
        </w:rPr>
        <w:t>. The making, execution, delivery and performance of this Guaranty, and compliance with its terms, do not violate any existing provision of Law; the articles of incorporation or bylaws of Guarantor; or any agreement or instrument to which Guarantor is a party or by which it or any of its assets is bound.</w:t>
      </w:r>
    </w:p>
    <w:p>
      <w:pPr>
        <w:spacing w:after="0" w:line="23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Consideration for Guaranty</w:t>
      </w:r>
      <w:r>
        <w:rPr>
          <w:rFonts w:ascii="Arial" w:cs="Arial" w:eastAsia="Arial" w:hAnsi="Arial"/>
          <w:sz w:val="17"/>
          <w:szCs w:val="17"/>
          <w:color w:val="auto"/>
        </w:rPr>
        <w:t>. Guarantor acknowledges and agrees with Vicis that but for the execution and delivery of this Guaranty by Guarantor, Vicis would not have acquired the Preferred Shares. Guarantor acknowledges and agrees that the proceeds of the sale of the Preferred Shares will result in significant benefit to Guarantor who is the wholly-owned subsidiary of Issuer and the intended beneficiary of such proceeds.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 OF THE GUARANTOR</w:t>
      </w:r>
    </w:p>
    <w:p>
      <w:pPr>
        <w:spacing w:after="0" w:line="265"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Actions by Guarantor</w:t>
      </w:r>
      <w:r>
        <w:rPr>
          <w:rFonts w:ascii="Arial" w:cs="Arial" w:eastAsia="Arial" w:hAnsi="Arial"/>
          <w:sz w:val="17"/>
          <w:szCs w:val="17"/>
          <w:color w:val="auto"/>
        </w:rPr>
        <w:t>. Guarantor shall not take or permit any act, or omit to take any act, that would: (a) cause Issuer to breach any of the Obligations; (b) impair the ability of Issuer to perform any of the Obligations; or (c) cause an Event of Default under the Purchase Agreement.</w:t>
      </w:r>
    </w:p>
    <w:p>
      <w:pPr>
        <w:spacing w:after="0" w:line="20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Reporting Requirements</w:t>
      </w:r>
      <w:r>
        <w:rPr>
          <w:rFonts w:ascii="Arial" w:cs="Arial" w:eastAsia="Arial" w:hAnsi="Arial"/>
          <w:sz w:val="18"/>
          <w:szCs w:val="18"/>
          <w:color w:val="auto"/>
        </w:rPr>
        <w:t>. Guarantor shall furnish, or cause to be furnished, to Vicis such information respecting the business, assets and financial condition of Guarantor as Vicis may reasonably request.</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65"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Expenses and Attorneys’ Fees</w:t>
      </w:r>
      <w:r>
        <w:rPr>
          <w:rFonts w:ascii="Arial" w:cs="Arial" w:eastAsia="Arial" w:hAnsi="Arial"/>
          <w:sz w:val="16"/>
          <w:szCs w:val="16"/>
          <w:color w:val="auto"/>
        </w:rPr>
        <w:t>. Guarantor shall pay all reasonable fees and expenses incurred by Vicis, including the reasonable fees of counsel, in connection with the protection or enforcement of its rights under this Guaranty, including without limitation the protection and enforcement of such rights in any bankruptcy, reorganization or insolvency proceeding involving Issuer or Guarantor, both before and after judgment.</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30" w:name="page131"/>
    <w:bookmarkEnd w:id="130"/>
    <w:p>
      <w:pPr>
        <w:ind w:right="160" w:firstLine="648"/>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Revocation</w:t>
      </w:r>
      <w:r>
        <w:rPr>
          <w:rFonts w:ascii="Arial" w:cs="Arial" w:eastAsia="Arial" w:hAnsi="Arial"/>
          <w:sz w:val="18"/>
          <w:szCs w:val="18"/>
          <w:color w:val="auto"/>
        </w:rPr>
        <w:t>. This is a continuing guaranty and shall remain in full force and effect until Vicis receives written notice of revocation signed by Guarantor. Upon revocation by written notice, this Guaranty shall continue in full force and effect as to all Obligations contracted for or incurred before revocation, and as to them Vicis shall have the rights provided by this Guaranty as if no revocation had occurred. Any renewal, extension, or increase in the interest rate(s) of any such Obligation, whether made before or after revocation, shall constitute an Obligation contracted for or incurred before revocation. Obligations c ontracted for or incurred before revocation shall also include credit extended after revocation pursuant to commitments made before revocation.</w:t>
      </w:r>
    </w:p>
    <w:p>
      <w:pPr>
        <w:spacing w:after="0" w:line="2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Assignability; Successors</w:t>
      </w:r>
      <w:r>
        <w:rPr>
          <w:rFonts w:ascii="Arial" w:cs="Arial" w:eastAsia="Arial" w:hAnsi="Arial"/>
          <w:sz w:val="18"/>
          <w:szCs w:val="18"/>
          <w:color w:val="auto"/>
        </w:rPr>
        <w:t>. Guarantor’s rights and liabilities under this Guaranty are not assignable or delegable, in whole or in part, without the prior written consent of Vicis. The provisions of this Guaranty shall be binding upon Guarantor, its successors and permitted assigns and shall inure to the benefit of Vicis, its successors and assigns.</w:t>
      </w:r>
    </w:p>
    <w:p>
      <w:pPr>
        <w:spacing w:after="0" w:line="23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Survival</w:t>
      </w:r>
      <w:r>
        <w:rPr>
          <w:rFonts w:ascii="Arial" w:cs="Arial" w:eastAsia="Arial" w:hAnsi="Arial"/>
          <w:sz w:val="18"/>
          <w:szCs w:val="18"/>
          <w:color w:val="auto"/>
        </w:rPr>
        <w:t>. All agreements, representations and warranties made herein or in any document delivered pursuant to this Guaranty shall survive the execution and delivery of this Guaranty and the delivery of any such document.</w:t>
      </w:r>
    </w:p>
    <w:p>
      <w:pPr>
        <w:spacing w:after="0" w:line="22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Guaranty and the documents issued pursuant to this Guaranty shall be governed by, and construed and interpreted in accordance with, the Laws of the State of Florida applicable to contracts made and wholly performed within such state.</w:t>
      </w:r>
    </w:p>
    <w:p>
      <w:pPr>
        <w:spacing w:after="0" w:line="22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Execution; Headings</w:t>
      </w:r>
      <w:r>
        <w:rPr>
          <w:rFonts w:ascii="Arial" w:cs="Arial" w:eastAsia="Arial" w:hAnsi="Arial"/>
          <w:sz w:val="18"/>
          <w:szCs w:val="18"/>
          <w:color w:val="auto"/>
        </w:rPr>
        <w:t>. This Guaranty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such signature shall create a valid and binding obligation of the party executing (or on whose behalf such signature is executed) with the same force and effect as if such facsimile signature page were an original thereof. Th e article and section headings in this Guaranty are inserted for convenience of reference only and shall not constitute a part hereof.</w:t>
      </w:r>
    </w:p>
    <w:p>
      <w:pPr>
        <w:spacing w:after="0" w:line="24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demands to or upon Vicis or Guarantor (to be delivered care of Issuer) shall be delivered in the manner set forth in Section 12.6 of the Purchase Agreement.</w:t>
      </w:r>
    </w:p>
    <w:p>
      <w:pPr>
        <w:spacing w:after="0" w:line="22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No amendment of this Guaranty shall be effective unless in writing and signed by Guarantor and Vicis.</w:t>
      </w:r>
    </w:p>
    <w:p>
      <w:pPr>
        <w:spacing w:after="0" w:line="27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Guaranty which is prohibited or unenforceable in any jurisdiction shall, as to such jurisdiction, be ineffective to the extent of such prohibition or unenforceability without invalidating the remaining provisions of this Guaranty in such jurisdiction or affecting the validity or enforceability of any provision in any other jurisdiction.</w:t>
      </w:r>
    </w:p>
    <w:p>
      <w:pPr>
        <w:spacing w:after="0" w:line="23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Taxes</w:t>
      </w:r>
      <w:r>
        <w:rPr>
          <w:rFonts w:ascii="Arial" w:cs="Arial" w:eastAsia="Arial" w:hAnsi="Arial"/>
          <w:sz w:val="18"/>
          <w:szCs w:val="18"/>
          <w:color w:val="auto"/>
        </w:rPr>
        <w:t>. If any transfer or documentary taxes, assessments or charges levied by any governmental authority shall be payable by reason of the execution, delivery or recording of this Guaranty, Guarantor shall pay all such taxes, assessments and charges, including interest and penalties, and hereby indemnifies Vicis against any liability therefor.</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131" w:name="page132"/>
    <w:bookmarkEnd w:id="131"/>
    <w:p>
      <w:pPr>
        <w:ind w:right="380" w:firstLine="648"/>
        <w:spacing w:after="0" w:line="259"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WAIVER OF RIGHT TO JURY TRIAL</w:t>
      </w:r>
      <w:r>
        <w:rPr>
          <w:rFonts w:ascii="Arial" w:cs="Arial" w:eastAsia="Arial" w:hAnsi="Arial"/>
          <w:sz w:val="18"/>
          <w:szCs w:val="18"/>
          <w:color w:val="auto"/>
        </w:rPr>
        <w:t>. GUARANTOR ACKNOWLEDGES AND AGREES THAT ANY CONTROVERSY WHICH MAY ARISE UNDER THIS GUARANTY WOULD BE BASED UPON DIFFICULT AND COMPLEX ISSUES AND, THEREFORE, GUARANTOR AGREES THAT ANY LAWSUIT ARISING OUT OF ANY SUCH CONTROVERSY SHALL BE TRIED IN A COURT OF COMPETENT JURISDICTION BY A JUDGE SITTING WITHOUT A JURY.</w:t>
      </w:r>
    </w:p>
    <w:p>
      <w:pPr>
        <w:spacing w:after="0" w:line="24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SUBMISSION TO JURISDICTION; SERVICE OF PROCESS</w:t>
      </w:r>
      <w:r>
        <w:rPr>
          <w:rFonts w:ascii="Arial" w:cs="Arial" w:eastAsia="Arial" w:hAnsi="Arial"/>
          <w:sz w:val="18"/>
          <w:szCs w:val="18"/>
          <w:color w:val="auto"/>
        </w:rPr>
        <w:t>. AS A MATERIAL INDUCEMENT TO VICIS TO ENTER INTO THIS TRANSACTION:</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GUARANTOR AGREES THAT ALL ACTIONS OR PROCEEDINGS IN ANY MANNER RELATING TO OR ARISING OUT OF THIS GUARANTY OR THE OTHER DOCUMENTS EXECUTED IN CONNECTION HEREWITH MAY BE BROUGHT ONLY IN COURTS OF THE STATE OF FLORIDA OR THE FEDERAL COURTS LOCATED IN FLORIDA AND THE GUARANTOR CONSENTS TO THE JURISDICTION OF SUCH COURTS. THE GUARANTOR WAIVES ANY OBJECTION IT MAY NOW OR HEREAFTER HAVE TO THE VENUE OF ANY SUCH COURT AND ANY RIGHT IT MAY HAVE NOW OR HEREAFTER HAVE TO CLAIM THAT ANY SUCH ACTION OR PROCEEDING IS IN AN INCONVENIENT COURT; AND</w:t>
      </w:r>
    </w:p>
    <w:p>
      <w:pPr>
        <w:spacing w:after="0" w:line="22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Guarantor consents to the service of process in any such action or proceeding by certified mail sent to the address specified in Section 5.7. Nothing contained herein shall affect the right of Vicis to serve process in any other manner permitted by law or to commence an action or proceeding in any other jurisdiction.</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32" w:name="page133"/>
    <w:bookmarkEnd w:id="132"/>
    <w:p>
      <w:pPr>
        <w:ind w:left="660"/>
        <w:spacing w:after="0"/>
        <w:rPr>
          <w:sz w:val="20"/>
          <w:szCs w:val="20"/>
          <w:color w:val="auto"/>
        </w:rPr>
      </w:pPr>
      <w:r>
        <w:rPr>
          <w:rFonts w:ascii="Arial" w:cs="Arial" w:eastAsia="Arial" w:hAnsi="Arial"/>
          <w:sz w:val="16"/>
          <w:szCs w:val="16"/>
          <w:color w:val="auto"/>
        </w:rPr>
        <w:t>IN WITNESS WHEREOF the undersigned has executed this Guaranty as of the day and year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7"/>
                <w:szCs w:val="17"/>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H. David Lester</w:t>
            </w:r>
          </w:p>
        </w:tc>
        <w:tc>
          <w:tcPr>
            <w:tcW w:w="340" w:type="dxa"/>
            <w:vAlign w:val="bottom"/>
          </w:tcPr>
          <w:p>
            <w:pPr>
              <w:spacing w:after="0"/>
              <w:rPr>
                <w:sz w:val="17"/>
                <w:szCs w:val="17"/>
                <w:color w:val="auto"/>
              </w:rPr>
            </w:pPr>
          </w:p>
        </w:tc>
      </w:tr>
      <w:tr>
        <w:trPr>
          <w:trHeight w:val="222"/>
        </w:trPr>
        <w:tc>
          <w:tcPr>
            <w:tcW w:w="2300" w:type="dxa"/>
            <w:vAlign w:val="bottom"/>
            <w:gridSpan w:val="4"/>
          </w:tcPr>
          <w:p>
            <w:pPr>
              <w:spacing w:after="0"/>
              <w:rPr>
                <w:sz w:val="20"/>
                <w:szCs w:val="20"/>
                <w:color w:val="auto"/>
              </w:rPr>
            </w:pPr>
            <w:r>
              <w:rPr>
                <w:rFonts w:ascii="Arial" w:cs="Arial" w:eastAsia="Arial" w:hAnsi="Arial"/>
                <w:sz w:val="18"/>
                <w:szCs w:val="18"/>
                <w:color w:val="auto"/>
              </w:rPr>
              <w:t>Name: H. David Lester</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1820" w:type="dxa"/>
            <w:vAlign w:val="bottom"/>
            <w:gridSpan w:val="3"/>
          </w:tcPr>
          <w:p>
            <w:pPr>
              <w:ind w:left="100"/>
              <w:spacing w:after="0"/>
              <w:rPr>
                <w:sz w:val="20"/>
                <w:szCs w:val="20"/>
                <w:color w:val="auto"/>
              </w:rPr>
            </w:pPr>
            <w:r>
              <w:rPr>
                <w:rFonts w:ascii="Arial" w:cs="Arial" w:eastAsia="Arial" w:hAnsi="Arial"/>
                <w:sz w:val="18"/>
                <w:szCs w:val="18"/>
                <w:color w:val="auto"/>
                <w:w w:val="92"/>
              </w:rPr>
              <w:t>Chief Executive Officer</w:t>
            </w:r>
          </w:p>
        </w:tc>
      </w:tr>
    </w:tbl>
    <w:p>
      <w:pPr>
        <w:spacing w:after="0" w:line="37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133" w:name="page134"/>
    <w:bookmarkEnd w:id="133"/>
    <w:p>
      <w:pPr>
        <w:ind w:left="4680"/>
        <w:spacing w:after="0"/>
        <w:rPr>
          <w:sz w:val="20"/>
          <w:szCs w:val="20"/>
          <w:color w:val="auto"/>
        </w:rPr>
      </w:pPr>
      <w:r>
        <w:rPr>
          <w:rFonts w:ascii="Arial" w:cs="Arial" w:eastAsia="Arial" w:hAnsi="Arial"/>
          <w:sz w:val="18"/>
          <w:szCs w:val="18"/>
          <w:b w:val="1"/>
          <w:bCs w:val="1"/>
          <w:u w:val="single" w:color="auto"/>
          <w:color w:val="auto"/>
        </w:rPr>
        <w:t>ACCEPTANCE BY VICIS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Guaranty Agreement is accepted by Vicis Capital Master Fund.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VICIS CAPITAL MASTER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Vicis Capital LLC</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7"/>
                <w:szCs w:val="17"/>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/s/ Keith W. Hughes</w:t>
            </w: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1760" w:type="dxa"/>
            <w:vAlign w:val="bottom"/>
            <w:gridSpan w:val="3"/>
          </w:tcPr>
          <w:p>
            <w:pPr>
              <w:ind w:left="80"/>
              <w:spacing w:after="0"/>
              <w:rPr>
                <w:sz w:val="20"/>
                <w:szCs w:val="20"/>
                <w:color w:val="auto"/>
              </w:rPr>
            </w:pPr>
            <w:r>
              <w:rPr>
                <w:rFonts w:ascii="Arial" w:cs="Arial" w:eastAsia="Arial" w:hAnsi="Arial"/>
                <w:sz w:val="18"/>
                <w:szCs w:val="18"/>
                <w:color w:val="auto"/>
              </w:rPr>
              <w:t>Keith W. Hughes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1760" w:type="dxa"/>
            <w:vAlign w:val="bottom"/>
            <w:gridSpan w:val="3"/>
          </w:tcPr>
          <w:p>
            <w:pPr>
              <w:ind w:left="80"/>
              <w:spacing w:after="0"/>
              <w:rPr>
                <w:sz w:val="20"/>
                <w:szCs w:val="20"/>
                <w:color w:val="auto"/>
              </w:rPr>
            </w:pPr>
            <w:r>
              <w:rPr>
                <w:rFonts w:ascii="Arial" w:cs="Arial" w:eastAsia="Arial" w:hAnsi="Arial"/>
                <w:sz w:val="18"/>
                <w:szCs w:val="18"/>
                <w:color w:val="auto"/>
                <w:w w:val="93"/>
              </w:rPr>
              <w:t>Chief Financial Officer</w:t>
            </w:r>
          </w:p>
        </w:tc>
      </w:tr>
    </w:tbl>
    <w:p>
      <w:pPr>
        <w:spacing w:after="0" w:line="37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134" w:name="page135"/>
    <w:bookmarkEnd w:id="1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AMENDED AND RESTATED GUARANTOR SECURITY AGREEMENT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AMENDED AND RESTATED GUARANTOR SECURITY AGREEMENT (this “</w:t>
      </w:r>
      <w:r>
        <w:rPr>
          <w:rFonts w:ascii="Arial" w:cs="Arial" w:eastAsia="Arial" w:hAnsi="Arial"/>
          <w:sz w:val="18"/>
          <w:szCs w:val="18"/>
          <w:u w:val="single" w:color="auto"/>
          <w:color w:val="auto"/>
        </w:rPr>
        <w:t>Security Agreement</w:t>
      </w:r>
      <w:r>
        <w:rPr>
          <w:rFonts w:ascii="Arial" w:cs="Arial" w:eastAsia="Arial" w:hAnsi="Arial"/>
          <w:sz w:val="18"/>
          <w:szCs w:val="18"/>
          <w:color w:val="auto"/>
        </w:rPr>
        <w:t>”) is dated as of June 4, 2010, by and between OptimizeRx Corporation, a Michigan corporation (“</w:t>
      </w:r>
      <w:r>
        <w:rPr>
          <w:rFonts w:ascii="Arial" w:cs="Arial" w:eastAsia="Arial" w:hAnsi="Arial"/>
          <w:sz w:val="18"/>
          <w:szCs w:val="18"/>
          <w:u w:val="single" w:color="auto"/>
          <w:color w:val="auto"/>
        </w:rPr>
        <w:t>Debtor</w:t>
      </w:r>
      <w:r>
        <w:rPr>
          <w:rFonts w:ascii="Arial" w:cs="Arial" w:eastAsia="Arial" w:hAnsi="Arial"/>
          <w:sz w:val="18"/>
          <w:szCs w:val="18"/>
          <w:color w:val="auto"/>
        </w:rPr>
        <w:t>”), and Vicis Capital Master Fund (“</w:t>
      </w:r>
      <w:r>
        <w:rPr>
          <w:rFonts w:ascii="Arial" w:cs="Arial" w:eastAsia="Arial" w:hAnsi="Arial"/>
          <w:sz w:val="18"/>
          <w:szCs w:val="18"/>
          <w:u w:val="single" w:color="auto"/>
          <w:color w:val="auto"/>
        </w:rPr>
        <w:t>Vicis</w:t>
      </w:r>
      <w:r>
        <w:rPr>
          <w:rFonts w:ascii="Arial" w:cs="Arial" w:eastAsia="Arial" w:hAnsi="Arial"/>
          <w:sz w:val="18"/>
          <w:szCs w:val="18"/>
          <w:color w:val="auto"/>
        </w:rPr>
        <w:t>”), a sub-trust of Vicis Capital Series Master Trust, a unit trust organized and existing under the laws of the Cayman Islands, amends and restates that .</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Debtor and Vicis wish to amend and restate that certain Guarantor Security Agreement dated as of September 8, 2008 between Debtor and Vicis (the “</w:t>
      </w:r>
      <w:r>
        <w:rPr>
          <w:rFonts w:ascii="Arial" w:cs="Arial" w:eastAsia="Arial" w:hAnsi="Arial"/>
          <w:sz w:val="18"/>
          <w:szCs w:val="18"/>
          <w:u w:val="single" w:color="auto"/>
          <w:color w:val="auto"/>
        </w:rPr>
        <w:t>September Security Agreement</w:t>
      </w:r>
      <w:r>
        <w:rPr>
          <w:rFonts w:ascii="Arial" w:cs="Arial" w:eastAsia="Arial" w:hAnsi="Arial"/>
          <w:sz w:val="18"/>
          <w:szCs w:val="18"/>
          <w:color w:val="auto"/>
        </w:rPr>
        <w: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Debtor is a wholly owned subsidiary of OptimizeRx Corporation, a Nevada corporation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a Securities Purchase Agreement dated as of September 8, 2008, by and between Vicis and Issuer, Issuer has issued shares of the Issuer’s Series A Convertible Preferred Stock, par value $.001 per share (the “</w:t>
      </w:r>
      <w:r>
        <w:rPr>
          <w:rFonts w:ascii="Arial" w:cs="Arial" w:eastAsia="Arial" w:hAnsi="Arial"/>
          <w:sz w:val="18"/>
          <w:szCs w:val="18"/>
          <w:u w:val="single" w:color="auto"/>
          <w:color w:val="auto"/>
        </w:rPr>
        <w:t>Series A Preferred Shares</w:t>
      </w:r>
      <w:r>
        <w:rPr>
          <w:rFonts w:ascii="Arial" w:cs="Arial" w:eastAsia="Arial" w:hAnsi="Arial"/>
          <w:sz w:val="18"/>
          <w:szCs w:val="18"/>
          <w:color w:val="auto"/>
        </w:rPr>
        <w:t>”), to Vicis.</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pursuant to a Securities Purchase Agreement of even date herewith by and between Vicis and Issuer (as amended or modified from time to time,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Issuer has issued and may issue additional shares of the Issuer’s Series B Convertible Preferred Stock, par value $.001 per share (the “</w:t>
      </w:r>
      <w:r>
        <w:rPr>
          <w:rFonts w:ascii="Arial" w:cs="Arial" w:eastAsia="Arial" w:hAnsi="Arial"/>
          <w:sz w:val="17"/>
          <w:szCs w:val="17"/>
          <w:u w:val="single" w:color="auto"/>
          <w:color w:val="auto"/>
        </w:rPr>
        <w:t>Series B Preferred Shares</w:t>
      </w:r>
      <w:r>
        <w:rPr>
          <w:rFonts w:ascii="Arial" w:cs="Arial" w:eastAsia="Arial" w:hAnsi="Arial"/>
          <w:sz w:val="17"/>
          <w:szCs w:val="17"/>
          <w:color w:val="auto"/>
        </w:rPr>
        <w:t>”, and together with the Series A Preferred Shares, the “</w:t>
      </w:r>
      <w:r>
        <w:rPr>
          <w:rFonts w:ascii="Arial" w:cs="Arial" w:eastAsia="Arial" w:hAnsi="Arial"/>
          <w:sz w:val="17"/>
          <w:szCs w:val="17"/>
          <w:u w:val="single" w:color="auto"/>
          <w:color w:val="auto"/>
        </w:rPr>
        <w:t>Preferred Shares</w:t>
      </w:r>
      <w:r>
        <w:rPr>
          <w:rFonts w:ascii="Arial" w:cs="Arial" w:eastAsia="Arial" w:hAnsi="Arial"/>
          <w:sz w:val="17"/>
          <w:szCs w:val="17"/>
          <w:color w:val="auto"/>
        </w:rPr>
        <w:t>”), to Vicis.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it is a condition precedent to Vicis’s entrance into the Purchase Agreement and acquisition of the Preferred Shares that the Debtor execute and deliver to Vicis an amended and restated security agreement in the form hereof to secure its obligations, covenants and agreements contained in its Guaranty, dated as of September 8, 2008, in favor of Vicis and contained in its Guaranty, dated of even date herewith, in favor of Vicis (such guaranties collectively, the “</w:t>
      </w:r>
      <w:r>
        <w:rPr>
          <w:rFonts w:ascii="Arial" w:cs="Arial" w:eastAsia="Arial" w:hAnsi="Arial"/>
          <w:sz w:val="18"/>
          <w:szCs w:val="18"/>
          <w:u w:val="single" w:color="auto"/>
          <w:color w:val="auto"/>
        </w:rPr>
        <w:t>Guaranty</w:t>
      </w:r>
      <w:r>
        <w:rPr>
          <w:rFonts w:ascii="Arial" w:cs="Arial" w:eastAsia="Arial" w:hAnsi="Arial"/>
          <w:sz w:val="18"/>
          <w:szCs w:val="18"/>
          <w:color w:val="auto"/>
        </w:rPr>
        <w: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this is the Guarantor Security Agreement referred to in the Purchase Agreement.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recitals and for other good and valuable consideration, the receipt and sufficiency of which are hereby acknowledged, Guarantor hereby agrees with Vicis as follows: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38"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Capitalized terms not defined herein shall have the meaning given to them in the Purchase Agreement. Capitalized terms not otherwise defined herein and defined in the UCC shall have, unless the context otherwise requires, the meanings set forth in the UCC as in effect on the date hereof (except that the term “</w:t>
      </w:r>
      <w:r>
        <w:rPr>
          <w:rFonts w:ascii="Arial" w:cs="Arial" w:eastAsia="Arial" w:hAnsi="Arial"/>
          <w:sz w:val="16"/>
          <w:szCs w:val="16"/>
          <w:u w:val="single" w:color="auto"/>
          <w:color w:val="auto"/>
        </w:rPr>
        <w:t>document</w:t>
      </w:r>
      <w:r>
        <w:rPr>
          <w:rFonts w:ascii="Arial" w:cs="Arial" w:eastAsia="Arial" w:hAnsi="Arial"/>
          <w:sz w:val="16"/>
          <w:szCs w:val="16"/>
          <w:color w:val="auto"/>
        </w:rPr>
        <w:t>” shall only have the meaning set forth in the UCC for purposes of clause (d) of the definition of Collateral), the recitals and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417830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6" w:name="page137"/>
    <w:bookmarkEnd w:id="136"/>
    <w:p>
      <w:pPr>
        <w:jc w:val="both"/>
        <w:ind w:right="2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Accounts</w:t>
      </w:r>
      <w:r>
        <w:rPr>
          <w:rFonts w:ascii="Arial" w:cs="Arial" w:eastAsia="Arial" w:hAnsi="Arial"/>
          <w:sz w:val="18"/>
          <w:szCs w:val="18"/>
          <w:color w:val="auto"/>
        </w:rPr>
        <w:t>. “Accounts” shall mean all accounts, including without limitation all rights to payment for goods sold or services rendered that are not evidenced by instruments or chattel paper, whether or not earned by performance, and any associated rights thereto.</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Collateral</w:t>
      </w:r>
      <w:r>
        <w:rPr>
          <w:rFonts w:ascii="Arial" w:cs="Arial" w:eastAsia="Arial" w:hAnsi="Arial"/>
          <w:sz w:val="18"/>
          <w:szCs w:val="18"/>
          <w:color w:val="auto"/>
        </w:rPr>
        <w:t>. “Collateral” shall mean, subject to any limitations or qualifications set forth in this definition or in Section 2.1 hereof, all personal properties and assets of Debtor, wherever located, whether tangible or intangible, and whether now owned or hereafter acquired or arising, including without limitation:</w:t>
      </w:r>
    </w:p>
    <w:p>
      <w:pPr>
        <w:spacing w:after="0" w:line="235" w:lineRule="exact"/>
        <w:rPr>
          <w:sz w:val="20"/>
          <w:szCs w:val="20"/>
          <w:color w:val="auto"/>
        </w:rPr>
      </w:pPr>
    </w:p>
    <w:p>
      <w:pPr>
        <w:ind w:left="1720" w:hanging="415"/>
        <w:spacing w:after="0"/>
        <w:tabs>
          <w:tab w:leader="none" w:pos="17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Inventory and documents relating to Inventory;</w:t>
      </w:r>
    </w:p>
    <w:p>
      <w:pPr>
        <w:spacing w:after="0" w:line="279" w:lineRule="exact"/>
        <w:rPr>
          <w:rFonts w:ascii="Arial" w:cs="Arial" w:eastAsia="Arial" w:hAnsi="Arial"/>
          <w:sz w:val="18"/>
          <w:szCs w:val="18"/>
          <w:color w:val="auto"/>
        </w:rPr>
      </w:pPr>
    </w:p>
    <w:p>
      <w:pPr>
        <w:ind w:left="1740" w:hanging="435"/>
        <w:spacing w:after="0"/>
        <w:tabs>
          <w:tab w:leader="none" w:pos="17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Accounts and documents relating to Accounts;</w:t>
      </w:r>
    </w:p>
    <w:p>
      <w:pPr>
        <w:spacing w:after="0" w:line="279" w:lineRule="exact"/>
        <w:rPr>
          <w:rFonts w:ascii="Arial" w:cs="Arial" w:eastAsia="Arial" w:hAnsi="Arial"/>
          <w:sz w:val="18"/>
          <w:szCs w:val="18"/>
          <w:color w:val="auto"/>
        </w:rPr>
      </w:pPr>
    </w:p>
    <w:p>
      <w:pPr>
        <w:ind w:left="1720" w:hanging="415"/>
        <w:spacing w:after="0"/>
        <w:tabs>
          <w:tab w:leader="none" w:pos="17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equipment, fixtures and other goods, including without limitation machinery, furniture and trade fixtures;</w:t>
      </w:r>
    </w:p>
    <w:p>
      <w:pPr>
        <w:spacing w:after="0" w:line="279" w:lineRule="exact"/>
        <w:rPr>
          <w:rFonts w:ascii="Arial" w:cs="Arial" w:eastAsia="Arial" w:hAnsi="Arial"/>
          <w:sz w:val="18"/>
          <w:szCs w:val="18"/>
          <w:color w:val="auto"/>
        </w:rPr>
      </w:pPr>
    </w:p>
    <w:p>
      <w:pPr>
        <w:ind w:right="200" w:firstLine="1305"/>
        <w:spacing w:after="0" w:line="264" w:lineRule="auto"/>
        <w:tabs>
          <w:tab w:leader="none" w:pos="172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general intangibles (including without limitation, software, customer lists, sales records and other business records, and licenses, permits, franchises, patents, copyrights, trademarks, and goodwill of the business in which the trademark is used, trade names, or rights to any of the foregoing), promissory notes, chattel paper, documents, letter-of-credit rights and instruments;</w:t>
      </w:r>
    </w:p>
    <w:p>
      <w:pPr>
        <w:spacing w:after="0" w:line="235" w:lineRule="exact"/>
        <w:rPr>
          <w:rFonts w:ascii="Arial" w:cs="Arial" w:eastAsia="Arial" w:hAnsi="Arial"/>
          <w:sz w:val="18"/>
          <w:szCs w:val="18"/>
          <w:color w:val="auto"/>
        </w:rPr>
      </w:pPr>
    </w:p>
    <w:p>
      <w:pPr>
        <w:ind w:left="1720" w:hanging="415"/>
        <w:spacing w:after="0"/>
        <w:tabs>
          <w:tab w:leader="none" w:pos="17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motor vehicles;</w:t>
      </w:r>
    </w:p>
    <w:p>
      <w:pPr>
        <w:spacing w:after="0" w:line="279" w:lineRule="exact"/>
        <w:rPr>
          <w:rFonts w:ascii="Arial" w:cs="Arial" w:eastAsia="Arial" w:hAnsi="Arial"/>
          <w:sz w:val="18"/>
          <w:szCs w:val="18"/>
          <w:color w:val="auto"/>
        </w:rPr>
      </w:pPr>
    </w:p>
    <w:p>
      <w:pPr>
        <w:ind w:right="360" w:firstLine="1305"/>
        <w:spacing w:after="0" w:line="277" w:lineRule="auto"/>
        <w:tabs>
          <w:tab w:leader="none" w:pos="169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all deposit accounts and (ii) all cash and cash equivalents deposited with or delivered to Vicis from time to time and pledged as additional security for the Obligations;</w:t>
      </w:r>
    </w:p>
    <w:p>
      <w:pPr>
        <w:spacing w:after="0" w:line="224" w:lineRule="exact"/>
        <w:rPr>
          <w:rFonts w:ascii="Arial" w:cs="Arial" w:eastAsia="Arial" w:hAnsi="Arial"/>
          <w:sz w:val="18"/>
          <w:szCs w:val="18"/>
          <w:color w:val="auto"/>
        </w:rPr>
      </w:pPr>
    </w:p>
    <w:p>
      <w:pPr>
        <w:ind w:left="1740" w:hanging="435"/>
        <w:spacing w:after="0"/>
        <w:tabs>
          <w:tab w:leader="none" w:pos="17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279" w:lineRule="exact"/>
        <w:rPr>
          <w:rFonts w:ascii="Arial" w:cs="Arial" w:eastAsia="Arial" w:hAnsi="Arial"/>
          <w:sz w:val="18"/>
          <w:szCs w:val="18"/>
          <w:color w:val="auto"/>
        </w:rPr>
      </w:pPr>
    </w:p>
    <w:p>
      <w:pPr>
        <w:ind w:left="1740" w:hanging="435"/>
        <w:spacing w:after="0"/>
        <w:tabs>
          <w:tab w:leader="none" w:pos="17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commercial tort claims; and</w:t>
      </w:r>
    </w:p>
    <w:p>
      <w:pPr>
        <w:spacing w:after="0" w:line="279" w:lineRule="exact"/>
        <w:rPr>
          <w:rFonts w:ascii="Arial" w:cs="Arial" w:eastAsia="Arial" w:hAnsi="Arial"/>
          <w:sz w:val="18"/>
          <w:szCs w:val="18"/>
          <w:color w:val="auto"/>
        </w:rPr>
      </w:pPr>
    </w:p>
    <w:p>
      <w:pPr>
        <w:ind w:right="20" w:firstLine="1305"/>
        <w:spacing w:after="0" w:line="277" w:lineRule="auto"/>
        <w:tabs>
          <w:tab w:leader="none" w:pos="168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additions and accessions to, all spare and repair parts, special tools, equipment and replacements for, and all supporting obligations, proceeds and products of, any and all of the foregoing assets described in Sections (a) through (h), inclusive, above.</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Notwithstanding the foregoing, “Collateral” shall not include and expressly excludes (i) any general intangibles or other rights arising under any contracts, instruments, licenses or other documents to the extent that the grant of a lien or the Security Interest therein would (A) result in a breach of the terms of, or constitute a default under, such contract, instrument, license, agreement or other document (other than to the extent that any such term would be rendered ineffective pursuant to Section 9-406, 9-407 or 9-408 of the UCC or any successor provision of the UCC of any relevant jurisdiction or other applicable law) or (B) give any other party to such contract, instrument, license or other document the right to terminate its obligations thereunder pursuant to a valid and enforceable provision (including without limi tation in connection with the operation of Section 9-406, 9-407 or 9-408 of the UCC or any other applicable law), (ii) any personal property (including motor vehicles) in respect of which perfection of a lien or security interest is not either (A) governed by the UCC or (B) accomplished by appropriate evidence of the lien being recorded in the United States Copyright Office or the United States Patent and Trademark Office, (iii) any property subject to any pledge agreement, (iv) any Accounts and documents relating to Accounts; or (v) any payment intangibles, contract rights and causes of action.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7" w:name="page138"/>
    <w:bookmarkEnd w:id="137"/>
    <w:p>
      <w:pPr>
        <w:ind w:left="660"/>
        <w:spacing w:after="0"/>
        <w:tabs>
          <w:tab w:leader="none" w:pos="13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 xml:space="preserve">Event of Default. </w:t>
      </w:r>
      <w:r>
        <w:rPr>
          <w:rFonts w:ascii="Arial" w:cs="Arial" w:eastAsia="Arial" w:hAnsi="Arial"/>
          <w:sz w:val="16"/>
          <w:szCs w:val="16"/>
          <w:color w:val="auto"/>
        </w:rPr>
        <w:t>“Event of Default” shall have the meaning specified in the Purchase Agreement.</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Inventory</w:t>
      </w:r>
      <w:r>
        <w:rPr>
          <w:rFonts w:ascii="Arial" w:cs="Arial" w:eastAsia="Arial" w:hAnsi="Arial"/>
          <w:sz w:val="16"/>
          <w:szCs w:val="16"/>
          <w:color w:val="auto"/>
        </w:rPr>
        <w:t>. “Inventory” shall mean all inventory, including without limitation all goods held for sale, lease or demonstration or to be furnished under contracts of service, goods leased to others, trade-ins and repossessions, raw materials, work in process and materials used or consumed in Debtor’s business, including, without limitation, goods in transit, wheresoever located, whether now owned or hereafter acquired by Debtor, and shall include such property the sale or other disposition of which has given rise to Accounts and which has been returned to or repossessed or stopped in transit by Debtor.</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u w:val="single" w:color="auto"/>
          <w:color w:val="auto"/>
        </w:rPr>
        <w:t>Obligations</w:t>
      </w:r>
      <w:r>
        <w:rPr>
          <w:rFonts w:ascii="Arial" w:cs="Arial" w:eastAsia="Arial" w:hAnsi="Arial"/>
          <w:sz w:val="16"/>
          <w:szCs w:val="16"/>
          <w:color w:val="auto"/>
        </w:rPr>
        <w:t>. “Obligations” shall mean all debts, liabilities, obligations, covenants and agreements of Debtor contained in the Guaranty.</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Person</w:t>
      </w:r>
      <w:r>
        <w:rPr>
          <w:rFonts w:ascii="Arial" w:cs="Arial" w:eastAsia="Arial" w:hAnsi="Arial"/>
          <w:sz w:val="18"/>
          <w:szCs w:val="18"/>
          <w:color w:val="auto"/>
        </w:rPr>
        <w:t>. “Person” shall mean and include an individual, partnership, corporation, trust, unincorporated association and any unit, department or agency of government.</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Security Agreement</w:t>
      </w:r>
      <w:r>
        <w:rPr>
          <w:rFonts w:ascii="Arial" w:cs="Arial" w:eastAsia="Arial" w:hAnsi="Arial"/>
          <w:sz w:val="17"/>
          <w:szCs w:val="17"/>
          <w:color w:val="auto"/>
        </w:rPr>
        <w:t>. “Security Agreement” shall mean this Amended and Restated Guarantor Security Agreement, together with the schedules attached hereto, as the same may be amended, supplemented or otherwise modified from time to time in accordance with the terms hereof.</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Security Interest</w:t>
      </w:r>
      <w:r>
        <w:rPr>
          <w:rFonts w:ascii="Arial" w:cs="Arial" w:eastAsia="Arial" w:hAnsi="Arial"/>
          <w:sz w:val="18"/>
          <w:szCs w:val="18"/>
          <w:color w:val="auto"/>
        </w:rPr>
        <w:t>. “Security Interest” shall mean the security interest of Vicis in the Collateral granted by Debtor pursuant to this Security Agreement.</w:t>
      </w:r>
    </w:p>
    <w:p>
      <w:pPr>
        <w:spacing w:after="0" w:line="19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u w:val="single" w:color="auto"/>
          <w:color w:val="auto"/>
        </w:rPr>
        <w:t>UCC</w:t>
      </w:r>
      <w:r>
        <w:rPr>
          <w:rFonts w:ascii="Arial" w:cs="Arial" w:eastAsia="Arial" w:hAnsi="Arial"/>
          <w:sz w:val="16"/>
          <w:szCs w:val="16"/>
          <w:color w:val="auto"/>
        </w:rPr>
        <w:t>. “UCC” shall mean the Uniform Commercial Code as adopted in Michigan and in effect from time to time.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SECURITY INTEREST; REPRESENTATIONS AND WARRANTIES</w:t>
      </w:r>
    </w:p>
    <w:p>
      <w:pPr>
        <w:spacing w:after="0" w:line="26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The Security Interest</w:t>
      </w:r>
      <w:r>
        <w:rPr>
          <w:rFonts w:ascii="Arial" w:cs="Arial" w:eastAsia="Arial" w:hAnsi="Arial"/>
          <w:sz w:val="16"/>
          <w:szCs w:val="16"/>
          <w:color w:val="auto"/>
        </w:rPr>
        <w:t>.</w:t>
      </w:r>
    </w:p>
    <w:p>
      <w:pPr>
        <w:spacing w:after="0" w:line="252" w:lineRule="exact"/>
        <w:rPr>
          <w:sz w:val="20"/>
          <w:szCs w:val="20"/>
          <w:color w:val="auto"/>
        </w:rPr>
      </w:pPr>
    </w:p>
    <w:p>
      <w:pPr>
        <w:jc w:val="both"/>
        <w:ind w:firstLine="1305"/>
        <w:spacing w:after="0" w:line="264" w:lineRule="auto"/>
        <w:tabs>
          <w:tab w:leader="none" w:pos="202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secure the full and complete payment and performance when due (whether at stated maturity, by acceleration, or otherwise) of each of the Obligations, Debtor hereby grants to Vicis, subject to Section 2.1(b) hereof, a second-priority, subordinated security interest in all of Debtor’s right, title and interest in and to the Collateral.</w:t>
      </w:r>
    </w:p>
    <w:p>
      <w:pPr>
        <w:spacing w:after="0" w:line="208" w:lineRule="exact"/>
        <w:rPr>
          <w:rFonts w:ascii="Arial" w:cs="Arial" w:eastAsia="Arial" w:hAnsi="Arial"/>
          <w:sz w:val="18"/>
          <w:szCs w:val="18"/>
          <w:color w:val="auto"/>
        </w:rPr>
      </w:pPr>
    </w:p>
    <w:p>
      <w:pPr>
        <w:jc w:val="both"/>
        <w:ind w:firstLine="1305"/>
        <w:spacing w:after="0" w:line="276" w:lineRule="auto"/>
        <w:tabs>
          <w:tab w:leader="none" w:pos="200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Notwithstanding Section 2.1(a) above, Vicis hereby agrees that, in the event that Debtor and/or any of its subsidiaries should incur any Permitted Senior Indebtedness in accordance with the terms of the Purchase Agreement, Vicis, at the option or discretion of the lender extending the financing facility underlying the Permitted Senior Indebtedness, promptly will release or expressly subordinate to such lender Vicis’ Security Interest, if any, in Accounts, security interests in client assets, loan documents, reserve accounts and the proceeds thereof, in each case to the extent that any of the foregoing secures Debtor’s or any of its subsidiaries’ obligations under any Permitted Senior Indebtedness.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8" w:name="page139"/>
    <w:bookmarkEnd w:id="138"/>
    <w:p>
      <w:pPr>
        <w:ind w:left="660"/>
        <w:spacing w:after="0"/>
        <w:tabs>
          <w:tab w:leader="none" w:pos="10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Debtor hereby represents and warrants to Vicis that:</w:t>
      </w:r>
    </w:p>
    <w:p>
      <w:pPr>
        <w:spacing w:after="0" w:line="279" w:lineRule="exact"/>
        <w:rPr>
          <w:sz w:val="20"/>
          <w:szCs w:val="20"/>
          <w:color w:val="auto"/>
        </w:rPr>
      </w:pPr>
    </w:p>
    <w:p>
      <w:pPr>
        <w:ind w:left="1720" w:hanging="415"/>
        <w:spacing w:after="0"/>
        <w:tabs>
          <w:tab w:leader="none" w:pos="17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The records of Debtor with respect to the Collateral are presently located only at the address(es)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attached to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Security Agreement.</w:t>
      </w:r>
    </w:p>
    <w:p>
      <w:pPr>
        <w:spacing w:after="0" w:line="264" w:lineRule="exact"/>
        <w:rPr>
          <w:rFonts w:ascii="Arial" w:cs="Arial" w:eastAsia="Arial" w:hAnsi="Arial"/>
          <w:sz w:val="16"/>
          <w:szCs w:val="16"/>
          <w:color w:val="auto"/>
        </w:rPr>
      </w:pPr>
    </w:p>
    <w:p>
      <w:pPr>
        <w:ind w:left="1740" w:hanging="435"/>
        <w:spacing w:after="0"/>
        <w:tabs>
          <w:tab w:leader="none" w:pos="17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The Collateral is presently located only at the location(s)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to this Security Agreement.</w:t>
      </w:r>
    </w:p>
    <w:p>
      <w:pPr>
        <w:spacing w:after="0" w:line="279" w:lineRule="exact"/>
        <w:rPr>
          <w:rFonts w:ascii="Arial" w:cs="Arial" w:eastAsia="Arial" w:hAnsi="Arial"/>
          <w:sz w:val="18"/>
          <w:szCs w:val="18"/>
          <w:color w:val="auto"/>
        </w:rPr>
      </w:pPr>
    </w:p>
    <w:p>
      <w:pPr>
        <w:ind w:left="1720" w:hanging="415"/>
        <w:spacing w:after="0"/>
        <w:tabs>
          <w:tab w:leader="none" w:pos="17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The chief executive office and chief place(s) of business of Debtor are presently located at the address(es)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to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Security Agreement.</w:t>
      </w:r>
    </w:p>
    <w:p>
      <w:pPr>
        <w:spacing w:after="0" w:line="264" w:lineRule="exact"/>
        <w:rPr>
          <w:rFonts w:ascii="Arial" w:cs="Arial" w:eastAsia="Arial" w:hAnsi="Arial"/>
          <w:sz w:val="16"/>
          <w:szCs w:val="16"/>
          <w:color w:val="auto"/>
        </w:rPr>
      </w:pPr>
    </w:p>
    <w:p>
      <w:pPr>
        <w:ind w:right="140" w:firstLine="1305"/>
        <w:spacing w:after="0" w:line="277" w:lineRule="auto"/>
        <w:tabs>
          <w:tab w:leader="none" w:pos="172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Debtor is a Michigan corporation, and its exact legal name is set forth in the definition of “Debtor” in the introductory paragraph of this Security Agreement. The organization identification number of Debtor is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to this Security Agreement.</w:t>
      </w:r>
    </w:p>
    <w:p>
      <w:pPr>
        <w:spacing w:after="0" w:line="224" w:lineRule="exact"/>
        <w:rPr>
          <w:rFonts w:ascii="Arial" w:cs="Arial" w:eastAsia="Arial" w:hAnsi="Arial"/>
          <w:sz w:val="18"/>
          <w:szCs w:val="18"/>
          <w:color w:val="auto"/>
        </w:rPr>
      </w:pPr>
    </w:p>
    <w:p>
      <w:pPr>
        <w:ind w:right="60" w:firstLine="1305"/>
        <w:spacing w:after="0" w:line="279" w:lineRule="auto"/>
        <w:tabs>
          <w:tab w:leader="none" w:pos="1712"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All of Debtor’s present patents and trademarks, if any, including those that have been registered with, or for which an application for registration has been filed in, the United States Patent and Trademark Office are listed on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attached to this Security Agreement. All of Debtor’s present copyrights registered with, or for which an application for registration has been filed in, the United States Copyright Office or any similar office or agency of any state or any other country are listed on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attached to this Security Agreement.</w:t>
      </w:r>
    </w:p>
    <w:p>
      <w:pPr>
        <w:spacing w:after="0" w:line="225" w:lineRule="exact"/>
        <w:rPr>
          <w:rFonts w:ascii="Arial" w:cs="Arial" w:eastAsia="Arial" w:hAnsi="Arial"/>
          <w:sz w:val="17"/>
          <w:szCs w:val="17"/>
          <w:color w:val="auto"/>
        </w:rPr>
      </w:pPr>
    </w:p>
    <w:p>
      <w:pPr>
        <w:ind w:left="1700" w:hanging="395"/>
        <w:spacing w:after="0"/>
        <w:tabs>
          <w:tab w:leader="none" w:pos="17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Debtor has good title to, or valid leasehold interest in, all of the Collateral, and there are no Liens on any of the Collateral except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Permitted Liens.</w:t>
      </w:r>
    </w:p>
    <w:p>
      <w:pPr>
        <w:spacing w:after="0" w:line="26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Authorization to File Financing Statements</w:t>
      </w:r>
      <w:r>
        <w:rPr>
          <w:rFonts w:ascii="Arial" w:cs="Arial" w:eastAsia="Arial" w:hAnsi="Arial"/>
          <w:sz w:val="18"/>
          <w:szCs w:val="18"/>
          <w:color w:val="auto"/>
        </w:rPr>
        <w:t>. Debtor hereby irrevocably authorizes Vicis at any time and from time to time to file in any UCC jurisdiction any initial financing statements and amendments thereto that contain any information required by part 5 of Article 9 of the UCC for the sufficiency of filing office acceptance of any financing statement or amendment, including whether Debtor is an organization, the type of organization and any state or federal organization identification number issued to Debtor. Debtor agrees to furnish any such information to Vicis promptly upon writ ten request.</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AGREEMENTS OF DEBTOR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From and after the date of this Security Agreement, and until all of the Obligations are paid in full, Debtor shall:</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44" w:right="319" w:bottom="1440" w:gutter="0" w:footer="0" w:header="0"/>
        </w:sectPr>
      </w:pPr>
    </w:p>
    <w:bookmarkStart w:id="139" w:name="page140"/>
    <w:bookmarkEnd w:id="139"/>
    <w:p>
      <w:pPr>
        <w:ind w:right="340" w:firstLine="64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Sale of Collateral</w:t>
      </w:r>
      <w:r>
        <w:rPr>
          <w:rFonts w:ascii="Arial" w:cs="Arial" w:eastAsia="Arial" w:hAnsi="Arial"/>
          <w:sz w:val="18"/>
          <w:szCs w:val="18"/>
          <w:color w:val="auto"/>
        </w:rPr>
        <w:t>. Not sell, lease, transfer or otherwise dispose of Collateral or any interest therein, except as provided for in the Purchase Agreement and for sales of Inventory in the ordinary course of business.</w:t>
      </w:r>
    </w:p>
    <w:p>
      <w:pPr>
        <w:spacing w:after="0" w:line="22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Maintenance of Security Interest</w:t>
      </w:r>
      <w:r>
        <w:rPr>
          <w:rFonts w:ascii="Arial" w:cs="Arial" w:eastAsia="Arial" w:hAnsi="Arial"/>
          <w:sz w:val="16"/>
          <w:szCs w:val="16"/>
          <w:color w:val="auto"/>
        </w:rPr>
        <w:t>.</w:t>
      </w:r>
    </w:p>
    <w:p>
      <w:pPr>
        <w:spacing w:after="0" w:line="279" w:lineRule="exact"/>
        <w:rPr>
          <w:sz w:val="20"/>
          <w:szCs w:val="20"/>
          <w:color w:val="auto"/>
        </w:rPr>
      </w:pPr>
    </w:p>
    <w:p>
      <w:pPr>
        <w:ind w:right="60" w:firstLine="1305"/>
        <w:spacing w:after="0" w:line="279" w:lineRule="auto"/>
        <w:tabs>
          <w:tab w:leader="none" w:pos="1712"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At the expense of Debtor, defend the Security Interest against any and all claims of any Person adverse to Vicis (but only to the extent the claim of such adverse Person is subordinate or junior to the interest of Vicis) and take such action and execute such financing statements and other documents as Vicis may from time to time reasonably request in writing to maintain the perfected status of the Security Interest. Debtor shall not further encumber or grant a security interest in any of the Collateral except as provided for in the Purchase Agreement.</w:t>
      </w:r>
    </w:p>
    <w:p>
      <w:pPr>
        <w:spacing w:after="0" w:line="225" w:lineRule="exact"/>
        <w:rPr>
          <w:rFonts w:ascii="Arial" w:cs="Arial" w:eastAsia="Arial" w:hAnsi="Arial"/>
          <w:sz w:val="17"/>
          <w:szCs w:val="17"/>
          <w:color w:val="auto"/>
        </w:rPr>
      </w:pPr>
    </w:p>
    <w:p>
      <w:pPr>
        <w:ind w:right="120" w:firstLine="1305"/>
        <w:spacing w:after="0" w:line="271" w:lineRule="auto"/>
        <w:tabs>
          <w:tab w:leader="none" w:pos="1722" w:val="left"/>
        </w:tabs>
        <w:numPr>
          <w:ilvl w:val="0"/>
          <w:numId w:val="125"/>
        </w:numPr>
        <w:rPr>
          <w:rFonts w:ascii="Arial" w:cs="Arial" w:eastAsia="Arial" w:hAnsi="Arial"/>
          <w:sz w:val="17"/>
          <w:szCs w:val="17"/>
          <w:color w:val="auto"/>
        </w:rPr>
      </w:pPr>
      <w:r>
        <w:rPr>
          <w:rFonts w:ascii="Arial" w:cs="Arial" w:eastAsia="Arial" w:hAnsi="Arial"/>
          <w:sz w:val="17"/>
          <w:szCs w:val="17"/>
          <w:color w:val="auto"/>
        </w:rPr>
        <w:t>Debtor further agrees to take any other commercially reasonable action reasonably requested in writing by Vicis to ensure the attachment, perfection and second priority of, and the ability of Vicis to enforce its security interest in any and all of the Collateral including, without limitation, (i) executing, delivering and, where appropriate, filing financing statements and amendments relating thereto under the UCC, to the extent, if any, that Debtor’s signature thereon is required therefor, (ii) complying with any provision of any statute, regulation or treaty of the United States as to any Collateral if compliance with such provision is a condition to attachment, perfection or priority of, or ability of Vicis to enforce, its security interest in such Collateral, (iii) taking all actions required by any earlier versions of the UCC (to the extent applicable) or by other law, as applicable in any relevant UCC jurisdiction, or by other law as applicable in any foreign jurisdiction, and (iv) obtaining waivers from landlords where any material portion of the tangible Collateral is located in form and substance reasonably satisfactory to Vicis.</w:t>
      </w:r>
    </w:p>
    <w:p>
      <w:pPr>
        <w:spacing w:after="0" w:line="23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Locations</w:t>
      </w:r>
      <w:r>
        <w:rPr>
          <w:rFonts w:ascii="Arial" w:cs="Arial" w:eastAsia="Arial" w:hAnsi="Arial"/>
          <w:sz w:val="18"/>
          <w:szCs w:val="18"/>
          <w:color w:val="auto"/>
        </w:rPr>
        <w:t xml:space="preserve">. Give Vicis at least thirty (30) days prior written notice of Debtor’s intention to relocate the tangible Collateral (other than Inventory in transit) or any of the records relating to the Collateral from the locations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to this Security Agreement, in which event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w:t>
      </w:r>
      <w:r>
        <w:rPr>
          <w:rFonts w:ascii="Arial" w:cs="Arial" w:eastAsia="Arial" w:hAnsi="Arial"/>
          <w:sz w:val="18"/>
          <w:szCs w:val="18"/>
          <w:color w:val="auto"/>
        </w:rPr>
        <w:t xml:space="preserve"> shall be deemed amended to include the new location. Any additional filings or refilings requested in writing by Vicis as a result of any such relocation in order to maintain the Security Interest in suc h Collateral shall be at Debtor’s expense.</w:t>
      </w:r>
    </w:p>
    <w:p>
      <w:pPr>
        <w:spacing w:after="0" w:line="241"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Insurance</w:t>
      </w:r>
      <w:r>
        <w:rPr>
          <w:rFonts w:ascii="Arial" w:cs="Arial" w:eastAsia="Arial" w:hAnsi="Arial"/>
          <w:sz w:val="17"/>
          <w:szCs w:val="17"/>
          <w:color w:val="auto"/>
        </w:rPr>
        <w:t>. Maintain insurance (including, without limitation, commercial general liability and property insurance) with respect to the Collateral consisting of tangible personal property in such amounts, against such risks, in such form and with responsible and reputable insurance companies or associations as is required by any governmental authority having jurisdiction with respect thereto or as is carried generally in accordance with sound business practice by companies in similar businesses similarly situated. Debtor will obtain lender’s loss payable endorsements on applicable insurance policies in favor of Vicis and will provide to Vi cis certificates of such insurance or copies thereof. Debtor shall use commercially reasonable efforts to cause each insurer to agree, by endorsement on the policy or policies or certificates of insurance issued by it or by independent instrument furnished to Vicis, that such insurer will give thirty (30) days written notice to Vicis before such policy will be altered or canceled. No settlement of any insurance claim shall be made without Vicis’s prior consent, which consent will not be unreasonably withheld, conditioned or delayed. In the event of any insured loss, Debtor shall promptly notify Vicis thereof in writing, and, after an Event of Default shall have occurred and be continuing, Debtor hereby authorizes and directs any insurer concerned to make payment of such loss directly to Vicis as its interest may appear. Vicis is authorized, in the name and on behalf of Debtor, to make proof of loss and to adjust, compromise and collect, in such manner and amounts as it reasonably shall determine, all c laims under all policies; and Debtor agrees to sign, on written demand of Vicis, all receipts, vouchers, releases and other instruments which may be necessary in aid of this authorization. After an Event of Default shall have occurred and be continuing, the proceeds of any insurance from loss, theft, or damage to the Collateral shall be held in a segregated account established by Vicis and disbursed and applied at the discretion of Vicis, either in reduction of the Obligations or applied toward the repair, restoration or replacement of the Collateral.</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40" w:name="page141"/>
    <w:bookmarkEnd w:id="140"/>
    <w:p>
      <w:pPr>
        <w:ind w:right="60" w:firstLine="648"/>
        <w:spacing w:after="0" w:line="259"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Name; Legal Status</w:t>
      </w:r>
      <w:r>
        <w:rPr>
          <w:rFonts w:ascii="Arial" w:cs="Arial" w:eastAsia="Arial" w:hAnsi="Arial"/>
          <w:sz w:val="18"/>
          <w:szCs w:val="18"/>
          <w:color w:val="auto"/>
        </w:rPr>
        <w:t>. (a) Without providing at least 30 days prior written notice to Vicis, Debtor will not change its name, its place of business or, if more than one, chief executive office, or its mailing address or organizational identification number if it has one, (b) if Debtor does not have an organizational identification number and later obtains one, Debtor shall forthwith notify Vicis of such organizational identification number, and (c) Debtor will not change its type of organization or jurisdiction of organization.</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RIGHTS AND REMEDIES</w:t>
      </w:r>
    </w:p>
    <w:p>
      <w:pPr>
        <w:spacing w:after="0" w:line="26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Right to Cure</w:t>
      </w:r>
      <w:r>
        <w:rPr>
          <w:rFonts w:ascii="Arial" w:cs="Arial" w:eastAsia="Arial" w:hAnsi="Arial"/>
          <w:sz w:val="16"/>
          <w:szCs w:val="16"/>
          <w:color w:val="auto"/>
        </w:rPr>
        <w:t>. In case of failure by Debtor after receipt of written notice from Vicis to procure or maintain insurance, or to pay any fees, assessments, charges or taxes (subject to Debtor’s right to contest in good faith, such assessments, charges or taxes) arising with respect to the Collateral, Vicis shall have the right, but shall not be obligated, to effect such insurance or pay such fees, assessments, charges or taxes, as the case may be, and, in that event, the cost thereof shall be payable by Debtor to Vicis immediately upon demand, together with interest at an annual rate of 10% from the date of disbursement by Vicis to the date of payment by Debtor. If Vicis effects any insurance on behalf of Debtor, Debtor thereafter may cancel such insurance so effected after providing Vicis with evidence that Debtor has obtained insurance as required by this Security Agreement.</w:t>
      </w:r>
    </w:p>
    <w:p>
      <w:pPr>
        <w:spacing w:after="0" w:line="219"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Rights of Parties</w:t>
      </w:r>
      <w:r>
        <w:rPr>
          <w:rFonts w:ascii="Arial" w:cs="Arial" w:eastAsia="Arial" w:hAnsi="Arial"/>
          <w:sz w:val="17"/>
          <w:szCs w:val="17"/>
          <w:color w:val="auto"/>
        </w:rPr>
        <w:t>. Upon the occurrence and during the continuance of an Event of Default, in addition to all the rights and remedies provided in the Transaction Documents or in Article 9 of the UCC and any other applicable law, Vicis may (but is under no obligation so to do):</w:t>
      </w:r>
    </w:p>
    <w:p>
      <w:pPr>
        <w:spacing w:after="0" w:line="201" w:lineRule="exact"/>
        <w:rPr>
          <w:sz w:val="20"/>
          <w:szCs w:val="20"/>
          <w:color w:val="auto"/>
        </w:rPr>
      </w:pPr>
    </w:p>
    <w:p>
      <w:pPr>
        <w:ind w:left="1720" w:hanging="415"/>
        <w:spacing w:after="0"/>
        <w:tabs>
          <w:tab w:leader="none" w:pos="17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require Debtor to assemble the Collateral at a place designated by Vicis, which is reasonably convenient to the parties; and</w:t>
      </w:r>
    </w:p>
    <w:p>
      <w:pPr>
        <w:spacing w:after="0" w:line="290" w:lineRule="exact"/>
        <w:rPr>
          <w:rFonts w:ascii="Arial" w:cs="Arial" w:eastAsia="Arial" w:hAnsi="Arial"/>
          <w:sz w:val="17"/>
          <w:szCs w:val="17"/>
          <w:color w:val="auto"/>
        </w:rPr>
      </w:pPr>
    </w:p>
    <w:p>
      <w:pPr>
        <w:ind w:firstLine="1305"/>
        <w:spacing w:after="0" w:line="264" w:lineRule="auto"/>
        <w:tabs>
          <w:tab w:leader="none" w:pos="172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take physical possession of Inventory and other tangible Collateral and of Debtor’s records pertaining to all Collateral that are necessary to properly administer and control the Collateral or the handling and collection of Collateral, and sell, lease or otherwise dispose of the Collateral in a commercially reasonable manner in whole or in part, at public or private sale, on or off the premises of Debtor; and</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141" w:name="page142"/>
    <w:bookmarkEnd w:id="141"/>
    <w:p>
      <w:pPr>
        <w:ind w:left="1720" w:hanging="415"/>
        <w:spacing w:after="0"/>
        <w:tabs>
          <w:tab w:leader="none" w:pos="17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collect any and all money due or to become due and enforce in Debtor’s name all rights with respect to the Collateral; and</w:t>
      </w:r>
    </w:p>
    <w:p>
      <w:pPr>
        <w:spacing w:after="0" w:line="290" w:lineRule="exact"/>
        <w:rPr>
          <w:rFonts w:ascii="Arial" w:cs="Arial" w:eastAsia="Arial" w:hAnsi="Arial"/>
          <w:sz w:val="17"/>
          <w:szCs w:val="17"/>
          <w:color w:val="auto"/>
        </w:rPr>
      </w:pPr>
    </w:p>
    <w:p>
      <w:pPr>
        <w:ind w:left="1740" w:hanging="435"/>
        <w:spacing w:after="0"/>
        <w:tabs>
          <w:tab w:leader="none" w:pos="17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settle, adjust or compromise any dispute with respect to any Account; and</w:t>
      </w:r>
    </w:p>
    <w:p>
      <w:pPr>
        <w:spacing w:after="0" w:line="279" w:lineRule="exact"/>
        <w:rPr>
          <w:rFonts w:ascii="Arial" w:cs="Arial" w:eastAsia="Arial" w:hAnsi="Arial"/>
          <w:sz w:val="18"/>
          <w:szCs w:val="18"/>
          <w:color w:val="auto"/>
        </w:rPr>
      </w:pPr>
    </w:p>
    <w:p>
      <w:pPr>
        <w:ind w:left="1720" w:hanging="415"/>
        <w:spacing w:after="0"/>
        <w:tabs>
          <w:tab w:leader="none" w:pos="17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receive and open mail addressed to Debtor; and</w:t>
      </w:r>
    </w:p>
    <w:p>
      <w:pPr>
        <w:spacing w:after="0" w:line="279" w:lineRule="exact"/>
        <w:rPr>
          <w:rFonts w:ascii="Arial" w:cs="Arial" w:eastAsia="Arial" w:hAnsi="Arial"/>
          <w:sz w:val="18"/>
          <w:szCs w:val="18"/>
          <w:color w:val="auto"/>
        </w:rPr>
      </w:pPr>
    </w:p>
    <w:p>
      <w:pPr>
        <w:ind w:left="1700" w:hanging="395"/>
        <w:spacing w:after="0"/>
        <w:tabs>
          <w:tab w:leader="none" w:pos="17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on behalf of Debtor, endorse checks, notes, drafts, money orders, instruments or other evidences of payment.</w:t>
      </w:r>
    </w:p>
    <w:p>
      <w:pPr>
        <w:spacing w:after="0" w:line="27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Power of Attorney</w:t>
      </w:r>
      <w:r>
        <w:rPr>
          <w:rFonts w:ascii="Arial" w:cs="Arial" w:eastAsia="Arial" w:hAnsi="Arial"/>
          <w:sz w:val="18"/>
          <w:szCs w:val="18"/>
          <w:color w:val="auto"/>
        </w:rPr>
        <w:t>. Upon the occurrence and during the continuance of an Event of Default, Debtor does hereby constitute and appoint Vicis as Debtor’s true and lawful attorney with full power of substitution for Debtor in Debtor’s name, place and stead for the purposes of performing any obligation of Debtor under this Security Agreement and taking any action and executing any instrument which Vicis may deem necessary or advisable to perform any obligation of Debtor under this Security Agreement, which appointment is irrevocable and coupled with an interest, and shall not terminate until the Obligations are paid in full.</w:t>
      </w:r>
    </w:p>
    <w:p>
      <w:pPr>
        <w:spacing w:after="0" w:line="24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Right to Collect Accounts</w:t>
      </w:r>
      <w:r>
        <w:rPr>
          <w:rFonts w:ascii="Arial" w:cs="Arial" w:eastAsia="Arial" w:hAnsi="Arial"/>
          <w:sz w:val="18"/>
          <w:szCs w:val="18"/>
          <w:color w:val="auto"/>
        </w:rPr>
        <w:t>. Upon the occurrence and during the continuance of an Event of Default, and without limiting Debtor’s obligations under the Transaction Documents: (a) Debtor authorizes Vicis to notify any and all debtors on the Accounts to make payment directly to Vicis (or to such place as Vicis may direct); (b) Debtor agrees, on written notice from Vicis, to deliver to Vicis promptly after receipt thereof, in the form in which received (together with all necessary endorsements), all payments received by Debtor on account of any Account; and (c) Vicis may, at its option, apply all such payments against the Obligations or remit all or part of such payments to Debtor.</w:t>
      </w:r>
    </w:p>
    <w:p>
      <w:pPr>
        <w:spacing w:after="0" w:line="242"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Reasonable Notice</w:t>
      </w:r>
      <w:r>
        <w:rPr>
          <w:rFonts w:ascii="Arial" w:cs="Arial" w:eastAsia="Arial" w:hAnsi="Arial"/>
          <w:sz w:val="16"/>
          <w:szCs w:val="16"/>
          <w:color w:val="auto"/>
        </w:rPr>
        <w:t>. Written notice, when required by law, sent in accordance with the provisions of Section 12.6 of the Purchase Agreement and given at least ten (10) calendar days (counting the day of sending) before the date of a proposed disposition of the Collateral shall be reasonable notice.</w:t>
      </w:r>
    </w:p>
    <w:p>
      <w:pPr>
        <w:spacing w:after="0" w:line="178"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Limitation on Duties Regarding Collateral</w:t>
      </w:r>
      <w:r>
        <w:rPr>
          <w:rFonts w:ascii="Arial" w:cs="Arial" w:eastAsia="Arial" w:hAnsi="Arial"/>
          <w:sz w:val="16"/>
          <w:szCs w:val="16"/>
          <w:color w:val="auto"/>
        </w:rPr>
        <w:t>. The sole duty of Vicis with respect to the custody, safekeeping and physical preservation of the Collateral in its possession, under Section 9-207 of the UCC or otherwise, shall be to deal with it in the same manner as Vicis deals with similar property for its own account. Neither Vicis nor any of its directors, officers, employees or agents, shall be liable for failure to demand, collect or realize upon any of the Collateral or for any delay in doing so or shall be under any obligation to sell or otherwise dispose of any Collateral upon the request of Debtor or otherwise.</w:t>
      </w:r>
    </w:p>
    <w:p>
      <w:pPr>
        <w:spacing w:after="0" w:line="20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Lock Box; Collateral Account</w:t>
      </w:r>
      <w:r>
        <w:rPr>
          <w:rFonts w:ascii="Arial" w:cs="Arial" w:eastAsia="Arial" w:hAnsi="Arial"/>
          <w:sz w:val="16"/>
          <w:szCs w:val="16"/>
          <w:color w:val="auto"/>
        </w:rPr>
        <w:t xml:space="preserve">. This Section 4.7 shall be effective only upon the occurrence and during the continuance of an Event of Default. If Vicis so requests in writing, Debtor will direct each of its debtors on the Accounts to make payments due under the relevant Account or chattel paper directly to a special lock box to be under the control of Vicis. Debtor hereby authorizes and directs Vicis to deposit into a special collateral account to be established and maintained by Vicis all checks, drafts and cash payments received in said lock box. All deposits in said collateral account shall constitute proceeds of Collate ral and shall not constitute payment of any Obligation until so applied. At its option, Vicis may, at any time, apply finally collected funds on deposit in said collateral account to the payment of the Obligations, in the order of application set forth in </w:t>
      </w:r>
      <w:r>
        <w:rPr>
          <w:rFonts w:ascii="Arial" w:cs="Arial" w:eastAsia="Arial" w:hAnsi="Arial"/>
          <w:sz w:val="16"/>
          <w:szCs w:val="16"/>
          <w:u w:val="single" w:color="auto"/>
          <w:color w:val="auto"/>
        </w:rPr>
        <w:t>Section 4.8</w:t>
      </w:r>
      <w:r>
        <w:rPr>
          <w:rFonts w:ascii="Arial" w:cs="Arial" w:eastAsia="Arial" w:hAnsi="Arial"/>
          <w:sz w:val="16"/>
          <w:szCs w:val="16"/>
          <w:color w:val="auto"/>
        </w:rPr>
        <w:t>, or permit Debtor to withdraw all or any part of the balance on deposit in said collateral account. If a collateral account is so established, Debtor agrees that it will promptly deliver to Vicis, for deposit into said collateral account, all payments on Accounts and chattel paper received by it. All such payments shall be delivered to Vicis in the form received (except for Debtor’s endorsement where necessary). Until so deposited, all payments on Accounts and chattel paper received by Debtor shall be held in trust by Debtor for and as the property of Vicis and shall not be commingled with any funds or property of Debtor.</w:t>
      </w: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44" w:right="319" w:bottom="1440" w:gutter="0" w:footer="0" w:header="0"/>
        </w:sectPr>
      </w:pPr>
    </w:p>
    <w:bookmarkStart w:id="142" w:name="page143"/>
    <w:bookmarkEnd w:id="142"/>
    <w:p>
      <w:pPr>
        <w:ind w:left="660"/>
        <w:spacing w:after="0"/>
        <w:tabs>
          <w:tab w:leader="none" w:pos="108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u w:val="single" w:color="auto"/>
          <w:color w:val="auto"/>
        </w:rPr>
        <w:t>Application of Proceeds</w:t>
      </w:r>
      <w:r>
        <w:rPr>
          <w:rFonts w:ascii="Arial" w:cs="Arial" w:eastAsia="Arial" w:hAnsi="Arial"/>
          <w:sz w:val="16"/>
          <w:szCs w:val="16"/>
          <w:color w:val="auto"/>
        </w:rPr>
        <w:t>. Vicis shall apply the proceeds resulting from any sale or disposition of the Collateral in the following order:</w:t>
      </w:r>
    </w:p>
    <w:p>
      <w:pPr>
        <w:spacing w:after="0" w:line="279" w:lineRule="exact"/>
        <w:rPr>
          <w:sz w:val="20"/>
          <w:szCs w:val="20"/>
          <w:color w:val="auto"/>
        </w:rPr>
      </w:pPr>
    </w:p>
    <w:p>
      <w:pPr>
        <w:ind w:left="1720" w:hanging="415"/>
        <w:spacing w:after="0"/>
        <w:tabs>
          <w:tab w:leader="none" w:pos="17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the reasonable costs of any sale or other disposition;</w:t>
      </w:r>
    </w:p>
    <w:p>
      <w:pPr>
        <w:spacing w:after="0" w:line="279" w:lineRule="exact"/>
        <w:rPr>
          <w:rFonts w:ascii="Arial" w:cs="Arial" w:eastAsia="Arial" w:hAnsi="Arial"/>
          <w:sz w:val="18"/>
          <w:szCs w:val="18"/>
          <w:color w:val="auto"/>
        </w:rPr>
      </w:pPr>
    </w:p>
    <w:p>
      <w:pPr>
        <w:ind w:left="1740" w:hanging="435"/>
        <w:spacing w:after="0"/>
        <w:tabs>
          <w:tab w:leader="none" w:pos="17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the reasonable expenses incurred by Vicis in connection with any sale or other disposition, including attorneys’ fees;</w:t>
      </w:r>
    </w:p>
    <w:p>
      <w:pPr>
        <w:spacing w:after="0" w:line="279" w:lineRule="exact"/>
        <w:rPr>
          <w:rFonts w:ascii="Arial" w:cs="Arial" w:eastAsia="Arial" w:hAnsi="Arial"/>
          <w:sz w:val="18"/>
          <w:szCs w:val="18"/>
          <w:color w:val="auto"/>
        </w:rPr>
      </w:pPr>
    </w:p>
    <w:p>
      <w:pPr>
        <w:ind w:left="1720" w:hanging="415"/>
        <w:spacing w:after="0"/>
        <w:tabs>
          <w:tab w:leader="none" w:pos="17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to the payment of the Obligations then due and owing in any order selected by Vicis in a commercially reasonable manner; and</w:t>
      </w:r>
    </w:p>
    <w:p>
      <w:pPr>
        <w:spacing w:after="0" w:line="302" w:lineRule="exact"/>
        <w:rPr>
          <w:rFonts w:ascii="Arial" w:cs="Arial" w:eastAsia="Arial" w:hAnsi="Arial"/>
          <w:sz w:val="16"/>
          <w:szCs w:val="16"/>
          <w:color w:val="auto"/>
        </w:rPr>
      </w:pPr>
    </w:p>
    <w:p>
      <w:pPr>
        <w:ind w:left="1740" w:hanging="435"/>
        <w:spacing w:after="0"/>
        <w:tabs>
          <w:tab w:leader="none" w:pos="17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Debtor.</w:t>
      </w:r>
    </w:p>
    <w:p>
      <w:pPr>
        <w:spacing w:after="0" w:line="27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Other Remedies</w:t>
      </w:r>
      <w:r>
        <w:rPr>
          <w:rFonts w:ascii="Arial" w:cs="Arial" w:eastAsia="Arial" w:hAnsi="Arial"/>
          <w:sz w:val="18"/>
          <w:szCs w:val="18"/>
          <w:color w:val="auto"/>
        </w:rPr>
        <w:t>. No remedy herein conferred upon Vicis is intended to be exclusive of any other remedy, and each and every such remedy shall be cumulative and shall be in addition to every other remedy given under this Security Agreement and the Transaction Documents now or hereafter existing at law or in equity or by statute or otherwise. No failure or delay on the part of Vicis in exercising any right or remedy hereunder shall operate as a waiver thereof nor shall any single or partial exercise of any right hereunder preclude other or further exercise thereof or the exercise of any other right or remedy.</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MISCELLANEOUS</w:t>
      </w:r>
    </w:p>
    <w:p>
      <w:pPr>
        <w:spacing w:after="0" w:line="265" w:lineRule="exact"/>
        <w:rPr>
          <w:sz w:val="20"/>
          <w:szCs w:val="20"/>
          <w:color w:val="auto"/>
        </w:rPr>
      </w:pPr>
    </w:p>
    <w:p>
      <w:pPr>
        <w:jc w:val="both"/>
        <w:ind w:right="500" w:firstLine="648"/>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Expenses and Attorneys’ Fees</w:t>
      </w:r>
      <w:r>
        <w:rPr>
          <w:rFonts w:ascii="Arial" w:cs="Arial" w:eastAsia="Arial" w:hAnsi="Arial"/>
          <w:sz w:val="18"/>
          <w:szCs w:val="18"/>
          <w:color w:val="auto"/>
        </w:rPr>
        <w:t>. Debtor shall pay all fees and expenses incurred by Vicis, including the reasonable fees of counsel, in connection with the protection, administration and enforcement of the rights of Vicis under this Security Agreement or with respect to the Collateral, including without limitation the protection and enforcement of such rights in any bankruptcy.</w:t>
      </w:r>
    </w:p>
    <w:p>
      <w:pPr>
        <w:spacing w:after="0" w:line="23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Setoff</w:t>
      </w:r>
      <w:r>
        <w:rPr>
          <w:rFonts w:ascii="Arial" w:cs="Arial" w:eastAsia="Arial" w:hAnsi="Arial"/>
          <w:sz w:val="18"/>
          <w:szCs w:val="18"/>
          <w:color w:val="auto"/>
        </w:rPr>
        <w:t>. Debtor agrees that, upon the occurrence and during the continuance of an Event of Default, Vicis shall have all rights of setoff and bankers’ lien provided by applicable law.</w:t>
      </w:r>
    </w:p>
    <w:p>
      <w:pPr>
        <w:spacing w:after="0" w:line="22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Assignability; Successors</w:t>
      </w:r>
      <w:r>
        <w:rPr>
          <w:rFonts w:ascii="Arial" w:cs="Arial" w:eastAsia="Arial" w:hAnsi="Arial"/>
          <w:sz w:val="18"/>
          <w:szCs w:val="18"/>
          <w:color w:val="auto"/>
        </w:rPr>
        <w:t>. Debtor’s rights and liabilities under this Security Agreement are not assignable or delegable, in whole or in part, without the prior written consent of Vicis. The provisions of this Security Agreement shall inure to the benefit of and be binding upon the successors and assigns of the parties.</w:t>
      </w:r>
    </w:p>
    <w:p>
      <w:pPr>
        <w:spacing w:after="0" w:line="3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544" w:right="439" w:bottom="1440" w:gutter="0" w:footer="0" w:header="0"/>
        </w:sectPr>
      </w:pPr>
    </w:p>
    <w:bookmarkStart w:id="143" w:name="page144"/>
    <w:bookmarkEnd w:id="143"/>
    <w:p>
      <w:pPr>
        <w:ind w:right="500" w:firstLine="648"/>
        <w:spacing w:after="0" w:line="308"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Survival</w:t>
      </w:r>
      <w:r>
        <w:rPr>
          <w:rFonts w:ascii="Arial" w:cs="Arial" w:eastAsia="Arial" w:hAnsi="Arial"/>
          <w:sz w:val="17"/>
          <w:szCs w:val="17"/>
          <w:color w:val="auto"/>
        </w:rPr>
        <w:t>. All agreements, representations and warranties made in this Security Agreement or in any document delivered pursuant to this Security Agreement shall survive the execution and delivery of this Security Agreement, and the delivery of any such document.</w:t>
      </w:r>
    </w:p>
    <w:p>
      <w:pPr>
        <w:spacing w:after="0" w:line="20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Security Agreement shall be governed by, and construed and interpreted in accordance with, the laws of the State of Florida applicable to contracts made and wholly performed within such state.</w:t>
      </w:r>
    </w:p>
    <w:p>
      <w:pPr>
        <w:spacing w:after="0" w:line="224"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Execution; Headings</w:t>
      </w:r>
      <w:r>
        <w:rPr>
          <w:rFonts w:ascii="Arial" w:cs="Arial" w:eastAsia="Arial" w:hAnsi="Arial"/>
          <w:sz w:val="18"/>
          <w:szCs w:val="18"/>
          <w:color w:val="auto"/>
        </w:rPr>
        <w:t>. This Security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such signature shall create a valid and binding obligation of the party executing (or on whose behalf such signature is executed) with the same force and effect as if such facsimile signature page were an original thereof. 0; The article and section headings in this Security Agreement are inserted for convenience of reference only and shall not constitute a part hereof.</w:t>
      </w:r>
    </w:p>
    <w:p>
      <w:pPr>
        <w:spacing w:after="0" w:line="24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or notices required or permitted by this Security Agreement shall be given to Debtor (to be delivered care of Issuer) in accordance with Section 12.6 of the Purchase Agreement.</w:t>
      </w:r>
    </w:p>
    <w:p>
      <w:pPr>
        <w:spacing w:after="0" w:line="22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No amendment of this Security Agreement shall be effective unless in writing and signed by Debtor and Vicis.</w:t>
      </w:r>
    </w:p>
    <w:p>
      <w:pPr>
        <w:spacing w:after="0" w:line="27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Security Agreement which is prohibited or unenforceable in any jurisdiction shall, as to such jurisdiction, be ineffective to the extent of such prohibition or unenforceability without invalidating the remaining provisions of this Security Agreement in such jurisdiction or affecting the validity or enforceability of any provision in any other jurisdiction.</w:t>
      </w:r>
    </w:p>
    <w:p>
      <w:pPr>
        <w:spacing w:after="0" w:line="23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WAIVER OF RIGHT TO JURY TRIAL</w:t>
      </w:r>
      <w:r>
        <w:rPr>
          <w:rFonts w:ascii="Arial" w:cs="Arial" w:eastAsia="Arial" w:hAnsi="Arial"/>
          <w:sz w:val="18"/>
          <w:szCs w:val="18"/>
          <w:color w:val="auto"/>
        </w:rPr>
        <w:t>. EACH OF THE PARTIES HERETO IRREVOCABLY WAIVES, TO THE FULLEST EXTENT PERMITTED BY LAW, ANY RIGHT TO TRIAL BY JURY IN ANY LEGAL PROCEEDING ARISING OUT OF ANY CONTROVERSY THAT MAY ARISE UNDER THIS SECURITY AGREEMENT.</w:t>
      </w:r>
    </w:p>
    <w:p>
      <w:pPr>
        <w:spacing w:after="0" w:line="23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w:t>
      </w:r>
    </w:p>
    <w:p>
      <w:pPr>
        <w:spacing w:after="0" w:line="252" w:lineRule="exact"/>
        <w:rPr>
          <w:sz w:val="20"/>
          <w:szCs w:val="20"/>
          <w:color w:val="auto"/>
        </w:rPr>
      </w:pPr>
    </w:p>
    <w:p>
      <w:pPr>
        <w:jc w:val="both"/>
        <w:ind w:firstLine="1305"/>
        <w:spacing w:after="0" w:line="273" w:lineRule="auto"/>
        <w:tabs>
          <w:tab w:leader="none" w:pos="2207" w:val="left"/>
        </w:tabs>
        <w:numPr>
          <w:ilvl w:val="0"/>
          <w:numId w:val="129"/>
        </w:numPr>
        <w:rPr>
          <w:rFonts w:ascii="Arial" w:cs="Arial" w:eastAsia="Arial" w:hAnsi="Arial"/>
          <w:sz w:val="17"/>
          <w:szCs w:val="17"/>
          <w:color w:val="auto"/>
        </w:rPr>
      </w:pPr>
      <w:r>
        <w:rPr>
          <w:rFonts w:ascii="Arial" w:cs="Arial" w:eastAsia="Arial" w:hAnsi="Arial"/>
          <w:sz w:val="17"/>
          <w:szCs w:val="17"/>
          <w:color w:val="auto"/>
        </w:rPr>
        <w:t>EACH OF THE PARTIES TO THIS SECURITY AGREEMENT HEREBY IRREVOCABLY AND UNCONDITIONALLY SUBMITS TO THE EXCLUSIVE JURISDICTION OF THE STATE AND FEDERAL COURTS LOCATED THE STATE OF FLORIDA FOR PURPOSES OF ALL LEGAL PROCEEDINGS ARISING OUT OF OR RELATING TO THIS SECURITY AGREEMENT. EACH OF THE PARTIES TO THIS SECURITY AGREEMENT IRREVOCABLY WAIVES, TO THE FULLEST EXTENT PERMITTED BY LAW, ANY OBJECTION THAT SUCH PARTY MAY NOW OR HEREAFTER HAVE TO THE LAYING OF THE VENUE OF ANY SUCH PROCEEDING BROUGHT IN ANY SUCH COURTS AND ANY CLAIM THAT ANY SUCH PROCEEDING BROUGHT IN ANY SUCH COURTS HAS BEEN BROUGHT IN AN INCONVENIENT FORUM.</w:t>
      </w:r>
    </w:p>
    <w:p>
      <w:pPr>
        <w:spacing w:after="0" w:line="205" w:lineRule="exact"/>
        <w:rPr>
          <w:rFonts w:ascii="Arial" w:cs="Arial" w:eastAsia="Arial" w:hAnsi="Arial"/>
          <w:sz w:val="17"/>
          <w:szCs w:val="17"/>
          <w:color w:val="auto"/>
        </w:rPr>
      </w:pPr>
    </w:p>
    <w:p>
      <w:pPr>
        <w:jc w:val="both"/>
        <w:ind w:firstLine="1305"/>
        <w:spacing w:after="0" w:line="259" w:lineRule="auto"/>
        <w:tabs>
          <w:tab w:leader="none" w:pos="221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EACH OF THE PARTIES TO THIS SECURITY AGREEMENT HEREBY CONSENTS TO SERVICE OF PROCESS BY NOTICE IN THE MANNER SPECIFIED IN SECTION 12.6 OF THE PURCHASE AGREEMENT AND IRREVOCABLY WAIVES, TO THE FULLEST EXTENT PERMITTED BY LAW, ANY OBJECTION SUCH PARTY MAY NOW OR HEREAFTER HAVE TO SERVICE OF PROCESS IN SUCH MANNER. DEBTOR AGREES THAT SERVICE OF PROCESS MAY BE DELIVERED CARE OF ISSUER.</w:t>
      </w:r>
    </w:p>
    <w:p>
      <w:pPr>
        <w:spacing w:after="0" w:line="24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Effect of Amendment and Restatement</w:t>
      </w:r>
      <w:r>
        <w:rPr>
          <w:rFonts w:ascii="Arial" w:cs="Arial" w:eastAsia="Arial" w:hAnsi="Arial"/>
          <w:sz w:val="18"/>
          <w:szCs w:val="18"/>
          <w:color w:val="auto"/>
        </w:rPr>
        <w:t>. This Security Agreement amends and restates the September Security Agreement and shall not be construed to be a substitution or novation of the September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44" w:name="page145"/>
    <w:bookmarkEnd w:id="144"/>
    <w:p>
      <w:pPr>
        <w:ind w:left="660"/>
        <w:spacing w:after="0"/>
        <w:rPr>
          <w:sz w:val="20"/>
          <w:szCs w:val="20"/>
          <w:color w:val="auto"/>
        </w:rPr>
      </w:pPr>
      <w:r>
        <w:rPr>
          <w:rFonts w:ascii="Arial" w:cs="Arial" w:eastAsia="Arial" w:hAnsi="Arial"/>
          <w:sz w:val="16"/>
          <w:szCs w:val="16"/>
          <w:color w:val="auto"/>
        </w:rPr>
        <w:t>IN WITNESS WHEREOF, this Amended and Restated Guarantor Security Agreement has been executed as of the day and year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H.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H. 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PURCHASER: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VICIS CAPITAL MASTER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Vicis Capital LLC</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7"/>
                <w:szCs w:val="17"/>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/s/ Keith W. Hughes</w:t>
            </w: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1760" w:type="dxa"/>
            <w:vAlign w:val="bottom"/>
            <w:gridSpan w:val="3"/>
          </w:tcPr>
          <w:p>
            <w:pPr>
              <w:ind w:left="80"/>
              <w:spacing w:after="0"/>
              <w:rPr>
                <w:sz w:val="20"/>
                <w:szCs w:val="20"/>
                <w:color w:val="auto"/>
              </w:rPr>
            </w:pPr>
            <w:r>
              <w:rPr>
                <w:rFonts w:ascii="Arial" w:cs="Arial" w:eastAsia="Arial" w:hAnsi="Arial"/>
                <w:sz w:val="18"/>
                <w:szCs w:val="18"/>
                <w:color w:val="auto"/>
              </w:rPr>
              <w:t>Keith W. Hughes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1760" w:type="dxa"/>
            <w:vAlign w:val="bottom"/>
            <w:gridSpan w:val="3"/>
          </w:tcPr>
          <w:p>
            <w:pPr>
              <w:ind w:left="80"/>
              <w:spacing w:after="0"/>
              <w:rPr>
                <w:sz w:val="20"/>
                <w:szCs w:val="20"/>
                <w:color w:val="auto"/>
              </w:rPr>
            </w:pPr>
            <w:r>
              <w:rPr>
                <w:rFonts w:ascii="Arial" w:cs="Arial" w:eastAsia="Arial" w:hAnsi="Arial"/>
                <w:sz w:val="18"/>
                <w:szCs w:val="18"/>
                <w:color w:val="auto"/>
                <w:w w:val="93"/>
              </w:rPr>
              <w:t>Chief Financial Officer</w:t>
            </w:r>
          </w:p>
        </w:tc>
      </w:tr>
    </w:tbl>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17" w:right="379" w:bottom="1440" w:gutter="0" w:footer="0" w:header="0"/>
        </w:sectPr>
      </w:pPr>
    </w:p>
    <w:bookmarkStart w:id="145" w:name="page146"/>
    <w:bookmarkEnd w:id="145"/>
    <w:p>
      <w:pPr>
        <w:jc w:val="center"/>
        <w:ind w:right="-1200"/>
        <w:spacing w:after="0"/>
        <w:rPr>
          <w:sz w:val="20"/>
          <w:szCs w:val="20"/>
          <w:color w:val="auto"/>
        </w:rPr>
      </w:pPr>
      <w:r>
        <w:rPr>
          <w:rFonts w:ascii="Arial" w:cs="Arial" w:eastAsia="Arial" w:hAnsi="Arial"/>
          <w:sz w:val="17"/>
          <w:szCs w:val="17"/>
          <w:u w:val="single" w:color="auto"/>
          <w:color w:val="auto"/>
        </w:rPr>
        <w:t>SCHEDULE 1 TO GUARANTOR SECURITY AGREEMENT</w:t>
      </w:r>
    </w:p>
    <w:p>
      <w:pPr>
        <w:spacing w:after="0" w:line="26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Locations of Collateral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ID: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Michigan Corp. Identification Number: 01086G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of Debtor’s records of Collateral and chief executive office: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407 Sixth Street, Rochester, MI 48307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Locations: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407 Sixth Street, Rochester, MI 48307</w:t>
      </w:r>
    </w:p>
    <w:p>
      <w:pPr>
        <w:spacing w:after="0" w:line="200" w:lineRule="exact"/>
        <w:rPr>
          <w:sz w:val="20"/>
          <w:szCs w:val="20"/>
          <w:color w:val="auto"/>
        </w:rPr>
      </w:pPr>
    </w:p>
    <w:p>
      <w:pPr>
        <w:spacing w:after="0" w:line="20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146" w:name="page147"/>
    <w:bookmarkEnd w:id="146"/>
    <w:p>
      <w:pPr>
        <w:jc w:val="center"/>
        <w:ind w:right="-1200"/>
        <w:spacing w:after="0"/>
        <w:rPr>
          <w:sz w:val="20"/>
          <w:szCs w:val="20"/>
          <w:color w:val="auto"/>
        </w:rPr>
      </w:pPr>
      <w:r>
        <w:rPr>
          <w:rFonts w:ascii="Arial" w:cs="Arial" w:eastAsia="Arial" w:hAnsi="Arial"/>
          <w:sz w:val="17"/>
          <w:szCs w:val="17"/>
          <w:u w:val="single" w:color="auto"/>
          <w:color w:val="auto"/>
        </w:rPr>
        <w:t>SCHEDULE 2 TO GUARANTOR SECURITY AGREEMENT</w:t>
      </w:r>
    </w:p>
    <w:p>
      <w:pPr>
        <w:spacing w:after="0" w:line="26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Intellectual Property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Trademarks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Copyrights</w:t>
      </w:r>
    </w:p>
    <w:p>
      <w:pPr>
        <w:spacing w:after="0" w:line="200" w:lineRule="exact"/>
        <w:rPr>
          <w:sz w:val="20"/>
          <w:szCs w:val="20"/>
          <w:color w:val="auto"/>
        </w:rPr>
      </w:pP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147" w:name="page148"/>
    <w:bookmarkEnd w:id="1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1)"/>
      <w:numFmt w:val="lowerLetter"/>
      <w:start w:val="4"/>
    </w:lvl>
  </w:abstractNum>
  <w:abstractNum w:abstractNumId="2">
    <w:nsid w:val="1DBABF00"/>
    <w:multiLevelType w:val="hybridMultilevel"/>
    <w:lvl w:ilvl="0">
      <w:lvlJc w:val="left"/>
      <w:lvlText w:val="%1."/>
      <w:numFmt w:val="decimal"/>
      <w:start w:val="1"/>
    </w:lvl>
  </w:abstractNum>
  <w:abstractNum w:abstractNumId="3">
    <w:nsid w:val="4AD084E9"/>
    <w:multiLevelType w:val="hybridMultilevel"/>
    <w:lvl w:ilvl="0">
      <w:lvlJc w:val="left"/>
      <w:lvlText w:val="%1."/>
      <w:numFmt w:val="decimal"/>
      <w:start w:val="3"/>
    </w:lvl>
  </w:abstractNum>
  <w:abstractNum w:abstractNumId="4">
    <w:nsid w:val="1F48EAA1"/>
    <w:multiLevelType w:val="hybridMultilevel"/>
    <w:lvl w:ilvl="0">
      <w:lvlJc w:val="left"/>
      <w:lvlText w:val="%1."/>
      <w:numFmt w:val="decimal"/>
      <w:start w:val="5"/>
    </w:lvl>
  </w:abstractNum>
  <w:abstractNum w:abstractNumId="5">
    <w:nsid w:val="1381823A"/>
    <w:multiLevelType w:val="hybridMultilevel"/>
    <w:lvl w:ilvl="0">
      <w:lvlJc w:val="left"/>
      <w:lvlText w:val="%1."/>
      <w:numFmt w:val="decimal"/>
      <w:start w:val="6"/>
    </w:lvl>
  </w:abstractNum>
  <w:abstractNum w:abstractNumId="6">
    <w:nsid w:val="5DB70AE5"/>
    <w:multiLevelType w:val="hybridMultilevel"/>
    <w:lvl w:ilvl="0">
      <w:lvlJc w:val="left"/>
      <w:lvlText w:val="(%1)"/>
      <w:numFmt w:val="decimal"/>
      <w:start w:val="1"/>
    </w:lvl>
    <w:lvl w:ilvl="1">
      <w:lvlJc w:val="left"/>
      <w:lvlText w:val="(%2)"/>
      <w:numFmt w:val="decimal"/>
      <w:start w:val="2"/>
    </w:lvl>
  </w:abstractNum>
  <w:abstractNum w:abstractNumId="7">
    <w:nsid w:val="100F8FC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
    <w:nsid w:val="6590700B"/>
    <w:multiLevelType w:val="hybridMultilevel"/>
    <w:lvl w:ilvl="0">
      <w:lvlJc w:val="left"/>
      <w:lvlText w:val="(%1)"/>
      <w:numFmt w:val="lowerLetter"/>
      <w:start w:val="1"/>
    </w:lvl>
  </w:abstractNum>
  <w:abstractNum w:abstractNumId="9">
    <w:nsid w:val="15014ACB"/>
    <w:multiLevelType w:val="hybridMultilevel"/>
    <w:lvl w:ilvl="0">
      <w:lvlJc w:val="left"/>
      <w:lvlText w:val="(%1)"/>
      <w:numFmt w:val="lowerLetter"/>
      <w:start w:val="3"/>
    </w:lvl>
  </w:abstractNum>
  <w:abstractNum w:abstractNumId="10">
    <w:nsid w:val="5F5E7FD0"/>
    <w:multiLevelType w:val="hybridMultilevel"/>
    <w:lvl w:ilvl="0">
      <w:lvlJc w:val="left"/>
      <w:lvlText w:val="(%1)"/>
      <w:numFmt w:val="lowerLetter"/>
      <w:start w:val="1"/>
    </w:lvl>
    <w:lvl w:ilvl="1">
      <w:lvlJc w:val="left"/>
      <w:lvlText w:val="(%2)"/>
      <w:numFmt w:val="lowerRoman"/>
      <w:start w:val="1"/>
    </w:lvl>
  </w:abstractNum>
  <w:abstractNum w:abstractNumId="11">
    <w:nsid w:val="98A3148"/>
    <w:multiLevelType w:val="hybridMultilevel"/>
    <w:lvl w:ilvl="0">
      <w:lvlJc w:val="left"/>
      <w:lvlText w:val="(%1)"/>
      <w:numFmt w:val="lowerRoman"/>
      <w:start w:val="2"/>
    </w:lvl>
  </w:abstractNum>
  <w:abstractNum w:abstractNumId="12">
    <w:nsid w:val="799D0247"/>
    <w:multiLevelType w:val="hybridMultilevel"/>
    <w:lvl w:ilvl="0">
      <w:lvlJc w:val="left"/>
      <w:lvlText w:val="(%1)"/>
      <w:numFmt w:val="lowerRoman"/>
      <w:start w:val="4"/>
    </w:lvl>
    <w:lvl w:ilvl="1">
      <w:lvlJc w:val="left"/>
      <w:lvlText w:val="(%2)"/>
      <w:numFmt w:val="upperLetter"/>
      <w:start w:val="1"/>
    </w:lvl>
  </w:abstractNum>
  <w:abstractNum w:abstractNumId="13">
    <w:nsid w:val="6B94764"/>
    <w:multiLevelType w:val="hybridMultilevel"/>
    <w:lvl w:ilvl="0">
      <w:lvlJc w:val="left"/>
      <w:lvlText w:val="(%1)"/>
      <w:numFmt w:val="lowerLetter"/>
      <w:start w:val="2"/>
    </w:lvl>
  </w:abstractNum>
  <w:abstractNum w:abstractNumId="14">
    <w:nsid w:val="42C296BD"/>
    <w:multiLevelType w:val="hybridMultilevel"/>
    <w:lvl w:ilvl="0">
      <w:lvlJc w:val="left"/>
      <w:lvlText w:val="(%1)"/>
      <w:numFmt w:val="lowerLetter"/>
      <w:start w:val="4"/>
    </w:lvl>
  </w:abstractNum>
  <w:abstractNum w:abstractNumId="15">
    <w:nsid w:val="168E121F"/>
    <w:multiLevelType w:val="hybridMultilevel"/>
    <w:lvl w:ilvl="0">
      <w:lvlJc w:val="left"/>
      <w:lvlText w:val="(%1)"/>
      <w:numFmt w:val="lowerLetter"/>
      <w:start w:val="1"/>
    </w:lvl>
  </w:abstractNum>
  <w:abstractNum w:abstractNumId="16">
    <w:nsid w:val="1EBA5D23"/>
    <w:multiLevelType w:val="hybridMultilevel"/>
    <w:lvl w:ilvl="0">
      <w:lvlJc w:val="left"/>
      <w:lvlText w:val="%1."/>
      <w:numFmt w:val="decimal"/>
      <w:start w:val="8"/>
    </w:lvl>
  </w:abstractNum>
  <w:abstractNum w:abstractNumId="17">
    <w:nsid w:val="661E3F1E"/>
    <w:multiLevelType w:val="hybridMultilevel"/>
    <w:lvl w:ilvl="0">
      <w:lvlJc w:val="left"/>
      <w:lvlText w:val="(%1)"/>
      <w:numFmt w:val="lowerLetter"/>
      <w:start w:val="1"/>
    </w:lvl>
  </w:abstractNum>
  <w:abstractNum w:abstractNumId="18">
    <w:nsid w:val="5DC79EA8"/>
    <w:multiLevelType w:val="hybridMultilevel"/>
    <w:lvl w:ilvl="0">
      <w:lvlJc w:val="left"/>
      <w:lvlText w:val="%1."/>
      <w:numFmt w:val="decimal"/>
      <w:start w:val="9"/>
    </w:lvl>
  </w:abstractNum>
  <w:abstractNum w:abstractNumId="19">
    <w:nsid w:val="540A471C"/>
    <w:multiLevelType w:val="hybridMultilevel"/>
    <w:lvl w:ilvl="0">
      <w:lvlJc w:val="left"/>
      <w:lvlText w:val="%1."/>
      <w:numFmt w:val="decimal"/>
      <w:start w:val="10"/>
    </w:lvl>
  </w:abstractNum>
  <w:abstractNum w:abstractNumId="20">
    <w:nsid w:val="7BD3EE7B"/>
    <w:multiLevelType w:val="hybridMultilevel"/>
    <w:lvl w:ilvl="0">
      <w:lvlJc w:val="left"/>
      <w:lvlText w:val="%1."/>
      <w:numFmt w:val="decimal"/>
      <w:start w:val="15"/>
    </w:lvl>
  </w:abstractNum>
  <w:abstractNum w:abstractNumId="21">
    <w:nsid w:val="51D9C564"/>
    <w:multiLevelType w:val="hybridMultilevel"/>
    <w:lvl w:ilvl="0">
      <w:lvlJc w:val="left"/>
      <w:lvlText w:val="(%1)"/>
      <w:numFmt w:val="lowerRoman"/>
      <w:start w:val="1"/>
    </w:lvl>
  </w:abstractNum>
  <w:abstractNum w:abstractNumId="22">
    <w:nsid w:val="613EFDC5"/>
    <w:multiLevelType w:val="hybridMultilevel"/>
    <w:lvl w:ilvl="0">
      <w:lvlJc w:val="left"/>
      <w:lvlText w:val="(%1)"/>
      <w:numFmt w:val="lowerRoman"/>
      <w:start w:val="3"/>
    </w:lvl>
  </w:abstractNum>
  <w:abstractNum w:abstractNumId="23">
    <w:nsid w:val="BF72B14"/>
    <w:multiLevelType w:val="hybridMultilevel"/>
    <w:lvl w:ilvl="0">
      <w:lvlJc w:val="left"/>
      <w:lvlText w:val="%1."/>
      <w:numFmt w:val="decimal"/>
      <w:start w:val="1"/>
    </w:lvl>
  </w:abstractNum>
  <w:abstractNum w:abstractNumId="24">
    <w:nsid w:val="11447B73"/>
    <w:multiLevelType w:val="hybridMultilevel"/>
    <w:lvl w:ilvl="0">
      <w:lvlJc w:val="left"/>
      <w:lvlText w:val="%1."/>
      <w:numFmt w:val="decimal"/>
      <w:start w:val="2"/>
    </w:lvl>
  </w:abstractNum>
  <w:abstractNum w:abstractNumId="25">
    <w:nsid w:val="42963E5A"/>
    <w:multiLevelType w:val="hybridMultilevel"/>
    <w:lvl w:ilvl="0">
      <w:lvlJc w:val="left"/>
      <w:lvlText w:val="%1"/>
      <w:numFmt w:val="lowerLetter"/>
      <w:start w:val="1"/>
    </w:lvl>
    <w:lvl w:ilvl="1">
      <w:lvlJc w:val="left"/>
      <w:lvlText w:val="(%2)"/>
      <w:numFmt w:val="lowerLetter"/>
      <w:start w:val="1"/>
    </w:lvl>
  </w:abstractNum>
  <w:abstractNum w:abstractNumId="26">
    <w:nsid w:val="A0382C5"/>
    <w:multiLevelType w:val="hybridMultilevel"/>
    <w:lvl w:ilvl="0">
      <w:lvlJc w:val="left"/>
      <w:lvlText w:val="(%1)"/>
      <w:numFmt w:val="lowerLetter"/>
      <w:start w:val="9"/>
    </w:lvl>
    <w:lvl w:ilvl="1">
      <w:lvlJc w:val="left"/>
      <w:lvlText w:val="%2"/>
      <w:numFmt w:val="lowerLetter"/>
      <w:start w:val="1"/>
    </w:lvl>
  </w:abstractNum>
  <w:abstractNum w:abstractNumId="27">
    <w:nsid w:val="8F2B15E"/>
    <w:multiLevelType w:val="hybridMultilevel"/>
    <w:lvl w:ilvl="0">
      <w:lvlJc w:val="left"/>
      <w:lvlText w:val="(%1)"/>
      <w:numFmt w:val="lowerLetter"/>
      <w:start w:val="4"/>
    </w:lvl>
  </w:abstractNum>
  <w:abstractNum w:abstractNumId="28">
    <w:nsid w:val="1A32234B"/>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29">
    <w:nsid w:val="3B0FD379"/>
    <w:multiLevelType w:val="hybridMultilevel"/>
    <w:lvl w:ilvl="0">
      <w:lvlJc w:val="left"/>
      <w:lvlText w:val="(%1)"/>
      <w:numFmt w:val="lowerLetter"/>
      <w:start w:val="6"/>
    </w:lvl>
    <w:lvl w:ilvl="1">
      <w:lvlJc w:val="left"/>
      <w:lvlText w:val="%2"/>
      <w:numFmt w:val="lowerLetter"/>
      <w:start w:val="1"/>
    </w:lvl>
    <w:lvl w:ilvl="2">
      <w:lvlJc w:val="left"/>
      <w:lvlText w:val="%3"/>
      <w:numFmt w:val="lowerRoman"/>
      <w:start w:val="1"/>
    </w:lvl>
  </w:abstractNum>
  <w:abstractNum w:abstractNumId="30">
    <w:nsid w:val="68EB2F63"/>
    <w:multiLevelType w:val="hybridMultilevel"/>
    <w:lvl w:ilvl="0">
      <w:lvlJc w:val="left"/>
      <w:lvlText w:val="(%1)"/>
      <w:numFmt w:val="lowerLetter"/>
      <w:start w:val="7"/>
    </w:lvl>
    <w:lvl w:ilvl="1">
      <w:lvlJc w:val="left"/>
      <w:lvlText w:val="(%2)"/>
      <w:numFmt w:val="lowerRoman"/>
      <w:start w:val="1"/>
    </w:lvl>
  </w:abstractNum>
  <w:abstractNum w:abstractNumId="31">
    <w:nsid w:val="4962813B"/>
    <w:multiLevelType w:val="hybridMultilevel"/>
    <w:lvl w:ilvl="0">
      <w:lvlJc w:val="left"/>
      <w:lvlText w:val="(%1)"/>
      <w:numFmt w:val="upperLetter"/>
      <w:start w:val="2"/>
    </w:lvl>
    <w:lvl w:ilvl="1">
      <w:lvlJc w:val="left"/>
      <w:lvlText w:val="(%2)"/>
      <w:numFmt w:val="lowerRoman"/>
      <w:start w:val="3"/>
    </w:lvl>
  </w:abstractNum>
  <w:abstractNum w:abstractNumId="32">
    <w:nsid w:val="60B6DF70"/>
    <w:multiLevelType w:val="hybridMultilevel"/>
    <w:lvl w:ilvl="0">
      <w:lvlJc w:val="left"/>
      <w:lvlText w:val="(%1)"/>
      <w:numFmt w:val="lowerRoman"/>
      <w:start w:val="1"/>
    </w:lvl>
  </w:abstractNum>
  <w:abstractNum w:abstractNumId="33">
    <w:nsid w:val="6A5EE64"/>
    <w:multiLevelType w:val="hybridMultilevel"/>
    <w:lvl w:ilvl="0">
      <w:lvlJc w:val="left"/>
      <w:lvlText w:val="%1."/>
      <w:numFmt w:val="decimal"/>
      <w:start w:val="3"/>
    </w:lvl>
  </w:abstractNum>
  <w:abstractNum w:abstractNumId="34">
    <w:nsid w:val="14330624"/>
    <w:multiLevelType w:val="hybridMultilevel"/>
    <w:lvl w:ilvl="0">
      <w:lvlJc w:val="left"/>
      <w:lvlText w:val="(%1)"/>
      <w:numFmt w:val="lowerLetter"/>
      <w:start w:val="1"/>
    </w:lvl>
  </w:abstractNum>
  <w:abstractNum w:abstractNumId="35">
    <w:nsid w:val="7FFFCA11"/>
    <w:multiLevelType w:val="hybridMultilevel"/>
    <w:lvl w:ilvl="0">
      <w:lvlJc w:val="left"/>
      <w:lvlText w:val="(%1)"/>
      <w:numFmt w:val="lowerLetter"/>
      <w:start w:val="3"/>
    </w:lvl>
  </w:abstractNum>
  <w:abstractNum w:abstractNumId="36">
    <w:nsid w:val="1A27709E"/>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37">
    <w:nsid w:val="71EA1109"/>
    <w:multiLevelType w:val="hybridMultilevel"/>
    <w:lvl w:ilvl="0">
      <w:lvlJc w:val="left"/>
      <w:lvlText w:val="(%1)"/>
      <w:numFmt w:val="lowerRoman"/>
      <w:start w:val="2"/>
    </w:lvl>
  </w:abstractNum>
  <w:abstractNum w:abstractNumId="38">
    <w:nsid w:val="100F59DC"/>
    <w:multiLevelType w:val="hybridMultilevel"/>
    <w:lvl w:ilvl="0">
      <w:lvlJc w:val="left"/>
      <w:lvlText w:val="%1"/>
      <w:numFmt w:val="lowerLetter"/>
      <w:start w:val="1"/>
    </w:lvl>
    <w:lvl w:ilvl="1">
      <w:lvlJc w:val="left"/>
      <w:lvlText w:val="(%2)"/>
      <w:numFmt w:val="lowerRoman"/>
      <w:start w:val="4"/>
    </w:lvl>
  </w:abstractNum>
  <w:abstractNum w:abstractNumId="39">
    <w:nsid w:val="7FB7E0AA"/>
    <w:multiLevelType w:val="hybridMultilevel"/>
    <w:lvl w:ilvl="0">
      <w:lvlJc w:val="left"/>
      <w:lvlText w:val="(%1)"/>
      <w:numFmt w:val="lowerLetter"/>
      <w:start w:val="2"/>
    </w:lvl>
    <w:lvl w:ilvl="1">
      <w:lvlJc w:val="left"/>
      <w:lvlText w:val="%2"/>
      <w:numFmt w:val="lowerRoman"/>
      <w:start w:val="1"/>
    </w:lvl>
  </w:abstractNum>
  <w:abstractNum w:abstractNumId="40">
    <w:nsid w:val="6EB5BD4"/>
    <w:multiLevelType w:val="hybridMultilevel"/>
    <w:lvl w:ilvl="0">
      <w:lvlJc w:val="left"/>
      <w:lvlText w:val="%1"/>
      <w:numFmt w:val="lowerLetter"/>
      <w:start w:val="1"/>
    </w:lvl>
    <w:lvl w:ilvl="1">
      <w:lvlJc w:val="left"/>
      <w:lvlText w:val="(%2)"/>
      <w:numFmt w:val="lowerLetter"/>
      <w:start w:val="3"/>
    </w:lvl>
  </w:abstractNum>
  <w:abstractNum w:abstractNumId="41">
    <w:nsid w:val="6F6DD9AC"/>
    <w:multiLevelType w:val="hybridMultilevel"/>
    <w:lvl w:ilvl="0">
      <w:lvlJc w:val="left"/>
      <w:lvlText w:val="(%1)"/>
      <w:numFmt w:val="lowerLetter"/>
      <w:start w:val="9"/>
    </w:lvl>
    <w:lvl w:ilvl="1">
      <w:lvlJc w:val="left"/>
      <w:lvlText w:val="%2"/>
      <w:numFmt w:val="lowerLetter"/>
      <w:start w:val="1"/>
    </w:lvl>
  </w:abstractNum>
  <w:abstractNum w:abstractNumId="42">
    <w:nsid w:val="94211F2"/>
    <w:multiLevelType w:val="hybridMultilevel"/>
    <w:lvl w:ilvl="0">
      <w:lvlJc w:val="left"/>
      <w:lvlText w:val="(%1)"/>
      <w:numFmt w:val="lowerLetter"/>
      <w:start w:val="5"/>
    </w:lvl>
    <w:lvl w:ilvl="1">
      <w:lvlJc w:val="left"/>
      <w:lvlText w:val="(%2)"/>
      <w:numFmt w:val="lowerRoman"/>
      <w:start w:val="1"/>
    </w:lvl>
  </w:abstractNum>
  <w:abstractNum w:abstractNumId="43">
    <w:nsid w:val="885E1B"/>
    <w:multiLevelType w:val="hybridMultilevel"/>
    <w:lvl w:ilvl="0">
      <w:lvlJc w:val="left"/>
      <w:lvlText w:val="%1"/>
      <w:numFmt w:val="decimal"/>
      <w:start w:val="1"/>
    </w:lvl>
    <w:lvl w:ilvl="1">
      <w:lvlJc w:val="left"/>
      <w:lvlText w:val="(%2)"/>
      <w:numFmt w:val="lowerLetter"/>
      <w:start w:val="8"/>
    </w:lvl>
  </w:abstractNum>
  <w:abstractNum w:abstractNumId="44">
    <w:nsid w:val="76272110"/>
    <w:multiLevelType w:val="hybridMultilevel"/>
    <w:lvl w:ilvl="0">
      <w:lvlJc w:val="left"/>
      <w:lvlText w:val="%1."/>
      <w:numFmt w:val="decimal"/>
      <w:start w:val="5"/>
    </w:lvl>
    <w:lvl w:ilvl="1">
      <w:lvlJc w:val="left"/>
      <w:lvlText w:val="%2"/>
      <w:numFmt w:val="lowerLetter"/>
      <w:start w:val="1"/>
    </w:lvl>
  </w:abstractNum>
  <w:abstractNum w:abstractNumId="45">
    <w:nsid w:val="4C04A8AF"/>
    <w:multiLevelType w:val="hybridMultilevel"/>
    <w:lvl w:ilvl="0">
      <w:lvlJc w:val="left"/>
      <w:lvlText w:val="%1."/>
      <w:numFmt w:val="decimal"/>
      <w:start w:val="7"/>
    </w:lvl>
  </w:abstractNum>
  <w:abstractNum w:abstractNumId="46">
    <w:nsid w:val="1716703B"/>
    <w:multiLevelType w:val="hybridMultilevel"/>
    <w:lvl w:ilvl="0">
      <w:lvlJc w:val="left"/>
      <w:lvlText w:val="(%1)"/>
      <w:numFmt w:val="lowerLetter"/>
      <w:start w:val="1"/>
    </w:lvl>
  </w:abstractNum>
  <w:abstractNum w:abstractNumId="47">
    <w:nsid w:val="14E17E33"/>
    <w:multiLevelType w:val="hybridMultilevel"/>
    <w:lvl w:ilvl="0">
      <w:lvlJc w:val="left"/>
      <w:lvlText w:val="%1."/>
      <w:numFmt w:val="decimal"/>
      <w:start w:val="8"/>
    </w:lvl>
  </w:abstractNum>
  <w:abstractNum w:abstractNumId="48">
    <w:nsid w:val="3222E7CD"/>
    <w:multiLevelType w:val="hybridMultilevel"/>
    <w:lvl w:ilvl="0">
      <w:lvlJc w:val="left"/>
      <w:lvlText w:val="%1."/>
      <w:numFmt w:val="decimal"/>
      <w:start w:val="9"/>
    </w:lvl>
  </w:abstractNum>
  <w:abstractNum w:abstractNumId="49">
    <w:nsid w:val="74DE0EE3"/>
    <w:multiLevelType w:val="hybridMultilevel"/>
    <w:lvl w:ilvl="0">
      <w:lvlJc w:val="left"/>
      <w:lvlText w:val="(%1)"/>
      <w:numFmt w:val="lowerLetter"/>
      <w:start w:val="1"/>
    </w:lvl>
  </w:abstractNum>
  <w:abstractNum w:abstractNumId="50">
    <w:nsid w:val="68EBC550"/>
    <w:multiLevelType w:val="hybridMultilevel"/>
    <w:lvl w:ilvl="0">
      <w:lvlJc w:val="left"/>
      <w:lvlText w:val="%1."/>
      <w:numFmt w:val="decimal"/>
      <w:start w:val="10"/>
    </w:lvl>
  </w:abstractNum>
  <w:abstractNum w:abstractNumId="51">
    <w:nsid w:val="2DF6D648"/>
    <w:multiLevelType w:val="hybridMultilevel"/>
    <w:lvl w:ilvl="0">
      <w:lvlJc w:val="left"/>
      <w:lvlText w:val="%1."/>
      <w:numFmt w:val="decimal"/>
      <w:start w:val="11"/>
    </w:lvl>
  </w:abstractNum>
  <w:abstractNum w:abstractNumId="52">
    <w:nsid w:val="46B7D447"/>
    <w:multiLevelType w:val="hybridMultilevel"/>
    <w:lvl w:ilvl="0">
      <w:lvlJc w:val="left"/>
      <w:lvlText w:val="%1."/>
      <w:numFmt w:val="decimal"/>
      <w:start w:val="15"/>
    </w:lvl>
  </w:abstractNum>
  <w:abstractNum w:abstractNumId="53">
    <w:nsid w:val="4A2AC315"/>
    <w:multiLevelType w:val="hybridMultilevel"/>
    <w:lvl w:ilvl="0">
      <w:lvlJc w:val="left"/>
      <w:lvlText w:val="(%1)"/>
      <w:numFmt w:val="lowerLetter"/>
      <w:start w:val="1"/>
    </w:lvl>
    <w:lvl w:ilvl="1">
      <w:lvlJc w:val="left"/>
      <w:lvlText w:val="(%2)"/>
      <w:numFmt w:val="lowerLetter"/>
      <w:start w:val="9"/>
    </w:lvl>
  </w:abstractNum>
  <w:abstractNum w:abstractNumId="54">
    <w:nsid w:val="39EE015C"/>
    <w:multiLevelType w:val="hybridMultilevel"/>
    <w:lvl w:ilvl="0">
      <w:lvlJc w:val="left"/>
      <w:lvlText w:val="%1"/>
      <w:numFmt w:val="lowerLetter"/>
      <w:start w:val="1"/>
    </w:lvl>
    <w:lvl w:ilvl="1">
      <w:lvlJc w:val="left"/>
      <w:lvlText w:val="(%2)"/>
      <w:numFmt w:val="lowerLetter"/>
      <w:start w:val="35"/>
    </w:lvl>
  </w:abstractNum>
  <w:abstractNum w:abstractNumId="55">
    <w:nsid w:val="57FC4FBB"/>
    <w:multiLevelType w:val="hybridMultilevel"/>
    <w:lvl w:ilvl="0">
      <w:lvlJc w:val="left"/>
      <w:lvlText w:val="(%1)"/>
      <w:numFmt w:val="lowerLetter"/>
      <w:start w:val="2"/>
    </w:lvl>
    <w:lvl w:ilvl="1">
      <w:lvlJc w:val="left"/>
      <w:lvlText w:val="(%2)"/>
      <w:numFmt w:val="lowerLetter"/>
      <w:start w:val="9"/>
    </w:lvl>
  </w:abstractNum>
  <w:abstractNum w:abstractNumId="56">
    <w:nsid w:val="CC1016F"/>
    <w:multiLevelType w:val="hybridMultilevel"/>
    <w:lvl w:ilvl="0">
      <w:lvlJc w:val="left"/>
      <w:lvlText w:val="(%1)"/>
      <w:numFmt w:val="lowerRoman"/>
      <w:start w:val="2"/>
    </w:lvl>
    <w:lvl w:ilvl="1">
      <w:lvlJc w:val="left"/>
      <w:lvlText w:val="(%2)"/>
      <w:numFmt w:val="decimal"/>
      <w:start w:val="1"/>
    </w:lvl>
  </w:abstractNum>
  <w:abstractNum w:abstractNumId="57">
    <w:nsid w:val="43F18422"/>
    <w:multiLevelType w:val="hybridMultilevel"/>
    <w:lvl w:ilvl="0">
      <w:lvlJc w:val="left"/>
      <w:lvlText w:val="(%1)"/>
      <w:numFmt w:val="lowerLetter"/>
      <w:start w:val="1"/>
    </w:lvl>
  </w:abstractNum>
  <w:abstractNum w:abstractNumId="58">
    <w:nsid w:val="60EF0119"/>
    <w:multiLevelType w:val="hybridMultilevel"/>
    <w:lvl w:ilvl="0">
      <w:lvlJc w:val="left"/>
      <w:lvlText w:val="(%1)"/>
      <w:numFmt w:val="lowerLetter"/>
      <w:start w:val="2"/>
    </w:lvl>
  </w:abstractNum>
  <w:abstractNum w:abstractNumId="59">
    <w:nsid w:val="26F324BA"/>
    <w:multiLevelType w:val="hybridMultilevel"/>
    <w:lvl w:ilvl="0">
      <w:lvlJc w:val="left"/>
      <w:lvlText w:val="(%1)"/>
      <w:numFmt w:val="lowerRoman"/>
      <w:start w:val="1"/>
    </w:lvl>
  </w:abstractNum>
  <w:abstractNum w:abstractNumId="60">
    <w:nsid w:val="7F01579B"/>
    <w:multiLevelType w:val="hybridMultilevel"/>
    <w:lvl w:ilvl="0">
      <w:lvlJc w:val="left"/>
      <w:lvlText w:val="(%1)"/>
      <w:numFmt w:val="lowerLetter"/>
      <w:start w:val="1"/>
    </w:lvl>
  </w:abstractNum>
  <w:abstractNum w:abstractNumId="61">
    <w:nsid w:val="49DA307D"/>
    <w:multiLevelType w:val="hybridMultilevel"/>
    <w:lvl w:ilvl="0">
      <w:lvlJc w:val="left"/>
      <w:lvlText w:val="(%1)"/>
      <w:numFmt w:val="lowerLetter"/>
      <w:start w:val="1"/>
    </w:lvl>
    <w:lvl w:ilvl="1">
      <w:lvlJc w:val="left"/>
      <w:lvlText w:val="(%2)"/>
      <w:numFmt w:val="lowerLetter"/>
      <w:start w:val="9"/>
    </w:lvl>
  </w:abstractNum>
  <w:abstractNum w:abstractNumId="62">
    <w:nsid w:val="7055A5F5"/>
    <w:multiLevelType w:val="hybridMultilevel"/>
    <w:lvl w:ilvl="0">
      <w:lvlJc w:val="left"/>
      <w:lvlText w:val="(%1)"/>
      <w:numFmt w:val="lowerRoman"/>
      <w:start w:val="2"/>
    </w:lvl>
  </w:abstractNum>
  <w:abstractNum w:abstractNumId="63">
    <w:nsid w:val="5FB8370B"/>
    <w:multiLevelType w:val="hybridMultilevel"/>
    <w:lvl w:ilvl="0">
      <w:lvlJc w:val="left"/>
      <w:lvlText w:val="(%1)"/>
      <w:numFmt w:val="lowerLetter"/>
      <w:start w:val="1"/>
    </w:lvl>
  </w:abstractNum>
  <w:abstractNum w:abstractNumId="64">
    <w:nsid w:val="50801EE1"/>
    <w:multiLevelType w:val="hybridMultilevel"/>
    <w:lvl w:ilvl="0">
      <w:lvlJc w:val="left"/>
      <w:lvlText w:val="(%1)"/>
      <w:numFmt w:val="lowerLetter"/>
      <w:start w:val="3"/>
    </w:lvl>
  </w:abstractNum>
  <w:abstractNum w:abstractNumId="65">
    <w:nsid w:val="488AC1A"/>
    <w:multiLevelType w:val="hybridMultilevel"/>
    <w:lvl w:ilvl="0">
      <w:lvlJc w:val="left"/>
      <w:lvlText w:val="(%1)"/>
      <w:numFmt w:val="lowerRoman"/>
      <w:start w:val="2"/>
    </w:lvl>
  </w:abstractNum>
  <w:abstractNum w:abstractNumId="66">
    <w:nsid w:val="5FB8011C"/>
    <w:multiLevelType w:val="hybridMultilevel"/>
    <w:lvl w:ilvl="0">
      <w:lvlJc w:val="left"/>
      <w:lvlText w:val="(%1)"/>
      <w:numFmt w:val="lowerRoman"/>
      <w:start w:val="10"/>
    </w:lvl>
  </w:abstractNum>
  <w:abstractNum w:abstractNumId="67">
    <w:nsid w:val="6AA78F7F"/>
    <w:multiLevelType w:val="hybridMultilevel"/>
    <w:lvl w:ilvl="0">
      <w:lvlJc w:val="left"/>
      <w:lvlText w:val="(%1)"/>
      <w:numFmt w:val="lowerLetter"/>
      <w:start w:val="1"/>
    </w:lvl>
    <w:lvl w:ilvl="1">
      <w:lvlJc w:val="left"/>
      <w:lvlText w:val="(%2)"/>
      <w:numFmt w:val="lowerRoman"/>
      <w:start w:val="1"/>
    </w:lvl>
  </w:abstractNum>
  <w:abstractNum w:abstractNumId="68">
    <w:nsid w:val="7672BD23"/>
    <w:multiLevelType w:val="hybridMultilevel"/>
    <w:lvl w:ilvl="0">
      <w:lvlJc w:val="left"/>
      <w:lvlText w:val="(%1)"/>
      <w:numFmt w:val="lowerRoman"/>
      <w:start w:val="7"/>
    </w:lvl>
  </w:abstractNum>
  <w:abstractNum w:abstractNumId="69">
    <w:nsid w:val="6FC75AF8"/>
    <w:multiLevelType w:val="hybridMultilevel"/>
    <w:lvl w:ilvl="0">
      <w:lvlJc w:val="left"/>
      <w:lvlText w:val="(%1)"/>
      <w:numFmt w:val="lowerRoman"/>
      <w:start w:val="4"/>
    </w:lvl>
  </w:abstractNum>
  <w:abstractNum w:abstractNumId="70">
    <w:nsid w:val="6A5F7029"/>
    <w:multiLevelType w:val="hybridMultilevel"/>
    <w:lvl w:ilvl="0">
      <w:lvlJc w:val="left"/>
      <w:lvlText w:val="(%1)"/>
      <w:numFmt w:val="lowerLetter"/>
      <w:start w:val="1"/>
    </w:lvl>
    <w:lvl w:ilvl="1">
      <w:lvlJc w:val="left"/>
      <w:lvlText w:val="(%2)"/>
      <w:numFmt w:val="lowerRoman"/>
      <w:start w:val="1"/>
    </w:lvl>
  </w:abstractNum>
  <w:abstractNum w:abstractNumId="71">
    <w:nsid w:val="7D5E18F8"/>
    <w:multiLevelType w:val="hybridMultilevel"/>
    <w:lvl w:ilvl="0">
      <w:lvlJc w:val="left"/>
      <w:lvlText w:val="(%1)"/>
      <w:numFmt w:val="lowerLetter"/>
      <w:start w:val="2"/>
    </w:lvl>
    <w:lvl w:ilvl="1">
      <w:lvlJc w:val="left"/>
      <w:lvlText w:val="(%2)"/>
      <w:numFmt w:val="lowerRoman"/>
      <w:start w:val="1"/>
    </w:lvl>
  </w:abstractNum>
  <w:abstractNum w:abstractNumId="72">
    <w:nsid w:val="5F3534A4"/>
    <w:multiLevelType w:val="hybridMultilevel"/>
    <w:lvl w:ilvl="0">
      <w:lvlJc w:val="left"/>
      <w:lvlText w:val="(%1)"/>
      <w:numFmt w:val="lowerLetter"/>
      <w:start w:val="1"/>
    </w:lvl>
  </w:abstractNum>
  <w:abstractNum w:abstractNumId="73">
    <w:nsid w:val="73A1821B"/>
    <w:multiLevelType w:val="hybridMultilevel"/>
    <w:lvl w:ilvl="0">
      <w:lvlJc w:val="left"/>
      <w:lvlText w:val="(%1)"/>
      <w:numFmt w:val="lowerLetter"/>
      <w:start w:val="1"/>
    </w:lvl>
  </w:abstractNum>
  <w:abstractNum w:abstractNumId="74">
    <w:nsid w:val="7DE67713"/>
    <w:multiLevelType w:val="hybridMultilevel"/>
    <w:lvl w:ilvl="0">
      <w:lvlJc w:val="left"/>
      <w:lvlText w:val="(%1)"/>
      <w:numFmt w:val="lowerLetter"/>
      <w:start w:val="1"/>
    </w:lvl>
  </w:abstractNum>
  <w:abstractNum w:abstractNumId="75">
    <w:nsid w:val="555C55B5"/>
    <w:multiLevelType w:val="hybridMultilevel"/>
    <w:lvl w:ilvl="0">
      <w:lvlJc w:val="left"/>
      <w:lvlText w:val="(%1)"/>
      <w:numFmt w:val="lowerLetter"/>
      <w:start w:val="1"/>
    </w:lvl>
  </w:abstractNum>
  <w:abstractNum w:abstractNumId="76">
    <w:nsid w:val="3FA62ACA"/>
    <w:multiLevelType w:val="hybridMultilevel"/>
    <w:lvl w:ilvl="0">
      <w:lvlJc w:val="left"/>
      <w:lvlText w:val="%1"/>
      <w:numFmt w:val="lowerLetter"/>
      <w:start w:val="1"/>
    </w:lvl>
    <w:lvl w:ilvl="1">
      <w:lvlJc w:val="left"/>
      <w:lvlText w:val="(%2)"/>
      <w:numFmt w:val="lowerLetter"/>
      <w:start w:val="5"/>
    </w:lvl>
  </w:abstractNum>
  <w:abstractNum w:abstractNumId="77">
    <w:nsid w:val="14FCE74E"/>
    <w:multiLevelType w:val="hybridMultilevel"/>
    <w:lvl w:ilvl="0">
      <w:lvlJc w:val="left"/>
      <w:lvlText w:val="(%1)"/>
      <w:numFmt w:val="lowerLetter"/>
      <w:start w:val="35"/>
    </w:lvl>
    <w:lvl w:ilvl="1">
      <w:lvlJc w:val="left"/>
      <w:lvlText w:val="(%2)"/>
      <w:numFmt w:val="lowerLetter"/>
      <w:start w:val="9"/>
    </w:lvl>
  </w:abstractNum>
  <w:abstractNum w:abstractNumId="78">
    <w:nsid w:val="6A3DD3E8"/>
    <w:multiLevelType w:val="hybridMultilevel"/>
    <w:lvl w:ilvl="0">
      <w:lvlJc w:val="left"/>
      <w:lvlText w:val="(%1)"/>
      <w:numFmt w:val="lowerLetter"/>
      <w:start w:val="1"/>
    </w:lvl>
  </w:abstractNum>
  <w:abstractNum w:abstractNumId="79">
    <w:nsid w:val="71C91298"/>
    <w:multiLevelType w:val="hybridMultilevel"/>
    <w:lvl w:ilvl="0">
      <w:lvlJc w:val="left"/>
      <w:lvlText w:val="(%1)"/>
      <w:numFmt w:val="lowerLetter"/>
      <w:start w:val="3"/>
    </w:lvl>
  </w:abstractNum>
  <w:abstractNum w:abstractNumId="80">
    <w:nsid w:val="9DAF632"/>
    <w:multiLevelType w:val="hybridMultilevel"/>
    <w:lvl w:ilvl="0">
      <w:lvlJc w:val="left"/>
      <w:lvlText w:val="(%1)"/>
      <w:numFmt w:val="lowerLetter"/>
      <w:start w:val="1"/>
    </w:lvl>
  </w:abstractNum>
  <w:abstractNum w:abstractNumId="81">
    <w:nsid w:val="53299938"/>
    <w:multiLevelType w:val="hybridMultilevel"/>
    <w:lvl w:ilvl="0">
      <w:lvlJc w:val="left"/>
      <w:lvlText w:val="(%1)"/>
      <w:numFmt w:val="lowerLetter"/>
      <w:start w:val="1"/>
    </w:lvl>
  </w:abstractNum>
  <w:abstractNum w:abstractNumId="82">
    <w:nsid w:val="1FBFE8E0"/>
    <w:multiLevelType w:val="hybridMultilevel"/>
    <w:lvl w:ilvl="0">
      <w:lvlJc w:val="left"/>
      <w:lvlText w:val="(%1)"/>
      <w:numFmt w:val="lowerLetter"/>
      <w:start w:val="1"/>
    </w:lvl>
  </w:abstractNum>
  <w:abstractNum w:abstractNumId="83">
    <w:nsid w:val="5092CA79"/>
    <w:multiLevelType w:val="hybridMultilevel"/>
    <w:lvl w:ilvl="0">
      <w:lvlJc w:val="left"/>
      <w:lvlText w:val="(%1)"/>
      <w:numFmt w:val="lowerLetter"/>
      <w:start w:val="3"/>
    </w:lvl>
  </w:abstractNum>
  <w:abstractNum w:abstractNumId="84">
    <w:nsid w:val="1D545C4D"/>
    <w:multiLevelType w:val="hybridMultilevel"/>
    <w:lvl w:ilvl="0">
      <w:lvlJc w:val="left"/>
      <w:lvlText w:val="(%1)"/>
      <w:numFmt w:val="lowerLetter"/>
      <w:start w:val="9"/>
    </w:lvl>
  </w:abstractNum>
  <w:abstractNum w:abstractNumId="85">
    <w:nsid w:val="59ADEA3D"/>
    <w:multiLevelType w:val="hybridMultilevel"/>
    <w:lvl w:ilvl="0">
      <w:lvlJc w:val="left"/>
      <w:lvlText w:val="(%1)"/>
      <w:numFmt w:val="lowerLetter"/>
      <w:start w:val="1"/>
    </w:lvl>
  </w:abstractNum>
  <w:abstractNum w:abstractNumId="86">
    <w:nsid w:val="288F1A34"/>
    <w:multiLevelType w:val="hybridMultilevel"/>
    <w:lvl w:ilvl="0">
      <w:lvlJc w:val="left"/>
      <w:lvlText w:val="(%1)"/>
      <w:numFmt w:val="upperLetter"/>
      <w:start w:val="35"/>
    </w:lvl>
  </w:abstractNum>
  <w:abstractNum w:abstractNumId="87">
    <w:nsid w:val="2A155DBC"/>
    <w:multiLevelType w:val="hybridMultilevel"/>
    <w:lvl w:ilvl="0">
      <w:lvlJc w:val="left"/>
      <w:lvlText w:val="(%1)"/>
      <w:numFmt w:val="lowerLetter"/>
      <w:start w:val="1"/>
    </w:lvl>
  </w:abstractNum>
  <w:abstractNum w:abstractNumId="88">
    <w:nsid w:val="1D9F6E5F"/>
    <w:multiLevelType w:val="hybridMultilevel"/>
    <w:lvl w:ilvl="0">
      <w:lvlJc w:val="left"/>
      <w:lvlText w:val="(%1)"/>
      <w:numFmt w:val="lowerLetter"/>
      <w:start w:val="2"/>
    </w:lvl>
  </w:abstractNum>
  <w:abstractNum w:abstractNumId="89">
    <w:nsid w:val="97E1B4E"/>
    <w:multiLevelType w:val="hybridMultilevel"/>
    <w:lvl w:ilvl="0">
      <w:lvlJc w:val="left"/>
      <w:lvlText w:val="%1."/>
      <w:numFmt w:val="decimal"/>
      <w:start w:val="1"/>
    </w:lvl>
  </w:abstractNum>
  <w:abstractNum w:abstractNumId="90">
    <w:nsid w:val="51088277"/>
    <w:multiLevelType w:val="hybridMultilevel"/>
    <w:lvl w:ilvl="0">
      <w:lvlJc w:val="left"/>
      <w:lvlText w:val="%1."/>
      <w:numFmt w:val="decimal"/>
      <w:start w:val="2"/>
    </w:lvl>
    <w:lvl w:ilvl="1">
      <w:lvlJc w:val="left"/>
      <w:lvlText w:val="(%2)"/>
      <w:numFmt w:val="lowerLetter"/>
      <w:start w:val="1"/>
    </w:lvl>
  </w:abstractNum>
  <w:abstractNum w:abstractNumId="91">
    <w:nsid w:val="1CA0C5FA"/>
    <w:multiLevelType w:val="hybridMultilevel"/>
    <w:lvl w:ilvl="0">
      <w:lvlJc w:val="left"/>
      <w:lvlText w:val="%1."/>
      <w:numFmt w:val="decimal"/>
      <w:start w:val="3"/>
    </w:lvl>
  </w:abstractNum>
  <w:abstractNum w:abstractNumId="92">
    <w:nsid w:val="53584BCB"/>
    <w:multiLevelType w:val="hybridMultilevel"/>
    <w:lvl w:ilvl="0">
      <w:lvlJc w:val="left"/>
      <w:lvlText w:val="(%1)"/>
      <w:numFmt w:val="lowerLetter"/>
      <w:start w:val="1"/>
    </w:lvl>
  </w:abstractNum>
  <w:abstractNum w:abstractNumId="93">
    <w:nsid w:val="415E286C"/>
    <w:multiLevelType w:val="hybridMultilevel"/>
    <w:lvl w:ilvl="0">
      <w:lvlJc w:val="left"/>
      <w:lvlText w:val="(%1)"/>
      <w:numFmt w:val="lowerLetter"/>
      <w:start w:val="6"/>
    </w:lvl>
  </w:abstractNum>
  <w:abstractNum w:abstractNumId="94">
    <w:nsid w:val="7C58FD05"/>
    <w:multiLevelType w:val="hybridMultilevel"/>
    <w:lvl w:ilvl="0">
      <w:lvlJc w:val="left"/>
      <w:lvlText w:val="(%1)"/>
      <w:numFmt w:val="lowerLetter"/>
      <w:start w:val="11"/>
    </w:lvl>
  </w:abstractNum>
  <w:abstractNum w:abstractNumId="95">
    <w:nsid w:val="23D86AAC"/>
    <w:multiLevelType w:val="hybridMultilevel"/>
    <w:lvl w:ilvl="0">
      <w:lvlJc w:val="left"/>
      <w:lvlText w:val="%1"/>
      <w:numFmt w:val="decimal"/>
      <w:start w:val="1"/>
    </w:lvl>
    <w:lvl w:ilvl="1">
      <w:lvlJc w:val="left"/>
      <w:lvlText w:val="(%2)"/>
      <w:numFmt w:val="lowerLetter"/>
      <w:start w:val="14"/>
    </w:lvl>
  </w:abstractNum>
  <w:abstractNum w:abstractNumId="96">
    <w:nsid w:val="45E6D486"/>
    <w:multiLevelType w:val="hybridMultilevel"/>
    <w:lvl w:ilvl="0">
      <w:lvlJc w:val="left"/>
      <w:lvlText w:val="%1."/>
      <w:numFmt w:val="decimal"/>
      <w:start w:val="4"/>
    </w:lvl>
    <w:lvl w:ilvl="1">
      <w:lvlJc w:val="left"/>
      <w:lvlText w:val="%2"/>
      <w:numFmt w:val="lowerLetter"/>
      <w:start w:val="1"/>
    </w:lvl>
  </w:abstractNum>
  <w:abstractNum w:abstractNumId="97">
    <w:nsid w:val="5C10FE21"/>
    <w:multiLevelType w:val="hybridMultilevel"/>
    <w:lvl w:ilvl="0">
      <w:lvlJc w:val="left"/>
      <w:lvlText w:val="%1."/>
      <w:numFmt w:val="decimal"/>
      <w:start w:val="5"/>
    </w:lvl>
    <w:lvl w:ilvl="1">
      <w:lvlJc w:val="left"/>
      <w:lvlText w:val="(%2)"/>
      <w:numFmt w:val="lowerLetter"/>
      <w:start w:val="1"/>
    </w:lvl>
  </w:abstractNum>
  <w:abstractNum w:abstractNumId="98">
    <w:nsid w:val="E7FFA2B"/>
    <w:multiLevelType w:val="hybridMultilevel"/>
    <w:lvl w:ilvl="0">
      <w:lvlJc w:val="left"/>
      <w:lvlText w:val="(%1)"/>
      <w:numFmt w:val="lowerLetter"/>
      <w:start w:val="3"/>
    </w:lvl>
  </w:abstractNum>
  <w:abstractNum w:abstractNumId="99">
    <w:nsid w:val="3C5991AA"/>
    <w:multiLevelType w:val="hybridMultilevel"/>
    <w:lvl w:ilvl="0">
      <w:lvlJc w:val="left"/>
      <w:lvlText w:val="(%1)"/>
      <w:numFmt w:val="lowerLetter"/>
      <w:start w:val="4"/>
    </w:lvl>
  </w:abstractNum>
  <w:abstractNum w:abstractNumId="100">
    <w:nsid w:val="4BD8591A"/>
    <w:multiLevelType w:val="hybridMultilevel"/>
    <w:lvl w:ilvl="0">
      <w:lvlJc w:val="left"/>
      <w:lvlText w:val="%1."/>
      <w:numFmt w:val="decimal"/>
      <w:start w:val="6"/>
    </w:lvl>
  </w:abstractNum>
  <w:abstractNum w:abstractNumId="101">
    <w:nsid w:val="78DF6A55"/>
    <w:multiLevelType w:val="hybridMultilevel"/>
    <w:lvl w:ilvl="0">
      <w:lvlJc w:val="left"/>
      <w:lvlText w:val="%1."/>
      <w:numFmt w:val="decimal"/>
      <w:start w:val="144"/>
    </w:lvl>
  </w:abstractNum>
  <w:abstractNum w:abstractNumId="102">
    <w:nsid w:val="39B7AAA2"/>
    <w:multiLevelType w:val="hybridMultilevel"/>
    <w:lvl w:ilvl="0">
      <w:lvlJc w:val="left"/>
      <w:lvlText w:val="%1."/>
      <w:numFmt w:val="decimal"/>
      <w:start w:val="7"/>
    </w:lvl>
    <w:lvl w:ilvl="1">
      <w:lvlJc w:val="left"/>
      <w:lvlText w:val="(%2)"/>
      <w:numFmt w:val="lowerLetter"/>
      <w:start w:val="1"/>
    </w:lvl>
  </w:abstractNum>
  <w:abstractNum w:abstractNumId="103">
    <w:nsid w:val="2B0D8DBE"/>
    <w:multiLevelType w:val="hybridMultilevel"/>
    <w:lvl w:ilvl="0">
      <w:lvlJc w:val="left"/>
      <w:lvlText w:val="%1"/>
      <w:numFmt w:val="lowerLetter"/>
      <w:start w:val="1"/>
    </w:lvl>
    <w:lvl w:ilvl="1">
      <w:lvlJc w:val="left"/>
      <w:lvlText w:val="(%2)"/>
      <w:numFmt w:val="lowerLetter"/>
      <w:start w:val="4"/>
    </w:lvl>
  </w:abstractNum>
  <w:abstractNum w:abstractNumId="104">
    <w:nsid w:val="6C80EC70"/>
    <w:multiLevelType w:val="hybridMultilevel"/>
    <w:lvl w:ilvl="0">
      <w:lvlJc w:val="left"/>
      <w:lvlText w:val="(%1)"/>
      <w:numFmt w:val="lowerLetter"/>
      <w:start w:val="35"/>
    </w:lvl>
    <w:lvl w:ilvl="1">
      <w:lvlJc w:val="left"/>
      <w:lvlText w:val="%2"/>
      <w:numFmt w:val="lowerLetter"/>
      <w:start w:val="1"/>
    </w:lvl>
  </w:abstractNum>
  <w:abstractNum w:abstractNumId="105">
    <w:nsid w:val="379E21B5"/>
    <w:multiLevelType w:val="hybridMultilevel"/>
    <w:lvl w:ilvl="0">
      <w:lvlJc w:val="left"/>
      <w:lvlText w:val="%1"/>
      <w:numFmt w:val="decimal"/>
      <w:start w:val="1"/>
    </w:lvl>
    <w:lvl w:ilvl="1">
      <w:lvlJc w:val="left"/>
      <w:lvlText w:val="(%2)"/>
      <w:numFmt w:val="lowerLetter"/>
      <w:start w:val="5"/>
    </w:lvl>
  </w:abstractNum>
  <w:abstractNum w:abstractNumId="106">
    <w:nsid w:val="69E373"/>
    <w:multiLevelType w:val="hybridMultilevel"/>
    <w:lvl w:ilvl="0">
      <w:lvlJc w:val="left"/>
      <w:lvlText w:val="(%1)"/>
      <w:numFmt w:val="decimal"/>
      <w:start w:val="3"/>
    </w:lvl>
    <w:lvl w:ilvl="1">
      <w:lvlJc w:val="left"/>
      <w:lvlText w:val="%2"/>
      <w:numFmt w:val="lowerLetter"/>
      <w:start w:val="1"/>
    </w:lvl>
  </w:abstractNum>
  <w:abstractNum w:abstractNumId="107">
    <w:nsid w:val="2C27173B"/>
    <w:multiLevelType w:val="hybridMultilevel"/>
    <w:lvl w:ilvl="0">
      <w:lvlJc w:val="left"/>
      <w:lvlText w:val="(%1)"/>
      <w:numFmt w:val="lowerLetter"/>
      <w:start w:val="6"/>
    </w:lvl>
  </w:abstractNum>
  <w:abstractNum w:abstractNumId="108">
    <w:nsid w:val="4C9B0904"/>
    <w:multiLevelType w:val="hybridMultilevel"/>
    <w:lvl w:ilvl="0">
      <w:lvlJc w:val="left"/>
      <w:lvlText w:val="(%1)"/>
      <w:numFmt w:val="lowerLetter"/>
      <w:start w:val="8"/>
    </w:lvl>
  </w:abstractNum>
  <w:abstractNum w:abstractNumId="109">
    <w:nsid w:val="6AA7B75C"/>
    <w:multiLevelType w:val="hybridMultilevel"/>
    <w:lvl w:ilvl="0">
      <w:lvlJc w:val="left"/>
      <w:lvlText w:val="(%1)"/>
      <w:numFmt w:val="lowerLetter"/>
      <w:start w:val="12"/>
    </w:lvl>
  </w:abstractNum>
  <w:abstractNum w:abstractNumId="110">
    <w:nsid w:val="1DF029D3"/>
    <w:multiLevelType w:val="hybridMultilevel"/>
    <w:lvl w:ilvl="0">
      <w:lvlJc w:val="left"/>
      <w:lvlText w:val="·"/>
      <w:numFmt w:val="bullet"/>
      <w:start w:val="1"/>
    </w:lvl>
  </w:abstractNum>
  <w:abstractNum w:abstractNumId="111">
    <w:nsid w:val="5675FF36"/>
    <w:multiLevelType w:val="hybridMultilevel"/>
    <w:lvl w:ilvl="0">
      <w:lvlJc w:val="left"/>
      <w:lvlText w:val="(%1)"/>
      <w:numFmt w:val="lowerLetter"/>
      <w:start w:val="1"/>
    </w:lvl>
  </w:abstractNum>
  <w:abstractNum w:abstractNumId="112">
    <w:nsid w:val="3DD15094"/>
    <w:multiLevelType w:val="hybridMultilevel"/>
    <w:lvl w:ilvl="0">
      <w:lvlJc w:val="left"/>
      <w:lvlText w:val="(%1)"/>
      <w:numFmt w:val="lowerLetter"/>
      <w:start w:val="1"/>
    </w:lvl>
  </w:abstractNum>
  <w:abstractNum w:abstractNumId="113">
    <w:nsid w:val="3DB012B3"/>
    <w:multiLevelType w:val="hybridMultilevel"/>
    <w:lvl w:ilvl="0">
      <w:lvlJc w:val="left"/>
      <w:lvlText w:val="(%1)"/>
      <w:numFmt w:val="lowerLetter"/>
      <w:start w:val="6"/>
    </w:lvl>
  </w:abstractNum>
  <w:abstractNum w:abstractNumId="114">
    <w:nsid w:val="2708C9AF"/>
    <w:multiLevelType w:val="hybridMultilevel"/>
    <w:lvl w:ilvl="0">
      <w:lvlJc w:val="left"/>
      <w:lvlText w:val="(%1)"/>
      <w:numFmt w:val="lowerLetter"/>
      <w:start w:val="1"/>
    </w:lvl>
  </w:abstractNum>
  <w:abstractNum w:abstractNumId="115">
    <w:nsid w:val="5B25ACE2"/>
    <w:multiLevelType w:val="hybridMultilevel"/>
    <w:lvl w:ilvl="0">
      <w:lvlJc w:val="left"/>
      <w:lvlText w:val="(%1)"/>
      <w:numFmt w:val="lowerLetter"/>
      <w:start w:val="1"/>
    </w:lvl>
  </w:abstractNum>
  <w:abstractNum w:abstractNumId="116">
    <w:nsid w:val="175DFCF0"/>
    <w:multiLevelType w:val="hybridMultilevel"/>
    <w:lvl w:ilvl="0">
      <w:lvlJc w:val="left"/>
      <w:lvlText w:val="(%1)"/>
      <w:numFmt w:val="lowerLetter"/>
      <w:start w:val="1"/>
    </w:lvl>
  </w:abstractNum>
  <w:abstractNum w:abstractNumId="117">
    <w:nsid w:val="4F97E3E4"/>
    <w:multiLevelType w:val="hybridMultilevel"/>
    <w:lvl w:ilvl="0">
      <w:lvlJc w:val="left"/>
      <w:lvlText w:val="(%1)"/>
      <w:numFmt w:val="lowerLetter"/>
      <w:start w:val="1"/>
    </w:lvl>
  </w:abstractNum>
  <w:abstractNum w:abstractNumId="118">
    <w:nsid w:val="53B0A9E"/>
    <w:multiLevelType w:val="hybridMultilevel"/>
    <w:lvl w:ilvl="0">
      <w:lvlJc w:val="left"/>
      <w:lvlText w:val="(%1)"/>
      <w:numFmt w:val="lowerLetter"/>
      <w:start w:val="1"/>
    </w:lvl>
  </w:abstractNum>
  <w:abstractNum w:abstractNumId="119">
    <w:nsid w:val="34FD6B4F"/>
    <w:multiLevelType w:val="hybridMultilevel"/>
    <w:lvl w:ilvl="0">
      <w:lvlJc w:val="left"/>
      <w:lvlText w:val="(%1)"/>
      <w:numFmt w:val="lowerLetter"/>
      <w:start w:val="3"/>
    </w:lvl>
  </w:abstractNum>
  <w:abstractNum w:abstractNumId="120">
    <w:nsid w:val="5915FF32"/>
    <w:multiLevelType w:val="hybridMultilevel"/>
    <w:lvl w:ilvl="0">
      <w:lvlJc w:val="left"/>
      <w:lvlText w:val="(%1)"/>
      <w:numFmt w:val="lowerLetter"/>
      <w:start w:val="5"/>
    </w:lvl>
  </w:abstractNum>
  <w:abstractNum w:abstractNumId="121">
    <w:nsid w:val="56438D15"/>
    <w:multiLevelType w:val="hybridMultilevel"/>
    <w:lvl w:ilvl="0">
      <w:lvlJc w:val="left"/>
      <w:lvlText w:val="(%1)"/>
      <w:numFmt w:val="lowerLetter"/>
      <w:start w:val="1"/>
    </w:lvl>
  </w:abstractNum>
  <w:abstractNum w:abstractNumId="122">
    <w:nsid w:val="519E3149"/>
    <w:multiLevelType w:val="hybridMultilevel"/>
    <w:lvl w:ilvl="0">
      <w:lvlJc w:val="left"/>
      <w:lvlText w:val="(%1)"/>
      <w:numFmt w:val="lowerLetter"/>
      <w:start w:val="1"/>
    </w:lvl>
  </w:abstractNum>
  <w:abstractNum w:abstractNumId="123">
    <w:nsid w:val="2C6E4AFD"/>
    <w:multiLevelType w:val="hybridMultilevel"/>
    <w:lvl w:ilvl="0">
      <w:lvlJc w:val="left"/>
      <w:lvlText w:val="(%1)"/>
      <w:numFmt w:val="lowerLetter"/>
      <w:start w:val="1"/>
    </w:lvl>
  </w:abstractNum>
  <w:abstractNum w:abstractNumId="124">
    <w:nsid w:val="17A1B582"/>
    <w:multiLevelType w:val="hybridMultilevel"/>
    <w:lvl w:ilvl="0">
      <w:lvlJc w:val="left"/>
      <w:lvlText w:val="(%1)"/>
      <w:numFmt w:val="lowerLetter"/>
      <w:start w:val="1"/>
    </w:lvl>
  </w:abstractNum>
  <w:abstractNum w:abstractNumId="125">
    <w:nsid w:val="4DF72E4E"/>
    <w:multiLevelType w:val="hybridMultilevel"/>
    <w:lvl w:ilvl="0">
      <w:lvlJc w:val="left"/>
      <w:lvlText w:val="(%1)"/>
      <w:numFmt w:val="lowerLetter"/>
      <w:start w:val="1"/>
    </w:lvl>
  </w:abstractNum>
  <w:abstractNum w:abstractNumId="126">
    <w:nsid w:val="5046B5A9"/>
    <w:multiLevelType w:val="hybridMultilevel"/>
    <w:lvl w:ilvl="0">
      <w:lvlJc w:val="left"/>
      <w:lvlText w:val="(%1)"/>
      <w:numFmt w:val="lowerLetter"/>
      <w:start w:val="3"/>
    </w:lvl>
  </w:abstractNum>
  <w:abstractNum w:abstractNumId="127">
    <w:nsid w:val="5D888A08"/>
    <w:multiLevelType w:val="hybridMultilevel"/>
    <w:lvl w:ilvl="0">
      <w:lvlJc w:val="left"/>
      <w:lvlText w:val="(%1)"/>
      <w:numFmt w:val="lowerLetter"/>
      <w:start w:val="1"/>
    </w:lvl>
  </w:abstractNum>
  <w:abstractNum w:abstractNumId="128">
    <w:nsid w:val="2A082C7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2019-12-11T05:45:35Z</dcterms:created>
  <dcterms:modified xsi:type="dcterms:W3CDTF">2019-12-11T05:45:35Z</dcterms:modified>
</cp:coreProperties>
</file>