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jc w:val="both"/>
        <w:ind w:left="660" w:right="9220" w:firstLine="9"/>
        <w:spacing w:after="0" w:line="250" w:lineRule="exact"/>
        <w:tabs>
          <w:tab w:leader="none" w:pos="99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3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28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 xml:space="preserve">CUSIP No </w:t>
            </w:r>
            <w:r>
              <w:rPr>
                <w:rFonts w:ascii="Times New Roman" w:cs="Times New Roman" w:eastAsia="Times New Roman" w:hAnsi="Times New Roman"/>
                <w:sz w:val="18"/>
                <w:szCs w:val="18"/>
                <w:color w:val="auto"/>
                <w:w w:val="98"/>
              </w:rPr>
              <w:t>.68401U204</w:t>
            </w: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Page 2 of 7</w:t>
            </w:r>
          </w:p>
        </w:tc>
        <w:tc>
          <w:tcPr>
            <w:tcW w:w="0" w:type="dxa"/>
            <w:vAlign w:val="bottom"/>
          </w:tcPr>
          <w:p>
            <w:pPr>
              <w:spacing w:after="0"/>
              <w:rPr>
                <w:sz w:val="1"/>
                <w:szCs w:val="1"/>
                <w:color w:val="auto"/>
              </w:rPr>
            </w:pPr>
          </w:p>
        </w:tc>
      </w:tr>
      <w:tr>
        <w:trPr>
          <w:trHeight w:val="237"/>
        </w:trPr>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gridSpan w:val="3"/>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First Light Asset Management, LLC</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(ENTITIES ONLY)</w:t>
            </w:r>
          </w:p>
        </w:tc>
        <w:tc>
          <w:tcPr>
            <w:tcW w:w="1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46-3521994</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360" w:type="dxa"/>
            <w:vAlign w:val="bottom"/>
            <w:gridSpan w:val="5"/>
          </w:tcPr>
          <w:p>
            <w:pPr>
              <w:spacing w:after="0"/>
              <w:rPr>
                <w:sz w:val="4"/>
                <w:szCs w:val="4"/>
                <w:color w:val="auto"/>
              </w:rPr>
            </w:pPr>
          </w:p>
        </w:tc>
        <w:tc>
          <w:tcPr>
            <w:tcW w:w="22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auto"/>
              <w:left w:val="single" w:sz="8" w:color="auto"/>
            </w:tcBorders>
          </w:tcPr>
          <w:p>
            <w:pPr>
              <w:jc w:val="center"/>
              <w:ind w:left="176"/>
              <w:spacing w:after="0" w:line="202"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200" w:type="dxa"/>
            <w:vAlign w:val="bottom"/>
            <w:tcBorders>
              <w:top w:val="single" w:sz="8" w:color="auto"/>
              <w:right w:val="single" w:sz="8" w:color="auto"/>
            </w:tcBorders>
          </w:tcPr>
          <w:p>
            <w:pPr>
              <w:spacing w:after="0"/>
              <w:rPr>
                <w:sz w:val="17"/>
                <w:szCs w:val="17"/>
                <w:color w:val="auto"/>
              </w:rPr>
            </w:pPr>
          </w:p>
        </w:tc>
        <w:tc>
          <w:tcPr>
            <w:tcW w:w="8360" w:type="dxa"/>
            <w:vAlign w:val="bottom"/>
            <w:tcBorders>
              <w:top w:val="single" w:sz="8" w:color="auto"/>
            </w:tcBorders>
            <w:gridSpan w:val="5"/>
          </w:tcPr>
          <w:p>
            <w:pPr>
              <w:ind w:left="6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80" w:type="dxa"/>
            <w:vAlign w:val="bottom"/>
            <w:tcBorders>
              <w:top w:val="single" w:sz="8" w:color="auto"/>
            </w:tcBorders>
          </w:tcPr>
          <w:p>
            <w:pPr>
              <w:ind w:left="148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00" w:type="dxa"/>
            <w:vAlign w:val="bottom"/>
            <w:gridSpan w:val="2"/>
          </w:tcPr>
          <w:p>
            <w:pPr>
              <w:ind w:left="14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500" w:type="dxa"/>
            <w:vAlign w:val="bottom"/>
            <w:tcBorders>
              <w:top w:val="single" w:sz="8" w:color="auto"/>
              <w:left w:val="single" w:sz="8" w:color="auto"/>
              <w:bottom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00" w:type="dxa"/>
            <w:vAlign w:val="bottom"/>
            <w:tcBorders>
              <w:top w:val="single" w:sz="8" w:color="auto"/>
              <w:bottom w:val="single" w:sz="8" w:color="auto"/>
              <w:right w:val="single" w:sz="8" w:color="auto"/>
            </w:tcBorders>
          </w:tcPr>
          <w:p>
            <w:pPr>
              <w:spacing w:after="0"/>
              <w:rPr>
                <w:sz w:val="21"/>
                <w:szCs w:val="21"/>
                <w:color w:val="auto"/>
              </w:rPr>
            </w:pPr>
          </w:p>
        </w:tc>
        <w:tc>
          <w:tcPr>
            <w:tcW w:w="158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1340" w:type="dxa"/>
            <w:vAlign w:val="bottom"/>
            <w:tcBorders>
              <w:top w:val="single" w:sz="8" w:color="auto"/>
              <w:bottom w:val="single" w:sz="8" w:color="auto"/>
            </w:tcBorders>
          </w:tcPr>
          <w:p>
            <w:pPr>
              <w:spacing w:after="0"/>
              <w:rPr>
                <w:sz w:val="21"/>
                <w:szCs w:val="21"/>
                <w:color w:val="auto"/>
              </w:rPr>
            </w:pPr>
          </w:p>
        </w:tc>
        <w:tc>
          <w:tcPr>
            <w:tcW w:w="544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6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122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54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500" w:type="dxa"/>
            <w:vAlign w:val="bottom"/>
            <w:tcBorders>
              <w:left w:val="single" w:sz="8" w:color="auto"/>
            </w:tcBorders>
          </w:tcPr>
          <w:p>
            <w:pPr>
              <w:spacing w:after="0"/>
              <w:rPr>
                <w:sz w:val="4"/>
                <w:szCs w:val="4"/>
                <w:color w:val="auto"/>
              </w:rPr>
            </w:pPr>
          </w:p>
        </w:tc>
        <w:tc>
          <w:tcPr>
            <w:tcW w:w="1220" w:type="dxa"/>
            <w:vAlign w:val="bottom"/>
            <w:tcBorders>
              <w:right w:val="single" w:sz="8" w:color="auto"/>
            </w:tcBorders>
            <w:gridSpan w:val="3"/>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6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6780" w:type="dxa"/>
            <w:vAlign w:val="bottom"/>
            <w:gridSpan w:val="2"/>
            <w:vMerge w:val="continue"/>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vMerge w:val="continue"/>
          </w:tcPr>
          <w:p>
            <w:pPr>
              <w:spacing w:after="0"/>
              <w:rPr>
                <w:sz w:val="10"/>
                <w:szCs w:val="10"/>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1,829,074</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right w:val="single" w:sz="8" w:color="auto"/>
            </w:tcBorders>
            <w:gridSpan w:val="4"/>
            <w:vMerge w:val="continue"/>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1220" w:type="dxa"/>
            <w:vAlign w:val="bottom"/>
            <w:tcBorders>
              <w:right w:val="single" w:sz="8" w:color="auto"/>
            </w:tcBorders>
            <w:gridSpan w:val="3"/>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67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vMerge w:val="continue"/>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right w:val="single" w:sz="8" w:color="auto"/>
            </w:tcBorders>
            <w:gridSpan w:val="4"/>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1340" w:type="dxa"/>
            <w:vAlign w:val="bottom"/>
            <w:vMerge w:val="continue"/>
          </w:tcPr>
          <w:p>
            <w:pPr>
              <w:spacing w:after="0"/>
              <w:rPr>
                <w:sz w:val="4"/>
                <w:szCs w:val="4"/>
                <w:color w:val="auto"/>
              </w:rPr>
            </w:pPr>
          </w:p>
        </w:tc>
        <w:tc>
          <w:tcPr>
            <w:tcW w:w="54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00" w:type="dxa"/>
            <w:vAlign w:val="bottom"/>
            <w:tcBorders>
              <w:left w:val="single" w:sz="8" w:color="auto"/>
            </w:tcBorders>
          </w:tcPr>
          <w:p>
            <w:pPr>
              <w:spacing w:after="0"/>
              <w:rPr>
                <w:sz w:val="11"/>
                <w:szCs w:val="11"/>
                <w:color w:val="auto"/>
              </w:rPr>
            </w:pPr>
          </w:p>
        </w:tc>
        <w:tc>
          <w:tcPr>
            <w:tcW w:w="1220" w:type="dxa"/>
            <w:vAlign w:val="bottom"/>
            <w:tcBorders>
              <w:right w:val="single" w:sz="8" w:color="auto"/>
            </w:tcBorders>
            <w:gridSpan w:val="3"/>
            <w:vMerge w:val="continue"/>
          </w:tcPr>
          <w:p>
            <w:pPr>
              <w:spacing w:after="0"/>
              <w:rPr>
                <w:sz w:val="11"/>
                <w:szCs w:val="11"/>
                <w:color w:val="auto"/>
              </w:rPr>
            </w:pP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6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Borders>
              <w:right w:val="single" w:sz="8" w:color="auto"/>
            </w:tcBorders>
            <w:vMerge w:val="continue"/>
          </w:tcPr>
          <w:p>
            <w:pPr>
              <w:spacing w:after="0"/>
              <w:rPr>
                <w:sz w:val="9"/>
                <w:szCs w:val="9"/>
                <w:color w:val="auto"/>
              </w:rPr>
            </w:pPr>
          </w:p>
        </w:tc>
        <w:tc>
          <w:tcPr>
            <w:tcW w:w="6780" w:type="dxa"/>
            <w:vAlign w:val="bottom"/>
            <w:gridSpan w:val="2"/>
            <w:vMerge w:val="continue"/>
          </w:tcPr>
          <w:p>
            <w:pPr>
              <w:spacing w:after="0"/>
              <w:rPr>
                <w:sz w:val="9"/>
                <w:szCs w:val="9"/>
                <w:color w:val="auto"/>
              </w:rPr>
            </w:pPr>
          </w:p>
        </w:tc>
        <w:tc>
          <w:tcPr>
            <w:tcW w:w="2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0" w:type="dxa"/>
            <w:vAlign w:val="bottom"/>
            <w:tcBorders>
              <w:left w:val="single" w:sz="8" w:color="auto"/>
            </w:tcBorders>
          </w:tcPr>
          <w:p>
            <w:pPr>
              <w:spacing w:after="0"/>
              <w:rPr>
                <w:sz w:val="10"/>
                <w:szCs w:val="10"/>
                <w:color w:val="auto"/>
              </w:rPr>
            </w:pPr>
          </w:p>
        </w:tc>
        <w:tc>
          <w:tcPr>
            <w:tcW w:w="1220" w:type="dxa"/>
            <w:vAlign w:val="bottom"/>
            <w:tcBorders>
              <w:right w:val="single" w:sz="8" w:color="auto"/>
            </w:tcBorders>
            <w:gridSpan w:val="3"/>
            <w:vMerge w:val="continue"/>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1,829,074</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1,829,074</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00" w:type="dxa"/>
            <w:vAlign w:val="bottom"/>
            <w:tcBorders>
              <w:left w:val="single" w:sz="8" w:color="auto"/>
              <w:bottom w:val="single" w:sz="8" w:color="auto"/>
            </w:tcBorders>
          </w:tcPr>
          <w:p>
            <w:pPr>
              <w:jc w:val="center"/>
              <w:ind w:left="156"/>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00" w:type="dxa"/>
            <w:vAlign w:val="bottom"/>
            <w:tcBorders>
              <w:bottom w:val="single" w:sz="8" w:color="auto"/>
              <w:right w:val="single" w:sz="8" w:color="auto"/>
            </w:tcBorders>
          </w:tcPr>
          <w:p>
            <w:pPr>
              <w:spacing w:after="0"/>
              <w:rPr>
                <w:sz w:val="19"/>
                <w:szCs w:val="19"/>
                <w:color w:val="auto"/>
              </w:rPr>
            </w:pPr>
          </w:p>
        </w:tc>
        <w:tc>
          <w:tcPr>
            <w:tcW w:w="8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80" w:type="dxa"/>
            <w:vAlign w:val="bottom"/>
            <w:tcBorders>
              <w:bottom w:val="single" w:sz="8" w:color="auto"/>
            </w:tcBorders>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10.01%</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56"/>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0"/>
        </w:trPr>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8"/>
              </w:rPr>
              <w:t>68401U204</w:t>
            </w:r>
          </w:p>
        </w:tc>
        <w:tc>
          <w:tcPr>
            <w:tcW w:w="1200" w:type="dxa"/>
            <w:vAlign w:val="bottom"/>
            <w:tcBorders>
              <w:bottom w:val="single" w:sz="8" w:color="auto"/>
            </w:tcBorders>
          </w:tcPr>
          <w:p>
            <w:pPr>
              <w:spacing w:after="0"/>
              <w:rPr>
                <w:sz w:val="21"/>
                <w:szCs w:val="21"/>
                <w:color w:val="auto"/>
              </w:rPr>
            </w:pPr>
          </w:p>
        </w:tc>
        <w:tc>
          <w:tcPr>
            <w:tcW w:w="5480" w:type="dxa"/>
            <w:vAlign w:val="bottom"/>
          </w:tcPr>
          <w:p>
            <w:pPr>
              <w:spacing w:after="0"/>
              <w:rPr>
                <w:sz w:val="21"/>
                <w:szCs w:val="21"/>
                <w:color w:val="auto"/>
              </w:rPr>
            </w:pPr>
          </w:p>
        </w:tc>
        <w:tc>
          <w:tcPr>
            <w:tcW w:w="21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Page 3 of 7</w:t>
            </w:r>
          </w:p>
        </w:tc>
        <w:tc>
          <w:tcPr>
            <w:tcW w:w="0" w:type="dxa"/>
            <w:vAlign w:val="bottom"/>
          </w:tcPr>
          <w:p>
            <w:pPr>
              <w:spacing w:after="0"/>
              <w:rPr>
                <w:sz w:val="1"/>
                <w:szCs w:val="1"/>
                <w:color w:val="auto"/>
              </w:rPr>
            </w:pPr>
          </w:p>
        </w:tc>
      </w:tr>
      <w:tr>
        <w:trPr>
          <w:trHeight w:val="243"/>
        </w:trPr>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4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Mathew P. Arens</w:t>
            </w: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40" w:type="dxa"/>
            <w:vAlign w:val="bottom"/>
            <w:tcBorders>
              <w:left w:val="single" w:sz="8" w:color="auto"/>
              <w:right w:val="single" w:sz="8" w:color="auto"/>
            </w:tcBorders>
          </w:tcPr>
          <w:p>
            <w:pPr>
              <w:spacing w:after="0"/>
              <w:rPr>
                <w:sz w:val="24"/>
                <w:szCs w:val="24"/>
                <w:color w:val="auto"/>
              </w:rPr>
            </w:pP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(ENTITIES ONLY)</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gridSpan w:val="3"/>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8180" w:type="dxa"/>
            <w:vAlign w:val="bottom"/>
            <w:gridSpan w:val="5"/>
          </w:tcPr>
          <w:p>
            <w:pPr>
              <w:ind w:left="6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20" w:type="dxa"/>
            <w:vAlign w:val="bottom"/>
          </w:tcPr>
          <w:p>
            <w:pPr>
              <w:ind w:left="156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1200" w:type="dxa"/>
            <w:vAlign w:val="bottom"/>
            <w:tcBorders>
              <w:bottom w:val="single" w:sz="8" w:color="auto"/>
            </w:tcBorders>
          </w:tcPr>
          <w:p>
            <w:pPr>
              <w:spacing w:after="0"/>
              <w:rPr>
                <w:sz w:val="21"/>
                <w:szCs w:val="21"/>
                <w:color w:val="auto"/>
              </w:rPr>
            </w:pPr>
          </w:p>
        </w:tc>
        <w:tc>
          <w:tcPr>
            <w:tcW w:w="54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United State of America</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gridSpan w:val="3"/>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54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60" w:type="dxa"/>
            <w:vAlign w:val="bottom"/>
            <w:tcBorders>
              <w:left w:val="single" w:sz="8" w:color="auto"/>
              <w:right w:val="single" w:sz="8" w:color="auto"/>
            </w:tcBorders>
            <w:gridSpan w:val="3"/>
            <w:vMerge w:val="continue"/>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6680" w:type="dxa"/>
            <w:vAlign w:val="bottom"/>
            <w:gridSpan w:val="2"/>
            <w:vMerge w:val="continue"/>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right w:val="single" w:sz="8" w:color="auto"/>
            </w:tcBorders>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1,829,074</w:t>
            </w:r>
          </w:p>
        </w:tc>
        <w:tc>
          <w:tcPr>
            <w:tcW w:w="5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gridSpan w:val="3"/>
            <w:vMerge w:val="continue"/>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66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Borders>
              <w:right w:val="single" w:sz="8" w:color="auto"/>
            </w:tcBorders>
            <w:vMerge w:val="continue"/>
          </w:tcPr>
          <w:p>
            <w:pPr>
              <w:spacing w:after="0"/>
              <w:rPr>
                <w:sz w:val="14"/>
                <w:szCs w:val="14"/>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auto"/>
              <w:right w:val="single" w:sz="8" w:color="auto"/>
            </w:tcBorders>
            <w:gridSpan w:val="3"/>
            <w:vMerge w:val="continue"/>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200" w:type="dxa"/>
            <w:vAlign w:val="bottom"/>
            <w:vMerge w:val="continue"/>
          </w:tcPr>
          <w:p>
            <w:pPr>
              <w:spacing w:after="0"/>
              <w:rPr>
                <w:sz w:val="4"/>
                <w:szCs w:val="4"/>
                <w:color w:val="auto"/>
              </w:rPr>
            </w:pPr>
          </w:p>
        </w:tc>
        <w:tc>
          <w:tcPr>
            <w:tcW w:w="54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4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60" w:type="dxa"/>
            <w:vAlign w:val="bottom"/>
            <w:tcBorders>
              <w:left w:val="single" w:sz="8" w:color="auto"/>
              <w:right w:val="single" w:sz="8" w:color="auto"/>
            </w:tcBorders>
            <w:gridSpan w:val="3"/>
            <w:vMerge w:val="continue"/>
          </w:tcPr>
          <w:p>
            <w:pPr>
              <w:spacing w:after="0"/>
              <w:rPr>
                <w:sz w:val="11"/>
                <w:szCs w:val="11"/>
                <w:color w:val="auto"/>
              </w:rPr>
            </w:pP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6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right w:val="single" w:sz="8" w:color="auto"/>
            </w:tcBorders>
            <w:vMerge w:val="continue"/>
          </w:tcPr>
          <w:p>
            <w:pPr>
              <w:spacing w:after="0"/>
              <w:rPr>
                <w:sz w:val="9"/>
                <w:szCs w:val="9"/>
                <w:color w:val="auto"/>
              </w:rPr>
            </w:pPr>
          </w:p>
        </w:tc>
        <w:tc>
          <w:tcPr>
            <w:tcW w:w="6680" w:type="dxa"/>
            <w:vAlign w:val="bottom"/>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gridSpan w:val="3"/>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1,829,074</w:t>
            </w:r>
          </w:p>
        </w:tc>
        <w:tc>
          <w:tcPr>
            <w:tcW w:w="5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1,829,074</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bottom w:val="single" w:sz="8" w:color="auto"/>
            </w:tcBorders>
          </w:tcPr>
          <w:p>
            <w:pPr>
              <w:jc w:val="center"/>
              <w:ind w:left="9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10.01%</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3"/>
        </w:trPr>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68401U204</w:t>
            </w:r>
          </w:p>
        </w:tc>
        <w:tc>
          <w:tcPr>
            <w:tcW w:w="670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Page 4 of 7</w:t>
            </w: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1040" w:type="dxa"/>
            <w:vAlign w:val="bottom"/>
          </w:tcPr>
          <w:p>
            <w:pPr>
              <w:spacing w:after="0"/>
              <w:rPr>
                <w:sz w:val="24"/>
                <w:szCs w:val="24"/>
                <w:color w:val="auto"/>
              </w:rPr>
            </w:pPr>
          </w:p>
        </w:tc>
      </w:tr>
      <w:tr>
        <w:trPr>
          <w:trHeight w:val="257"/>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OptimizeRx Corporation</w:t>
            </w:r>
          </w:p>
        </w:tc>
        <w:tc>
          <w:tcPr>
            <w:tcW w:w="1040" w:type="dxa"/>
            <w:vAlign w:val="bottom"/>
          </w:tcPr>
          <w:p>
            <w:pPr>
              <w:spacing w:after="0"/>
              <w:rPr>
                <w:sz w:val="22"/>
                <w:szCs w:val="22"/>
                <w:color w:val="auto"/>
              </w:rPr>
            </w:pP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1040" w:type="dxa"/>
            <w:vAlign w:val="bottom"/>
          </w:tcPr>
          <w:p>
            <w:pPr>
              <w:spacing w:after="0"/>
              <w:rPr>
                <w:sz w:val="24"/>
                <w:szCs w:val="24"/>
                <w:color w:val="auto"/>
              </w:rPr>
            </w:pP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400 Water Street, Suite 200, Rochester, MI, 48307</w:t>
            </w:r>
          </w:p>
        </w:tc>
        <w:tc>
          <w:tcPr>
            <w:tcW w:w="1040" w:type="dxa"/>
            <w:vAlign w:val="bottom"/>
          </w:tcPr>
          <w:p>
            <w:pPr>
              <w:spacing w:after="0"/>
              <w:rPr>
                <w:sz w:val="21"/>
                <w:szCs w:val="21"/>
                <w:color w:val="auto"/>
              </w:rPr>
            </w:pPr>
          </w:p>
        </w:tc>
      </w:tr>
      <w:tr>
        <w:trPr>
          <w:trHeight w:val="481"/>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Schedule 13G is being jointly filed by the following:</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First Light Asset Management, LLC</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Mathew P. Arens (“Mr. Arens”)</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Manager may be deemed to be the beneficial owner of the Issuer’s shares of common stock (the “Shares”). The Manager acts as</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 investment adviser to certain persons holding separately managed accounts with the Manager, each of whom has the right to receive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the power to direct the receipt of dividends from, or the proceeds from the sale of, those shares. The Manager may also be deemed</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to be the beneficial owner of these shares because it acts as an investment adviser to certain private funds. Mr. Arens may also be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deemed to be the beneficial owner of these shares because he controls the Manager in his position as managing member and majority</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owner of the Manager. The Manager and Mr. Arens are filing this Schedule 13G with respect to these Shares pursuant to Rule 13d-1(b)</w:t>
            </w: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under the Act.</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Manager and Mr. Arens may be deemed to be the beneficial owner of the total amount of Shares set forth across from its or his</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respective name in Item 4 below. The filing of this Schedule 13G shall not be construed as an admission that the reporting persons or</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any of their affiliates are the beneficial owner of any securities covered by this Schedule 13G for any other purposes other than Section</w:t>
            </w: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13(d) of the Securities Exchange Act of 1934.</w:t>
            </w:r>
          </w:p>
        </w:tc>
        <w:tc>
          <w:tcPr>
            <w:tcW w:w="1040" w:type="dxa"/>
            <w:vAlign w:val="bottom"/>
          </w:tcPr>
          <w:p>
            <w:pPr>
              <w:spacing w:after="0"/>
              <w:rPr>
                <w:sz w:val="20"/>
                <w:szCs w:val="20"/>
                <w:color w:val="auto"/>
              </w:rPr>
            </w:pP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Each of the reporting persons identified in Item 2(a) has its principal business office at:</w:t>
            </w:r>
          </w:p>
        </w:tc>
        <w:tc>
          <w:tcPr>
            <w:tcW w:w="104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3300 Edinborough Way, Suite 201, Edina, MN 55435</w:t>
            </w:r>
          </w:p>
        </w:tc>
        <w:tc>
          <w:tcPr>
            <w:tcW w:w="1040" w:type="dxa"/>
            <w:vAlign w:val="bottom"/>
          </w:tcPr>
          <w:p>
            <w:pPr>
              <w:spacing w:after="0"/>
              <w:rPr>
                <w:sz w:val="24"/>
                <w:szCs w:val="24"/>
                <w:color w:val="auto"/>
              </w:rPr>
            </w:pP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104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First Light Asset Management, LLC – Delaware limited liability company</w:t>
            </w:r>
          </w:p>
        </w:tc>
        <w:tc>
          <w:tcPr>
            <w:tcW w:w="10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Mathew P. Arens – United States citizen</w:t>
            </w:r>
          </w:p>
        </w:tc>
        <w:tc>
          <w:tcPr>
            <w:tcW w:w="1040" w:type="dxa"/>
            <w:vAlign w:val="bottom"/>
          </w:tcPr>
          <w:p>
            <w:pPr>
              <w:spacing w:after="0"/>
              <w:rPr>
                <w:sz w:val="20"/>
                <w:szCs w:val="20"/>
                <w:color w:val="auto"/>
              </w:rPr>
            </w:pPr>
          </w:p>
        </w:tc>
      </w:tr>
      <w:tr>
        <w:trPr>
          <w:trHeight w:val="47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1040" w:type="dxa"/>
            <w:vAlign w:val="bottom"/>
          </w:tcPr>
          <w:p>
            <w:pPr>
              <w:spacing w:after="0"/>
              <w:rPr>
                <w:sz w:val="24"/>
                <w:szCs w:val="24"/>
                <w:color w:val="auto"/>
              </w:rPr>
            </w:pP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040" w:type="dxa"/>
            <w:vAlign w:val="bottom"/>
          </w:tcPr>
          <w:p>
            <w:pPr>
              <w:spacing w:after="0"/>
              <w:rPr>
                <w:sz w:val="21"/>
                <w:szCs w:val="21"/>
                <w:color w:val="auto"/>
              </w:rPr>
            </w:pP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1040" w:type="dxa"/>
            <w:vAlign w:val="bottom"/>
          </w:tcPr>
          <w:p>
            <w:pPr>
              <w:spacing w:after="0"/>
              <w:rPr>
                <w:sz w:val="24"/>
                <w:szCs w:val="24"/>
                <w:color w:val="auto"/>
              </w:rPr>
            </w:pP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68401U204</w:t>
            </w:r>
          </w:p>
        </w:tc>
        <w:tc>
          <w:tcPr>
            <w:tcW w:w="1040" w:type="dxa"/>
            <w:vAlign w:val="bottom"/>
          </w:tcPr>
          <w:p>
            <w:pPr>
              <w:spacing w:after="0"/>
              <w:rPr>
                <w:sz w:val="21"/>
                <w:szCs w:val="21"/>
                <w:color w:val="auto"/>
              </w:rPr>
            </w:pPr>
          </w:p>
        </w:tc>
      </w:tr>
      <w:tr>
        <w:trPr>
          <w:trHeight w:val="47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2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tc>
        <w:tc>
          <w:tcPr>
            <w:tcW w:w="1040" w:type="dxa"/>
            <w:vAlign w:val="bottom"/>
          </w:tcPr>
          <w:p>
            <w:pPr>
              <w:spacing w:after="0"/>
              <w:rPr>
                <w:sz w:val="24"/>
                <w:szCs w:val="24"/>
                <w:color w:val="auto"/>
              </w:rPr>
            </w:pPr>
          </w:p>
        </w:tc>
      </w:tr>
      <w:tr>
        <w:trPr>
          <w:trHeight w:val="460"/>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c>
          <w:tcPr>
            <w:tcW w:w="104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c>
          <w:tcPr>
            <w:tcW w:w="104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c>
          <w:tcPr>
            <w:tcW w:w="104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c>
          <w:tcPr>
            <w:tcW w:w="104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c>
          <w:tcPr>
            <w:tcW w:w="1040" w:type="dxa"/>
            <w:vAlign w:val="bottom"/>
          </w:tcPr>
          <w:p>
            <w:pPr>
              <w:spacing w:after="0"/>
              <w:rPr>
                <w:sz w:val="24"/>
                <w:szCs w:val="24"/>
                <w:color w:val="auto"/>
              </w:rPr>
            </w:pPr>
          </w:p>
        </w:tc>
      </w:tr>
      <w:tr>
        <w:trPr>
          <w:trHeight w:val="647"/>
        </w:trPr>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4" w:name="page5"/>
    <w:bookmarkEnd w:id="4"/>
    <w:p>
      <w:pPr>
        <w:spacing w:after="0"/>
        <w:tabs>
          <w:tab w:leader="none" w:pos="108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68401U204</w:t>
      </w:r>
      <w:r>
        <w:rPr>
          <w:sz w:val="20"/>
          <w:szCs w:val="20"/>
          <w:color w:val="auto"/>
        </w:rPr>
        <w:tab/>
      </w:r>
      <w:r>
        <w:rPr>
          <w:rFonts w:ascii="Times New Roman" w:cs="Times New Roman" w:eastAsia="Times New Roman" w:hAnsi="Times New Roman"/>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1534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9" w:lineRule="exact"/>
        <w:rPr>
          <w:sz w:val="20"/>
          <w:szCs w:val="20"/>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79" w:lineRule="exact"/>
        <w:rPr>
          <w:rFonts w:ascii="Times New Roman" w:cs="Times New Roman" w:eastAsia="Times New Roman" w:hAnsi="Times New Roman"/>
          <w:sz w:val="18"/>
          <w:szCs w:val="18"/>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§240.13d-1(b)(ii)(G);</w:t>
      </w:r>
    </w:p>
    <w:p>
      <w:pPr>
        <w:spacing w:after="0" w:line="279" w:lineRule="exact"/>
        <w:rPr>
          <w:rFonts w:ascii="Times New Roman" w:cs="Times New Roman" w:eastAsia="Times New Roman" w:hAnsi="Times New Roman"/>
          <w:sz w:val="18"/>
          <w:szCs w:val="18"/>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79" w:lineRule="exact"/>
        <w:rPr>
          <w:rFonts w:ascii="Times New Roman" w:cs="Times New Roman" w:eastAsia="Times New Roman" w:hAnsi="Times New Roman"/>
          <w:sz w:val="18"/>
          <w:szCs w:val="18"/>
          <w:color w:val="auto"/>
        </w:rPr>
      </w:pPr>
    </w:p>
    <w:p>
      <w:pPr>
        <w:ind w:left="1720" w:right="240" w:hanging="727"/>
        <w:spacing w:after="0" w:line="245" w:lineRule="exact"/>
        <w:tabs>
          <w:tab w:leader="none" w:pos="142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185" w:lineRule="exact"/>
        <w:rPr>
          <w:rFonts w:ascii="Times New Roman" w:cs="Times New Roman" w:eastAsia="Times New Roman" w:hAnsi="Times New Roman"/>
          <w:sz w:val="18"/>
          <w:szCs w:val="18"/>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3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5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79" w:lineRule="exact"/>
        <w:rPr>
          <w:sz w:val="20"/>
          <w:szCs w:val="20"/>
          <w:color w:val="auto"/>
        </w:rPr>
      </w:pPr>
    </w:p>
    <w:p>
      <w:pPr>
        <w:ind w:left="1420" w:hanging="427"/>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36" w:lineRule="exact"/>
        <w:rPr>
          <w:rFonts w:ascii="Times New Roman" w:cs="Times New Roman" w:eastAsia="Times New Roman" w:hAnsi="Times New Roman"/>
          <w:sz w:val="18"/>
          <w:szCs w:val="18"/>
          <w:color w:val="auto"/>
        </w:rPr>
      </w:pPr>
    </w:p>
    <w:p>
      <w:pPr>
        <w:ind w:left="1420" w:right="6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1,829,074 Mathew P. Arens – 1,829,074</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36" w:lineRule="exact"/>
        <w:rPr>
          <w:rFonts w:ascii="Times New Roman" w:cs="Times New Roman" w:eastAsia="Times New Roman" w:hAnsi="Times New Roman"/>
          <w:sz w:val="18"/>
          <w:szCs w:val="18"/>
          <w:color w:val="auto"/>
        </w:rPr>
      </w:pPr>
    </w:p>
    <w:p>
      <w:pPr>
        <w:ind w:left="1420" w:right="6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10.01% Mathew P. Arens – 10.01%</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79" w:lineRule="exact"/>
        <w:rPr>
          <w:rFonts w:ascii="Times New Roman" w:cs="Times New Roman" w:eastAsia="Times New Roman" w:hAnsi="Times New Roman"/>
          <w:sz w:val="18"/>
          <w:szCs w:val="18"/>
          <w:color w:val="auto"/>
        </w:rPr>
      </w:pPr>
    </w:p>
    <w:p>
      <w:pPr>
        <w:ind w:left="1720" w:right="6620" w:hanging="295"/>
        <w:spacing w:after="0" w:line="281" w:lineRule="auto"/>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First Light Asset Management, LLC – 0 Mathew P. Arens – 0</w:t>
      </w:r>
    </w:p>
    <w:p>
      <w:pPr>
        <w:spacing w:after="0" w:line="190" w:lineRule="exact"/>
        <w:rPr>
          <w:rFonts w:ascii="Times New Roman" w:cs="Times New Roman" w:eastAsia="Times New Roman" w:hAnsi="Times New Roman"/>
          <w:sz w:val="18"/>
          <w:szCs w:val="18"/>
          <w:color w:val="auto"/>
        </w:rPr>
      </w:pPr>
    </w:p>
    <w:p>
      <w:pPr>
        <w:ind w:left="1720" w:hanging="295"/>
        <w:spacing w:after="0"/>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36" w:lineRule="exact"/>
        <w:rPr>
          <w:rFonts w:ascii="Times New Roman" w:cs="Times New Roman" w:eastAsia="Times New Roman" w:hAnsi="Times New Roman"/>
          <w:sz w:val="18"/>
          <w:szCs w:val="18"/>
          <w:color w:val="auto"/>
        </w:rPr>
      </w:pPr>
    </w:p>
    <w:p>
      <w:pPr>
        <w:ind w:left="1720" w:right="6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1,829,074 Mathew P. Arens – 1,829,074</w:t>
      </w:r>
    </w:p>
    <w:p>
      <w:pPr>
        <w:spacing w:after="0" w:line="188" w:lineRule="exact"/>
        <w:rPr>
          <w:rFonts w:ascii="Times New Roman" w:cs="Times New Roman" w:eastAsia="Times New Roman" w:hAnsi="Times New Roman"/>
          <w:sz w:val="18"/>
          <w:szCs w:val="18"/>
          <w:color w:val="auto"/>
        </w:rPr>
      </w:pPr>
    </w:p>
    <w:p>
      <w:pPr>
        <w:ind w:left="1720" w:right="5800" w:hanging="295"/>
        <w:spacing w:after="0" w:line="281" w:lineRule="auto"/>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First Light Asset Management, LLC – 0 Mathew P. Arens – 0</w:t>
      </w:r>
    </w:p>
    <w:p>
      <w:pPr>
        <w:spacing w:after="0" w:line="190" w:lineRule="exact"/>
        <w:rPr>
          <w:rFonts w:ascii="Times New Roman" w:cs="Times New Roman" w:eastAsia="Times New Roman" w:hAnsi="Times New Roman"/>
          <w:sz w:val="18"/>
          <w:szCs w:val="18"/>
          <w:color w:val="auto"/>
        </w:rPr>
      </w:pPr>
    </w:p>
    <w:p>
      <w:pPr>
        <w:ind w:left="1720" w:right="5620" w:hanging="295"/>
        <w:spacing w:after="0" w:line="281" w:lineRule="auto"/>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First Light Asset Management, LLC – 1,829,074 Mathew P. Arens – 1,829,074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5" w:name="page6"/>
    <w:bookmarkEnd w:id="5"/>
    <w:p>
      <w:pPr>
        <w:spacing w:after="0"/>
        <w:tabs>
          <w:tab w:leader="none" w:pos="124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68401U204</w:t>
      </w:r>
      <w:r>
        <w:rPr>
          <w:sz w:val="20"/>
          <w:szCs w:val="20"/>
          <w:color w:val="auto"/>
        </w:rPr>
        <w:tab/>
      </w:r>
      <w:r>
        <w:rPr>
          <w:rFonts w:ascii="Times New Roman" w:cs="Times New Roman" w:eastAsia="Times New Roman" w:hAnsi="Times New Roman"/>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1499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4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1140" w:right="80"/>
        <w:spacing w:after="0" w:line="230"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7" w:lineRule="exact"/>
        <w:rPr>
          <w:sz w:val="20"/>
          <w:szCs w:val="20"/>
          <w:color w:val="auto"/>
        </w:rPr>
      </w:pPr>
    </w:p>
    <w:p>
      <w:pPr>
        <w:ind w:left="1140" w:right="760" w:hanging="1133"/>
        <w:spacing w:after="0" w:line="263"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6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240.14a-11.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June 10, 2024</w:t>
            </w:r>
          </w:p>
        </w:tc>
        <w:tc>
          <w:tcPr>
            <w:tcW w:w="1120" w:type="dxa"/>
            <w:vAlign w:val="bottom"/>
          </w:tcPr>
          <w:p>
            <w:pPr>
              <w:spacing w:after="0"/>
              <w:rPr>
                <w:sz w:val="20"/>
                <w:szCs w:val="20"/>
                <w:color w:val="auto"/>
              </w:rPr>
            </w:pPr>
          </w:p>
        </w:tc>
      </w:tr>
      <w:tr>
        <w:trPr>
          <w:trHeight w:val="432"/>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c>
          <w:tcPr>
            <w:tcW w:w="1120" w:type="dxa"/>
            <w:vAlign w:val="bottom"/>
          </w:tcPr>
          <w:p>
            <w:pPr>
              <w:spacing w:after="0"/>
              <w:rPr>
                <w:sz w:val="24"/>
                <w:szCs w:val="24"/>
                <w:color w:val="auto"/>
              </w:rPr>
            </w:pPr>
          </w:p>
        </w:tc>
      </w:tr>
      <w:tr>
        <w:trPr>
          <w:trHeight w:val="191"/>
        </w:trPr>
        <w:tc>
          <w:tcPr>
            <w:tcW w:w="65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T. Peterson</w:t>
            </w:r>
          </w:p>
        </w:tc>
        <w:tc>
          <w:tcPr>
            <w:tcW w:w="1120" w:type="dxa"/>
            <w:vAlign w:val="bottom"/>
          </w:tcPr>
          <w:p>
            <w:pPr>
              <w:spacing w:after="0"/>
              <w:rPr>
                <w:sz w:val="16"/>
                <w:szCs w:val="16"/>
                <w:color w:val="auto"/>
              </w:rPr>
            </w:pPr>
          </w:p>
        </w:tc>
      </w:t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c>
          <w:tcPr>
            <w:tcW w:w="1120" w:type="dxa"/>
            <w:vAlign w:val="bottom"/>
          </w:tcPr>
          <w:p>
            <w:pPr>
              <w:spacing w:after="0"/>
              <w:rPr>
                <w:sz w:val="20"/>
                <w:szCs w:val="20"/>
                <w:color w:val="auto"/>
              </w:rPr>
            </w:pPr>
          </w:p>
        </w:tc>
      </w:tr>
      <w:tr>
        <w:trPr>
          <w:trHeight w:val="432"/>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June 10, 2024</w:t>
            </w:r>
          </w:p>
        </w:tc>
        <w:tc>
          <w:tcPr>
            <w:tcW w:w="1120" w:type="dxa"/>
            <w:vAlign w:val="bottom"/>
          </w:tcPr>
          <w:p>
            <w:pPr>
              <w:spacing w:after="0"/>
              <w:rPr>
                <w:sz w:val="24"/>
                <w:szCs w:val="24"/>
                <w:color w:val="auto"/>
              </w:rPr>
            </w:pPr>
          </w:p>
        </w:tc>
      </w:tr>
      <w:tr>
        <w:trPr>
          <w:trHeight w:val="432"/>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Mathew P. Arens</w:t>
            </w:r>
          </w:p>
        </w:tc>
        <w:tc>
          <w:tcPr>
            <w:tcW w:w="1120" w:type="dxa"/>
            <w:vAlign w:val="bottom"/>
          </w:tcPr>
          <w:p>
            <w:pPr>
              <w:spacing w:after="0"/>
              <w:rPr>
                <w:sz w:val="24"/>
                <w:szCs w:val="24"/>
                <w:color w:val="auto"/>
              </w:rPr>
            </w:pPr>
          </w:p>
        </w:tc>
      </w:tr>
      <w:tr>
        <w:trPr>
          <w:trHeight w:val="228"/>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Mathew P. Arens</w:t>
            </w:r>
          </w:p>
        </w:tc>
        <w:tc>
          <w:tcPr>
            <w:tcW w:w="1120" w:type="dxa"/>
            <w:vAlign w:val="bottom"/>
          </w:tcPr>
          <w:p>
            <w:pPr>
              <w:spacing w:after="0"/>
              <w:rPr>
                <w:sz w:val="19"/>
                <w:szCs w:val="19"/>
                <w:color w:val="auto"/>
              </w:rPr>
            </w:pPr>
          </w:p>
        </w:tc>
      </w:tr>
      <w:tr>
        <w:trPr>
          <w:trHeight w:val="657"/>
        </w:trPr>
        <w:tc>
          <w:tcPr>
            <w:tcW w:w="65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tabs>
          <w:tab w:leader="none" w:pos="124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68401U204</w:t>
      </w:r>
      <w:r>
        <w:rPr>
          <w:sz w:val="20"/>
          <w:szCs w:val="20"/>
          <w:color w:val="auto"/>
        </w:rPr>
        <w:tab/>
      </w:r>
      <w:r>
        <w:rPr>
          <w:rFonts w:ascii="Times New Roman" w:cs="Times New Roman" w:eastAsia="Times New Roman" w:hAnsi="Times New Roman"/>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1499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0" w:lineRule="exact"/>
        <w:rPr>
          <w:sz w:val="20"/>
          <w:szCs w:val="20"/>
          <w:color w:val="auto"/>
        </w:rPr>
      </w:pPr>
    </w:p>
    <w:p>
      <w:pPr>
        <w:spacing w:after="0" w:line="2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common stock of OptimizeRx Corporation dated as of June 10, 2024, is, and any amendment thereto signed by each of the undersigned shall be, filed on behalf of each of them pursuant to and in accordance with the provisions of Rule 13d-1(k) under the Securities Exchange Act of 1934, as amended.</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Kurt 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Kurt T. Peterson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Signature:/s/ 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tab/>
        <w:t>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6"/>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2024-06-10T08:05:06Z</dcterms:created>
  <dcterms:modified xsi:type="dcterms:W3CDTF">2024-06-10T08:05:06Z</dcterms:modified>
</cp:coreProperties>
</file>