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D'Silva Andrew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20"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Business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560" w:type="dxa"/>
            <w:vAlign w:val="bottom"/>
            <w:gridSpan w:val="9"/>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12/19/2025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703</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44,735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upon the vesting of restricted stock units to satisfy the Reporting Person's tax withholding obligations. Such withholding is treated as a disposition of securities under Section 16 of the Securities Exchange Act of 1934, as amended.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12/22/2025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3717"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2025-12-22T09:14:08Z</dcterms:created>
  <dcterms:modified xsi:type="dcterms:W3CDTF">2025-12-22T09:14:08Z</dcterms:modified>
</cp:coreProperties>
</file>