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760" w:right="2320" w:hanging="1432"/>
        <w:spacing w:after="0" w:line="475" w:lineRule="auto"/>
        <w:tabs>
          <w:tab w:leader="none" w:pos="253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2023</w:t>
      </w:r>
    </w:p>
    <w:p>
      <w:pPr>
        <w:spacing w:after="0" w:line="44" w:lineRule="exact"/>
        <w:rPr>
          <w:rFonts w:ascii="MS PGothic" w:cs="MS PGothic" w:eastAsia="MS PGothic" w:hAnsi="MS PGothic"/>
          <w:sz w:val="18"/>
          <w:szCs w:val="18"/>
          <w:color w:val="auto"/>
        </w:rPr>
      </w:pPr>
    </w:p>
    <w:p>
      <w:pPr>
        <w:ind w:left="3520" w:right="2580" w:hanging="922"/>
        <w:spacing w:after="0" w:line="527" w:lineRule="auto"/>
        <w:tabs>
          <w:tab w:leader="none" w:pos="2807"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5"/>
        </w:trPr>
        <w:tc>
          <w:tcPr>
            <w:tcW w:w="7680" w:type="dxa"/>
            <w:vAlign w:val="bottom"/>
            <w:gridSpan w:val="13"/>
          </w:tcPr>
          <w:p>
            <w:pPr>
              <w:jc w:val="center"/>
              <w:ind w:left="3490"/>
              <w:spacing w:after="0" w:line="195" w:lineRule="exact"/>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560" w:type="dxa"/>
            <w:vAlign w:val="bottom"/>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08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13"/>
          </w:tcPr>
          <w:p>
            <w:pPr>
              <w:jc w:val="center"/>
              <w:ind w:left="347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439"/>
        </w:trPr>
        <w:tc>
          <w:tcPr>
            <w:tcW w:w="7680" w:type="dxa"/>
            <w:vAlign w:val="bottom"/>
            <w:gridSpan w:val="13"/>
          </w:tcPr>
          <w:p>
            <w:pPr>
              <w:jc w:val="center"/>
              <w:ind w:right="2140"/>
              <w:spacing w:after="0"/>
              <w:rPr>
                <w:sz w:val="20"/>
                <w:szCs w:val="20"/>
                <w:color w:val="auto"/>
              </w:rPr>
            </w:pPr>
            <w:r>
              <w:rPr>
                <w:rFonts w:ascii="Arial" w:cs="Arial" w:eastAsia="Arial" w:hAnsi="Arial"/>
                <w:sz w:val="18"/>
                <w:szCs w:val="18"/>
                <w:b w:val="1"/>
                <w:bCs w:val="1"/>
                <w:color w:val="auto"/>
                <w:w w:val="90"/>
              </w:rPr>
              <w:t>Nevada</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1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13"/>
          </w:tcPr>
          <w:p>
            <w:pPr>
              <w:jc w:val="center"/>
              <w:ind w:left="3470"/>
              <w:spacing w:after="0"/>
              <w:rPr>
                <w:sz w:val="20"/>
                <w:szCs w:val="20"/>
                <w:color w:val="auto"/>
              </w:rPr>
            </w:pPr>
            <w:r>
              <w:rPr>
                <w:rFonts w:ascii="Arial" w:cs="Arial" w:eastAsia="Arial" w:hAnsi="Arial"/>
                <w:sz w:val="18"/>
                <w:szCs w:val="18"/>
                <w:b w:val="1"/>
                <w:bCs w:val="1"/>
                <w:color w:val="auto"/>
                <w:w w:val="89"/>
              </w:rPr>
              <w:t>260 Charles Street</w:t>
            </w:r>
            <w:r>
              <w:rPr>
                <w:rFonts w:ascii="Arial" w:cs="Arial" w:eastAsia="Arial" w:hAnsi="Arial"/>
                <w:sz w:val="18"/>
                <w:szCs w:val="18"/>
                <w:color w:val="auto"/>
                <w:w w:val="89"/>
              </w:rPr>
              <w:t>,</w:t>
            </w:r>
            <w:r>
              <w:rPr>
                <w:rFonts w:ascii="Arial" w:cs="Arial" w:eastAsia="Arial" w:hAnsi="Arial"/>
                <w:sz w:val="18"/>
                <w:szCs w:val="18"/>
                <w:b w:val="1"/>
                <w:bCs w:val="1"/>
                <w:color w:val="auto"/>
                <w:w w:val="89"/>
              </w:rPr>
              <w:t xml:space="preserve"> Suite 302</w:t>
            </w:r>
          </w:p>
        </w:tc>
        <w:tc>
          <w:tcPr>
            <w:tcW w:w="356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11"/>
          </w:tcPr>
          <w:p>
            <w:pPr>
              <w:jc w:val="center"/>
              <w:ind w:right="1260"/>
              <w:spacing w:after="0" w:line="194" w:lineRule="exact"/>
              <w:rPr>
                <w:sz w:val="20"/>
                <w:szCs w:val="20"/>
                <w:color w:val="auto"/>
              </w:rPr>
            </w:pPr>
            <w:r>
              <w:rPr>
                <w:rFonts w:ascii="Arial" w:cs="Arial" w:eastAsia="Arial" w:hAnsi="Arial"/>
                <w:sz w:val="18"/>
                <w:szCs w:val="18"/>
                <w:b w:val="1"/>
                <w:bCs w:val="1"/>
                <w:color w:val="auto"/>
                <w:w w:val="95"/>
              </w:rPr>
              <w:t>Waltham, MA 02453</w:t>
            </w:r>
          </w:p>
        </w:tc>
        <w:tc>
          <w:tcPr>
            <w:tcW w:w="3560" w:type="dxa"/>
            <w:vAlign w:val="bottom"/>
          </w:tcPr>
          <w:p>
            <w:pPr>
              <w:spacing w:after="0"/>
              <w:rPr>
                <w:sz w:val="16"/>
                <w:szCs w:val="16"/>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9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6"/>
        </w:trPr>
        <w:tc>
          <w:tcPr>
            <w:tcW w:w="7680" w:type="dxa"/>
            <w:vAlign w:val="bottom"/>
            <w:gridSpan w:val="1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w w:val="94"/>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39" w:lineRule="exact"/>
        <w:rPr>
          <w:sz w:val="24"/>
          <w:szCs w:val="24"/>
          <w:color w:val="auto"/>
        </w:rPr>
      </w:pPr>
    </w:p>
    <w:p>
      <w:pPr>
        <w:ind w:left="920"/>
        <w:spacing w:after="0" w:line="207" w:lineRule="exact"/>
        <w:tabs>
          <w:tab w:leader="none" w:pos="12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Large accelerated filer</w:t>
      </w:r>
    </w:p>
    <w:p>
      <w:pPr>
        <w:spacing w:after="0" w:line="70" w:lineRule="exact"/>
        <w:rPr>
          <w:sz w:val="24"/>
          <w:szCs w:val="24"/>
          <w:color w:val="auto"/>
        </w:rPr>
      </w:pPr>
    </w:p>
    <w:p>
      <w:pPr>
        <w:ind w:left="920"/>
        <w:spacing w:after="0" w:line="207" w:lineRule="exact"/>
        <w:tabs>
          <w:tab w:leader="none" w:pos="12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70"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7" w:right="339" w:bottom="1440" w:gutter="0" w:footer="0" w:header="0"/>
          <w:type w:val="continuous"/>
        </w:sectPr>
      </w:pPr>
    </w:p>
    <w:p>
      <w:pPr>
        <w:spacing w:after="0" w:line="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18,152,478 common shares as of November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gridSpan w:val="6"/>
          </w:tcPr>
          <w:p>
            <w:pPr>
              <w:ind w:left="5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Page</w:t>
            </w:r>
          </w:p>
        </w:tc>
      </w:tr>
      <w:tr>
        <w:trPr>
          <w:trHeight w:val="216"/>
        </w:trPr>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40" w:type="dxa"/>
            <w:vAlign w:val="bottom"/>
            <w:gridSpan w:val="7"/>
            <w:shd w:val="clear" w:color="auto" w:fill="CCEEFF"/>
          </w:tcPr>
          <w:p>
            <w:pPr>
              <w:jc w:val="center"/>
              <w:ind w:right="3100"/>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1000" w:type="dxa"/>
            <w:vAlign w:val="bottom"/>
            <w:shd w:val="clear" w:color="auto" w:fill="CCEEFF"/>
          </w:tcPr>
          <w:p>
            <w:pPr>
              <w:spacing w:after="0"/>
              <w:rPr>
                <w:sz w:val="17"/>
                <w:szCs w:val="17"/>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Financial Statements (unaudited)</w:t>
            </w:r>
          </w:p>
        </w:tc>
        <w:tc>
          <w:tcPr>
            <w:tcW w:w="684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8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220" w:type="dxa"/>
            <w:vAlign w:val="bottom"/>
            <w:gridSpan w:val="16"/>
          </w:tcPr>
          <w:p>
            <w:pPr>
              <w:spacing w:after="0" w:line="176" w:lineRule="exact"/>
              <w:rPr>
                <w:sz w:val="20"/>
                <w:szCs w:val="20"/>
                <w:color w:val="auto"/>
              </w:rPr>
            </w:pPr>
            <w:r>
              <w:rPr>
                <w:rFonts w:ascii="Arial" w:cs="Arial" w:eastAsia="Arial" w:hAnsi="Arial"/>
                <w:sz w:val="18"/>
                <w:szCs w:val="18"/>
                <w:color w:val="0000EE"/>
              </w:rPr>
              <w:t>Controls and Procedures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40" w:type="dxa"/>
            <w:vAlign w:val="bottom"/>
            <w:gridSpan w:val="7"/>
          </w:tcPr>
          <w:p>
            <w:pPr>
              <w:jc w:val="center"/>
              <w:ind w:right="310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10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220" w:type="dxa"/>
            <w:vAlign w:val="bottom"/>
            <w:gridSpan w:val="16"/>
          </w:tcPr>
          <w:p>
            <w:pPr>
              <w:spacing w:after="0" w:line="176" w:lineRule="exact"/>
              <w:rPr>
                <w:sz w:val="20"/>
                <w:szCs w:val="20"/>
                <w:color w:val="auto"/>
              </w:rPr>
            </w:pPr>
            <w:r>
              <w:rPr>
                <w:rFonts w:ascii="Arial" w:cs="Arial" w:eastAsia="Arial" w:hAnsi="Arial"/>
                <w:sz w:val="18"/>
                <w:szCs w:val="18"/>
                <w:color w:val="0000EE"/>
              </w:rPr>
              <w:t>Legal Proceedings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8"/>
                <w:szCs w:val="18"/>
                <w:color w:val="0000EE"/>
              </w:rPr>
              <w:t>Mine Safety Disclosure</w:t>
            </w:r>
          </w:p>
        </w:tc>
        <w:tc>
          <w:tcPr>
            <w:tcW w:w="690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Other Information</w:t>
            </w:r>
          </w:p>
        </w:tc>
        <w:tc>
          <w:tcPr>
            <w:tcW w:w="790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220" w:type="dxa"/>
            <w:vAlign w:val="bottom"/>
            <w:gridSpan w:val="16"/>
          </w:tcPr>
          <w:p>
            <w:pPr>
              <w:spacing w:after="0" w:line="176" w:lineRule="exact"/>
              <w:rPr>
                <w:sz w:val="20"/>
                <w:szCs w:val="20"/>
                <w:color w:val="auto"/>
              </w:rPr>
            </w:pPr>
            <w:r>
              <w:rPr>
                <w:rFonts w:ascii="Arial" w:cs="Arial" w:eastAsia="Arial" w:hAnsi="Arial"/>
                <w:sz w:val="18"/>
                <w:szCs w:val="18"/>
                <w:color w:val="0000EE"/>
              </w:rPr>
              <w:t>Exhibits</w:t>
            </w: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5" w:lineRule="exact"/>
        <w:rPr>
          <w:sz w:val="20"/>
          <w:szCs w:val="20"/>
          <w:color w:val="auto"/>
        </w:rPr>
      </w:pPr>
    </w:p>
    <w:p>
      <w:pPr>
        <w:ind w:left="1140" w:hanging="671"/>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Condensed Consolidated Balance Sheets as of September 30, 2023 (unaudited) and December 31,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140" w:hanging="671"/>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0000EE"/>
        </w:rPr>
        <w:t>Condensed Consolidated Statements of Operations for the three and 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 w:lineRule="exact"/>
        <w:rPr>
          <w:sz w:val="20"/>
          <w:szCs w:val="20"/>
          <w:color w:val="auto"/>
        </w:rPr>
      </w:pPr>
    </w:p>
    <w:p>
      <w:pPr>
        <w:ind w:left="1140" w:hanging="671"/>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0000EE"/>
        </w:rPr>
        <w:t>Condensed Consolidated Statements of Changes in Stockholders’ Equity for the three and nine  months ended September 30, 2023 and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EE"/>
        </w:rPr>
        <w:t>2022 (unaudited);</w:t>
      </w:r>
    </w:p>
    <w:p>
      <w:pPr>
        <w:spacing w:after="0" w:line="9" w:lineRule="exact"/>
        <w:rPr>
          <w:sz w:val="20"/>
          <w:szCs w:val="20"/>
          <w:color w:val="auto"/>
        </w:rPr>
      </w:pPr>
    </w:p>
    <w:p>
      <w:pPr>
        <w:ind w:left="1140" w:hanging="67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Condensed Consolidated Statements of Cash Flows for the nine months ended September 30, 2023 and 2022 (unaudited);</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u w:val="single" w:color="auto"/>
          <w:color w:val="0000EE"/>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9,921,475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18,208,685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53,620,576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55,931,821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20,838,762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22,155,301</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3,008,858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2,280,828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87,389,671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98,576,635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149,304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137,448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22,673,820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22,673,820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7,548,337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7,702,895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1,777,669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1,940,178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148,642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235,320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3,141,709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3,384,889</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36,390,177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35,937,102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123,929,152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134,651,185</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691,159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1,549,979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3,108,908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2,601,246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3,685,390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3,990,440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89,902</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188,394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164,309</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7,701,538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120,955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7,822,493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8,540,408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Preferred stock, $0.001 par value, 10,000,000 shares authorized, none issued and outstanding at September 30, 2023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 December 31, 2022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$0.001 par value, 166,666,667 shares authorized, 18,386,920 and 18,288,571 shares issued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September 30, 2023 and December 31, 2022,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18,387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18,289</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Treasury stock, $0.001 par value, 1,741,397 and 1,214,398 shares held at September 30, 2023 and December 31,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176,206,572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172,785,800</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(60,116,559)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(46,692,098)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116,106,659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126,110,777</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123,929,152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134,651,185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For the Three Months Ended</w:t>
            </w: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41"/>
        </w:trPr>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revenue</w:t>
      </w:r>
    </w:p>
    <w:p>
      <w:pPr>
        <w:spacing w:after="0" w:line="23" w:lineRule="exact"/>
        <w:rPr>
          <w:sz w:val="20"/>
          <w:szCs w:val="20"/>
          <w:color w:val="auto"/>
        </w:rPr>
      </w:pPr>
    </w:p>
    <w:p>
      <w:pPr>
        <w:ind w:left="180" w:right="155" w:hanging="161"/>
        <w:spacing w:after="0" w:line="257" w:lineRule="auto"/>
        <w:rPr>
          <w:sz w:val="20"/>
          <w:szCs w:val="20"/>
          <w:color w:val="auto"/>
        </w:rPr>
      </w:pPr>
      <w:r>
        <w:rPr>
          <w:rFonts w:ascii="Arial" w:cs="Arial" w:eastAsia="Arial" w:hAnsi="Arial"/>
          <w:sz w:val="18"/>
          <w:szCs w:val="18"/>
          <w:color w:val="auto"/>
        </w:rPr>
        <w:t>Cost of revenues, exclusive of depreciation and amortization presented separately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br w:type="column"/>
      </w:r>
    </w:p>
    <w:p>
      <w:pPr>
        <w:ind w:left="325" w:hanging="325"/>
        <w:spacing w:after="0"/>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16,331,484   $   15,085,504   $   43,152,560   $   42,795,699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-121920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1380" w:type="dxa"/>
            <w:vAlign w:val="bottom"/>
            <w:gridSpan w:val="2"/>
          </w:tcPr>
          <w:p>
            <w:pPr>
              <w:ind w:left="400"/>
              <w:spacing w:after="0"/>
              <w:rPr>
                <w:sz w:val="20"/>
                <w:szCs w:val="20"/>
                <w:color w:val="auto"/>
              </w:rPr>
            </w:pPr>
            <w:r>
              <w:rPr>
                <w:rFonts w:ascii="Arial" w:cs="Arial" w:eastAsia="Arial" w:hAnsi="Arial"/>
                <w:sz w:val="18"/>
                <w:szCs w:val="18"/>
                <w:color w:val="auto"/>
              </w:rPr>
              <w:t>6,531,183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5,664,733</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18,093,949</w:t>
            </w:r>
          </w:p>
        </w:tc>
        <w:tc>
          <w:tcPr>
            <w:tcW w:w="1120" w:type="dxa"/>
            <w:vAlign w:val="bottom"/>
          </w:tcPr>
          <w:p>
            <w:pPr>
              <w:jc w:val="right"/>
              <w:spacing w:after="0"/>
              <w:rPr>
                <w:sz w:val="20"/>
                <w:szCs w:val="20"/>
                <w:color w:val="auto"/>
              </w:rPr>
            </w:pPr>
            <w:r>
              <w:rPr>
                <w:rFonts w:ascii="Arial" w:cs="Arial" w:eastAsia="Arial" w:hAnsi="Arial"/>
                <w:sz w:val="18"/>
                <w:szCs w:val="18"/>
                <w:color w:val="auto"/>
              </w:rPr>
              <w:t>16,283,307</w:t>
            </w:r>
          </w:p>
        </w:tc>
      </w:tr>
      <w:tr>
        <w:trPr>
          <w:trHeight w:val="223"/>
        </w:trPr>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7"/>
              </w:rPr>
              <w:t>9,800,301</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9,420,771</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25,058,611</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26,512,392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-162560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55" w:space="720"/>
            <w:col w:w="5265"/>
          </w:cols>
          <w:pgMar w:left="320" w:top="87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12,887,083</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12,661,703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39,161,752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36,373,298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466,706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515,828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1,395,400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1,565,484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13,353,789</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13,177,530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40,557,152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37,938,782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(3,553,488)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(3,756,759)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(15,498,541)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(11,426,390)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688,190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289,967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2,074,081</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313,786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(2,865,298)</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(3,466,792)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(13,424,460)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(11,112,604)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(2,865,298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(3,466,792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(13,424,460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(11,112,604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16,637,606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17,981,184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16,907,482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17,994,288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16,637,606</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17,981,184</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16,907,482</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17,994,288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 per share – basic</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Loss per share – 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22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212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19"/>
                <w:szCs w:val="19"/>
                <w:color w:val="auto"/>
              </w:rPr>
            </w:pPr>
          </w:p>
        </w:tc>
        <w:tc>
          <w:tcPr>
            <w:tcW w:w="2220" w:type="dxa"/>
            <w:vAlign w:val="bottom"/>
            <w:gridSpan w:val="6"/>
            <w:vMerge w:val="continue"/>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Paid in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9"/>
                <w:szCs w:val="19"/>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18,288,571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$ 172,785,800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(46,692,098)</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$ 126,110,777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1,466,694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1,466,694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2,913,809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2,913,809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options 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40,596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40,606</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For restricted stock units vested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(170,433)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(170,400)</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(6,397,714)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(6,397,714)</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18,331,511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18,332</w:t>
            </w:r>
          </w:p>
        </w:tc>
        <w:tc>
          <w:tcPr>
            <w:tcW w:w="110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(1,214,398</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(1,214</w:t>
            </w:r>
            <w:r>
              <w:rPr>
                <w:rFonts w:ascii="Arial" w:cs="Arial" w:eastAsia="Arial" w:hAnsi="Arial"/>
                <w:sz w:val="29"/>
                <w:szCs w:val="29"/>
                <w:color w:val="auto"/>
                <w:vertAlign w:val="superscript"/>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$ 177,036,466</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w w:val="98"/>
              </w:rPr>
              <w:t>$ (53,089,812</w:t>
            </w:r>
            <w:r>
              <w:rPr>
                <w:rFonts w:ascii="Arial" w:cs="Arial" w:eastAsia="Arial" w:hAnsi="Arial"/>
                <w:sz w:val="29"/>
                <w:szCs w:val="29"/>
                <w:color w:val="auto"/>
                <w:w w:val="98"/>
                <w:vertAlign w:val="superscript"/>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$ 123,963,772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1,654,770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1,654,770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1,848,353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1,848,353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options 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105,090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105,100</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For restricted stock units vested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(72,996)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(72,961)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(526,999)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(7,521,899)</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(7,522,426)</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(4,161,449)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(4,161,449)</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40" w:type="dxa"/>
            <w:vAlign w:val="bottom"/>
          </w:tcPr>
          <w:p>
            <w:pPr>
              <w:spacing w:after="0"/>
              <w:rPr>
                <w:sz w:val="20"/>
                <w:szCs w:val="20"/>
                <w:color w:val="auto"/>
              </w:rPr>
            </w:pPr>
            <w:r>
              <w:rPr>
                <w:rFonts w:ascii="Arial" w:cs="Arial" w:eastAsia="Arial" w:hAnsi="Arial"/>
                <w:sz w:val="18"/>
                <w:szCs w:val="18"/>
                <w:color w:val="auto"/>
              </w:rPr>
              <w:t>Balance June 30, 2023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18,376,771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18,377</w:t>
            </w:r>
          </w:p>
        </w:tc>
        <w:tc>
          <w:tcPr>
            <w:tcW w:w="110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(1,741,397</w:t>
            </w:r>
            <w:r>
              <w:rPr>
                <w:rFonts w:ascii="Arial" w:cs="Arial" w:eastAsia="Arial" w:hAnsi="Arial"/>
                <w:sz w:val="29"/>
                <w:szCs w:val="29"/>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(1,741</w:t>
            </w:r>
            <w:r>
              <w:rPr>
                <w:rFonts w:ascii="Arial" w:cs="Arial" w:eastAsia="Arial" w:hAnsi="Arial"/>
                <w:sz w:val="29"/>
                <w:szCs w:val="29"/>
                <w:color w:val="auto"/>
                <w:vertAlign w:val="superscript"/>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$ 173,049,784</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w w:val="98"/>
              </w:rPr>
              <w:t>$ (57,251,261</w:t>
            </w:r>
            <w:r>
              <w:rPr>
                <w:rFonts w:ascii="Arial" w:cs="Arial" w:eastAsia="Arial" w:hAnsi="Arial"/>
                <w:sz w:val="29"/>
                <w:szCs w:val="29"/>
                <w:color w:val="auto"/>
                <w:w w:val="98"/>
                <w:vertAlign w:val="superscript"/>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$ 115,815,159</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1,598,315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1,598,315</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1,607,912</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1,607,912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For options exercised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restricted stock units vested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(49,438)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(49,428)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(2,865,298)</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(2,865,298)</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18,386,920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18,387</w:t>
            </w:r>
          </w:p>
        </w:tc>
        <w:tc>
          <w:tcPr>
            <w:tcW w:w="110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(1,741,397</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(1,741</w:t>
            </w:r>
            <w:r>
              <w:rPr>
                <w:rFonts w:ascii="Arial" w:cs="Arial" w:eastAsia="Arial" w:hAnsi="Arial"/>
                <w:sz w:val="29"/>
                <w:szCs w:val="29"/>
                <w:color w:val="auto"/>
                <w:vertAlign w:val="superscript"/>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$ 176,206,572</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w w:val="98"/>
              </w:rPr>
              <w:t>$ (60,116,559</w:t>
            </w:r>
            <w:r>
              <w:rPr>
                <w:rFonts w:ascii="Arial" w:cs="Arial" w:eastAsia="Arial" w:hAnsi="Arial"/>
                <w:sz w:val="29"/>
                <w:szCs w:val="29"/>
                <w:color w:val="auto"/>
                <w:w w:val="98"/>
                <w:vertAlign w:val="superscript"/>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$ 116,106,659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22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212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19"/>
                <w:szCs w:val="19"/>
                <w:color w:val="auto"/>
              </w:rPr>
            </w:pPr>
          </w:p>
        </w:tc>
        <w:tc>
          <w:tcPr>
            <w:tcW w:w="2220" w:type="dxa"/>
            <w:vAlign w:val="bottom"/>
            <w:gridSpan w:val="6"/>
            <w:vMerge w:val="continue"/>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Paid in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17,860,975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$ 166,615,514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(35,253,658)</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$ 131,379,717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905,744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905,744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2,268,354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2,268,354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options 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258,128</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For restricted stock units vested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(3,761,098)</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(3,761,098)</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17,902,608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$ 170,047,698</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w w:val="98"/>
              </w:rPr>
              <w:t>$ (39,014,756</w:t>
            </w:r>
            <w:r>
              <w:rPr>
                <w:rFonts w:ascii="Arial" w:cs="Arial" w:eastAsia="Arial" w:hAnsi="Arial"/>
                <w:sz w:val="29"/>
                <w:szCs w:val="29"/>
                <w:color w:val="auto"/>
                <w:w w:val="98"/>
                <w:vertAlign w:val="superscript"/>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$ 131,050,845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1,336,810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1,336,810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2,688,513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2,688,513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options 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572,303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572,347</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For acquisition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9,374,214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9,374,455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(321,041)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(321,054)</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(3,884,714)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(3,884,714)</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40" w:type="dxa"/>
            <w:vAlign w:val="bottom"/>
          </w:tcPr>
          <w:p>
            <w:pPr>
              <w:spacing w:after="0"/>
              <w:rPr>
                <w:sz w:val="20"/>
                <w:szCs w:val="20"/>
                <w:color w:val="auto"/>
              </w:rPr>
            </w:pPr>
            <w:r>
              <w:rPr>
                <w:rFonts w:ascii="Arial" w:cs="Arial" w:eastAsia="Arial" w:hAnsi="Arial"/>
                <w:sz w:val="18"/>
                <w:szCs w:val="18"/>
                <w:color w:val="auto"/>
              </w:rPr>
              <w:t>Balance June 30, 2022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18,187,050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18,188</w:t>
            </w:r>
          </w:p>
        </w:tc>
        <w:tc>
          <w:tcPr>
            <w:tcW w:w="110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(12,868</w:t>
            </w:r>
            <w:r>
              <w:rPr>
                <w:rFonts w:ascii="Arial" w:cs="Arial" w:eastAsia="Arial" w:hAnsi="Arial"/>
                <w:sz w:val="29"/>
                <w:szCs w:val="29"/>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(13</w:t>
            </w:r>
            <w:r>
              <w:rPr>
                <w:rFonts w:ascii="Arial" w:cs="Arial" w:eastAsia="Arial" w:hAnsi="Arial"/>
                <w:sz w:val="29"/>
                <w:szCs w:val="29"/>
                <w:color w:val="auto"/>
                <w:vertAlign w:val="superscript"/>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$ 183,698,497</w:t>
            </w:r>
          </w:p>
        </w:tc>
        <w:tc>
          <w:tcPr>
            <w:tcW w:w="114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w w:val="98"/>
              </w:rPr>
              <w:t>$ (42,899,470</w:t>
            </w:r>
            <w:r>
              <w:rPr>
                <w:rFonts w:ascii="Arial" w:cs="Arial" w:eastAsia="Arial" w:hAnsi="Arial"/>
                <w:sz w:val="29"/>
                <w:szCs w:val="29"/>
                <w:color w:val="auto"/>
                <w:w w:val="98"/>
                <w:vertAlign w:val="superscript"/>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$ 140,817,202</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1,381,512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1,381,512</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2,895,729</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2,895,729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For options exercised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219,561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219,629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restricted stock units vested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(34,565)</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(693,246)</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(12,239,824)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(12,240,517)</w:t>
            </w: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(3,466,792)</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(3,466,792)</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18,261,239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18,261</w:t>
            </w:r>
          </w:p>
        </w:tc>
        <w:tc>
          <w:tcPr>
            <w:tcW w:w="110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(706,114</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(706</w:t>
            </w:r>
            <w:r>
              <w:rPr>
                <w:rFonts w:ascii="Arial" w:cs="Arial" w:eastAsia="Arial" w:hAnsi="Arial"/>
                <w:sz w:val="29"/>
                <w:szCs w:val="29"/>
                <w:color w:val="auto"/>
                <w:vertAlign w:val="superscript"/>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$ 175,920,910</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w w:val="98"/>
              </w:rPr>
              <w:t>$ (46,366,262</w:t>
            </w:r>
            <w:r>
              <w:rPr>
                <w:rFonts w:ascii="Arial" w:cs="Arial" w:eastAsia="Arial" w:hAnsi="Arial"/>
                <w:sz w:val="29"/>
                <w:szCs w:val="29"/>
                <w:color w:val="auto"/>
                <w:w w:val="98"/>
                <w:vertAlign w:val="superscript"/>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$ 129,572,203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  (13,424,460)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(11,112,604)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1,395,400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1,565,484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11,089,853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11,476,662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bad debt reserve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478,086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132,727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838,453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6,854,150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(728,030)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2,199,333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(858,820)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393,817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(305,049)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(1,704,593)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508,548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(1,237,689)</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24,084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(716,693)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(81,767)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(64,667)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held-to-maturity investments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(162,777,510)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(37,468,889)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Redemptions of held-to-maturity investments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165,088,755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EvinceMed acquisition</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intangible assets, including intellectual property rights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(3,796)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(158,321)</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(1,561,447)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664,235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(39,691,877)</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Cash paid for employee withholding taxes related to the vesting of restricted stock units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 origination costs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right="2900"/>
        <w:spacing w:after="0" w:line="281" w:lineRule="auto"/>
        <w:rPr>
          <w:sz w:val="20"/>
          <w:szCs w:val="20"/>
          <w:color w:val="auto"/>
        </w:rPr>
      </w:pPr>
      <w:r>
        <w:rPr>
          <w:rFonts w:ascii="Arial" w:cs="Arial" w:eastAsia="Arial" w:hAnsi="Arial"/>
          <w:sz w:val="17"/>
          <w:szCs w:val="17"/>
          <w:b w:val="1"/>
          <w:bCs w:val="1"/>
          <w:color w:val="auto"/>
        </w:rPr>
        <w:t>NET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color w:val="auto"/>
        </w:rPr>
        <w:t>(292,789)</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340"/>
        <w:spacing w:after="0"/>
        <w:tabs>
          <w:tab w:leader="none" w:pos="1560" w:val="left"/>
        </w:tabs>
        <w:rPr>
          <w:sz w:val="20"/>
          <w:szCs w:val="20"/>
          <w:color w:val="auto"/>
        </w:rPr>
      </w:pPr>
      <w:r>
        <w:rPr>
          <w:rFonts w:ascii="Arial" w:cs="Arial" w:eastAsia="Arial" w:hAnsi="Arial"/>
          <w:sz w:val="18"/>
          <w:szCs w:val="18"/>
          <w:color w:val="auto"/>
        </w:rPr>
        <w:t>(7,522,426)</w:t>
      </w:r>
      <w:r>
        <w:rPr>
          <w:sz w:val="20"/>
          <w:szCs w:val="20"/>
          <w:color w:val="auto"/>
        </w:rPr>
        <w:tab/>
      </w:r>
      <w:r>
        <w:rPr>
          <w:rFonts w:ascii="Arial" w:cs="Arial" w:eastAsia="Arial" w:hAnsi="Arial"/>
          <w:sz w:val="18"/>
          <w:szCs w:val="18"/>
          <w:color w:val="auto"/>
        </w:rPr>
        <w:t>(12,561,571)</w:t>
      </w:r>
    </w:p>
    <w:p>
      <w:pPr>
        <w:spacing w:after="0" w:line="9" w:lineRule="exact"/>
        <w:rPr>
          <w:sz w:val="20"/>
          <w:szCs w:val="20"/>
          <w:color w:val="auto"/>
        </w:rPr>
      </w:pPr>
    </w:p>
    <w:p>
      <w:pPr>
        <w:ind w:left="540"/>
        <w:spacing w:after="0"/>
        <w:tabs>
          <w:tab w:leader="none" w:pos="1720" w:val="left"/>
        </w:tabs>
        <w:rPr>
          <w:sz w:val="20"/>
          <w:szCs w:val="20"/>
          <w:color w:val="auto"/>
        </w:rPr>
      </w:pPr>
      <w:r>
        <w:rPr>
          <w:rFonts w:ascii="Arial" w:cs="Arial" w:eastAsia="Arial" w:hAnsi="Arial"/>
          <w:sz w:val="17"/>
          <w:szCs w:val="17"/>
          <w:color w:val="auto"/>
        </w:rPr>
        <w:t>145,706</w:t>
      </w:r>
      <w:r>
        <w:rPr>
          <w:sz w:val="20"/>
          <w:szCs w:val="20"/>
          <w:color w:val="auto"/>
        </w:rPr>
        <w:tab/>
      </w:r>
      <w:r>
        <w:rPr>
          <w:rFonts w:ascii="Arial" w:cs="Arial" w:eastAsia="Arial" w:hAnsi="Arial"/>
          <w:sz w:val="17"/>
          <w:szCs w:val="17"/>
          <w:color w:val="auto"/>
        </w:rPr>
        <w:t>1,050,104</w:t>
      </w:r>
    </w:p>
    <w:p>
      <w:pPr>
        <w:spacing w:after="0" w:line="21"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color w:val="auto"/>
        </w:rPr>
        <w:t>(300,000)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40"/>
        <w:spacing w:after="0"/>
        <w:tabs>
          <w:tab w:leader="none" w:pos="900" w:val="left"/>
        </w:tabs>
        <w:rPr>
          <w:sz w:val="20"/>
          <w:szCs w:val="20"/>
          <w:color w:val="auto"/>
        </w:rPr>
      </w:pPr>
      <w:r>
        <w:rPr>
          <w:rFonts w:ascii="Arial" w:cs="Arial" w:eastAsia="Arial" w:hAnsi="Arial"/>
          <w:sz w:val="18"/>
          <w:szCs w:val="18"/>
          <w:color w:val="auto"/>
        </w:rPr>
        <w:t>(7,969,509)</w:t>
      </w:r>
      <w:r>
        <w:rPr>
          <w:sz w:val="20"/>
          <w:szCs w:val="20"/>
          <w:color w:val="auto"/>
        </w:rPr>
        <w:tab/>
      </w:r>
      <w:r>
        <w:rPr>
          <w:rFonts w:ascii="Arial" w:cs="Arial" w:eastAsia="Arial" w:hAnsi="Arial"/>
          <w:sz w:val="16"/>
          <w:szCs w:val="16"/>
          <w:color w:val="auto"/>
        </w:rPr>
        <w:t>(11,511,467)</w:t>
      </w:r>
    </w:p>
    <w:p>
      <w:pPr>
        <w:spacing w:after="0" w:line="49" w:lineRule="exact"/>
        <w:rPr>
          <w:sz w:val="20"/>
          <w:szCs w:val="20"/>
          <w:color w:val="auto"/>
        </w:rPr>
      </w:pPr>
    </w:p>
    <w:p>
      <w:pPr>
        <w:jc w:val="both"/>
        <w:ind w:left="340"/>
        <w:spacing w:after="0"/>
        <w:tabs>
          <w:tab w:leader="none" w:pos="1560" w:val="left"/>
        </w:tabs>
        <w:rPr>
          <w:sz w:val="20"/>
          <w:szCs w:val="20"/>
          <w:color w:val="auto"/>
        </w:rPr>
      </w:pPr>
      <w:r>
        <w:rPr>
          <w:rFonts w:ascii="Arial" w:cs="Arial" w:eastAsia="Arial" w:hAnsi="Arial"/>
          <w:sz w:val="18"/>
          <w:szCs w:val="18"/>
          <w:color w:val="auto"/>
        </w:rPr>
        <w:t>(8,287,209)</w:t>
      </w:r>
      <w:r>
        <w:rPr>
          <w:sz w:val="20"/>
          <w:szCs w:val="20"/>
          <w:color w:val="auto"/>
        </w:rPr>
        <w:tab/>
      </w:r>
      <w:r>
        <w:rPr>
          <w:rFonts w:ascii="Arial" w:cs="Arial" w:eastAsia="Arial" w:hAnsi="Arial"/>
          <w:sz w:val="18"/>
          <w:szCs w:val="18"/>
          <w:color w:val="auto"/>
        </w:rPr>
        <w:t>(43,352,750)</w:t>
      </w:r>
    </w:p>
    <w:p>
      <w:pPr>
        <w:spacing w:after="0" w:line="23" w:lineRule="exact"/>
        <w:rPr>
          <w:sz w:val="20"/>
          <w:szCs w:val="20"/>
          <w:color w:val="auto"/>
        </w:rPr>
      </w:pPr>
    </w:p>
    <w:p>
      <w:pPr>
        <w:ind w:left="320"/>
        <w:spacing w:after="0"/>
        <w:tabs>
          <w:tab w:leader="none" w:pos="1620" w:val="left"/>
        </w:tabs>
        <w:rPr>
          <w:sz w:val="20"/>
          <w:szCs w:val="20"/>
          <w:color w:val="auto"/>
        </w:rPr>
      </w:pPr>
      <w:r>
        <w:rPr>
          <w:rFonts w:ascii="Arial" w:cs="Arial" w:eastAsia="Arial" w:hAnsi="Arial"/>
          <w:sz w:val="17"/>
          <w:szCs w:val="17"/>
          <w:color w:val="auto"/>
        </w:rPr>
        <w:t>18,208,685</w:t>
      </w:r>
      <w:r>
        <w:rPr>
          <w:sz w:val="20"/>
          <w:szCs w:val="20"/>
          <w:color w:val="auto"/>
        </w:rPr>
        <w:tab/>
      </w:r>
      <w:r>
        <w:rPr>
          <w:rFonts w:ascii="Arial" w:cs="Arial" w:eastAsia="Arial" w:hAnsi="Arial"/>
          <w:sz w:val="17"/>
          <w:szCs w:val="17"/>
          <w:color w:val="auto"/>
        </w:rPr>
        <w:t>84,681,770</w:t>
      </w:r>
    </w:p>
    <w:p>
      <w:pPr>
        <w:spacing w:after="0" w:line="74" w:lineRule="exact"/>
        <w:rPr>
          <w:sz w:val="20"/>
          <w:szCs w:val="20"/>
          <w:color w:val="auto"/>
        </w:rPr>
      </w:pPr>
    </w:p>
    <w:p>
      <w:pPr>
        <w:spacing w:after="0"/>
        <w:tabs>
          <w:tab w:leader="none" w:pos="380" w:val="left"/>
          <w:tab w:leader="none" w:pos="1320" w:val="left"/>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9,921,475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41,329,020</w:t>
      </w:r>
    </w:p>
    <w:p>
      <w:pPr>
        <w:spacing w:after="0" w:line="23"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ROU assets obtained in exchange for lease obligations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Reduction of EvinceMed purchase price for amounts previously paid</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Shares issued in connection with acquisition</w:t>
            </w: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9,374,455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condensed consolidated financial statements for the three and nine months ended September 30, 2023 and 2022 have been prepared by us without audit pursuant to the rules and regulations of the U.S. Securities and Exchange Commission (“SEC”). In the opinion of management, all adjustments necessary to present fairly our financial position at September 30, 2023, and our results of operations, changes in stockholders’ equity, and cash flows for the nine months ended September 30, 2023 and 2022, have been made. Those adjustments consist of normal and recurring adjustments. The condensed consolidated balance sheet as of December 31, 2022, has been derived from the audited consolidated condensed balance sheet as of that date.</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2022, as filed with the SEC on March 10, 2023.</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nine months ended September 30, 2023, are not necessarily indicative of the results to be expected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ASU Topic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requires contract assets and contract liabilities acquired in a business combination to be recognized and measured by the acquirer on the acquisition date in accordance with ASC 606</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CASH, CASH EQUIVALENTS AND SHORT-TERM INVESTMENTS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equivalents include items almost as liquid as cash with maturity periods of three months or less when purchased, and short-term investments include items with maturity dates between three months and one year when purchased. 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 At September 30, 2023 and December 31, 2022, we have recorded $53.6 million and $55.9 million, respectively, of held-to-maturity United States’ Treasury Bills at amortized cost basis. Our held-to-maturity United States’ Treasury Bills have maturity dates between October 2023 and December 2023.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CAPITALIZED SOFTWARE COSTS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consolidated statements of operations. Amortization of capitalized internal use software expense for the nine months ended September 30, 2023 and 2022 was $142,662 and $254,547, respectively. The Company accumulates capitalizable costs related to current projects in a construction in process (“CIP”) software account, the balance of which was $761,447 and zero at September 30, 2023 and December 31,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5 –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$4,598,280 and $3,582,735 at September 30, 2023, and December 31, 2022, respectively. Amounts billed in advance of revenue recognition are presented as deferred revenue on the condensed consolidated balance sheets.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several signed contracts with customers for the distribution of messaging, or other services, which include payment in advance. The payments are not recorded as revenue until the revenue is earned under its revenue recognition policy. Deferred revenue was $188,394 and $164,309 as of September 30, 2023 and December 31, 2022, respectively. The contracts are all short term in nature and all revenue is expected to be recognized within 12 months, or less. Following is a summary of activity for the deferred revenue account for the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CCEEFF"/>
            </w:tcBorders>
          </w:tcPr>
          <w:p>
            <w:pPr>
              <w:spacing w:after="0"/>
              <w:rPr>
                <w:sz w:val="20"/>
                <w:szCs w:val="20"/>
                <w:color w:val="auto"/>
              </w:rPr>
            </w:pPr>
          </w:p>
        </w:tc>
        <w:tc>
          <w:tcPr>
            <w:tcW w:w="5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50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Revenue recognized</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(8,778,893)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(6,013,181)</w:t>
            </w:r>
          </w:p>
        </w:tc>
        <w:tc>
          <w:tcPr>
            <w:tcW w:w="0" w:type="dxa"/>
            <w:vAlign w:val="bottom"/>
          </w:tcPr>
          <w:p>
            <w:pPr>
              <w:spacing w:after="0"/>
              <w:rPr>
                <w:sz w:val="1"/>
                <w:szCs w:val="1"/>
                <w:color w:val="auto"/>
              </w:rPr>
            </w:pPr>
          </w:p>
        </w:tc>
      </w:tr>
      <w:tr>
        <w:trPr>
          <w:trHeight w:val="25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Amount collected</w:t>
            </w:r>
          </w:p>
        </w:tc>
        <w:tc>
          <w:tcPr>
            <w:tcW w:w="5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9,349,724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5,916,318</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March 31</w:t>
            </w:r>
          </w:p>
        </w:tc>
        <w:tc>
          <w:tcPr>
            <w:tcW w:w="50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735,140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1,293,044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5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(9,619,380)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(7,373,802)</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Amount collected</w:t>
            </w:r>
          </w:p>
        </w:tc>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9,336,027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7,122,677</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5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451,787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Revenue recognized</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(11,400,132)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(9,611,912)</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Amount collected</w:t>
            </w:r>
          </w:p>
        </w:tc>
        <w:tc>
          <w:tcPr>
            <w:tcW w:w="5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11,136,739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9,243,207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September 30</w:t>
            </w:r>
          </w:p>
        </w:tc>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vMerge w:val="continue"/>
          </w:tcPr>
          <w:p>
            <w:pPr>
              <w:spacing w:after="0"/>
              <w:rPr>
                <w:sz w:val="20"/>
                <w:szCs w:val="20"/>
                <w:color w:val="auto"/>
              </w:rPr>
            </w:pPr>
          </w:p>
        </w:tc>
        <w:tc>
          <w:tcPr>
            <w:tcW w:w="5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188,394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673,214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080" w:type="dxa"/>
            <w:vAlign w:val="bottom"/>
            <w:vMerge w:val="restart"/>
          </w:tcPr>
          <w:p>
            <w:pPr>
              <w:jc w:val="right"/>
              <w:ind w:right="293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REVENUES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over time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14,815,187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14,503,942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40,421,323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39,627,265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Revenue recognized at a point in time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1,516,297</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581,562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2,731,237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3,168,434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16,331,484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15,085,504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43,152,560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42,795,699</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6 –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we had operating leases for office space in three multi-tenant facilities in Rochester, Michigan, and Zagreb, Croatia. We also had a lease on office space in Cranbury, New Jersey, which expired in January 2022. The lease in Rochester, Michigan was terminated during the quarter ended June 30, 2023. The lease in Zagreb, Croatia was terminated in the quarter ended September 30, 2023 and replaced with a lease in a new location in Zagreb, Croatia that expires in June 2028.</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July 2023, the Company entered into a short-term sublease agreement for office space in Waltham, MA. The term of the sublease commenced on June 15, 2023 and will terminate on July 31, 2024. The Company is obligated to pay approximately $5,800 per month over the term of the lease.</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Short-term lease costs include month to month leases, subleases of less than eighteen (18) months, and occasional rent for transient meeting and office spaces in shared office space facilities.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2023 and 2022, the Company’s lease cost consists of the following components, each of which is included in operating expenses within the Company’s condensed consolidated statements of operations:</w:t>
      </w:r>
    </w:p>
    <w:p>
      <w:pPr>
        <w:spacing w:after="0" w:line="16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60" w:type="dxa"/>
            <w:vAlign w:val="bottom"/>
            <w:tcBorders>
              <w:bottom w:val="single" w:sz="8" w:color="CCEEFF"/>
            </w:tcBorders>
          </w:tcPr>
          <w:p>
            <w:pPr>
              <w:spacing w:after="0"/>
              <w:rPr>
                <w:sz w:val="21"/>
                <w:szCs w:val="21"/>
                <w:color w:val="auto"/>
              </w:rPr>
            </w:pPr>
          </w:p>
        </w:tc>
        <w:tc>
          <w:tcPr>
            <w:tcW w:w="5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60,520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Short-term lease cost</w:t>
            </w:r>
          </w:p>
        </w:tc>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26,995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7"/>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5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vMerge w:val="continue"/>
            <w:shd w:val="clear" w:color="auto" w:fill="CCEEFF"/>
          </w:tcPr>
          <w:p>
            <w:pPr>
              <w:spacing w:after="0"/>
              <w:rPr>
                <w:sz w:val="21"/>
                <w:szCs w:val="21"/>
                <w:color w:val="auto"/>
              </w:rPr>
            </w:pPr>
          </w:p>
        </w:tc>
        <w:tc>
          <w:tcPr>
            <w:tcW w:w="5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87,515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rPr>
              <w:t>OPTIMIZERX CORPORATION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5"/>
              </w:rPr>
              <w:t>SEPTEMBER 30, 2023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NOTE 6 – LEASES (CONTINUED)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September 30, 2023:</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2023</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36,129</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36,129</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36,129</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36,129</w:t>
            </w:r>
          </w:p>
        </w:tc>
      </w:tr>
      <w:tr>
        <w:trPr>
          <w:trHeight w:val="236"/>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18,065</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148,642</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remaining lease term at September 30, 2023 for the operating lease is 4 years, 9 months, and the discount rate used in calculating the operating lease asset and liability is 6.32%. Cash paid for amounts included in the measurement of lease liabilities was $53,027 and $66,244 for the nine months ended September 30, 2023 and 2022, respectively. For the nine months ended September 30, 2023 and 2022, payments on lease obligations were $60,095 and $75,719, respectively, and amortization on the right of use assets was $60,520 and $77,011,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7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10,000,000 shares of preferred stock, $0.001 par value per share, authorized as of September 30, 2023. No shares were issued or outstanding in either 2023 or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166,666,667 shares of common stock, $0.001 par value per share, authorized as of September 30, 2023. There were 16,645,523 and 17,074,173 shares of common stock outstanding, net of shares held in treasury of 1,741,397 and 1,214,398, at September 30, 2023 and December 31, 2022, respectively.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quarters ended September 30, 2023, June 30, 2023 and March 31, 2023, the Company issued 0, 10,000 and 9,668 shares of our common stock, respectively, and received proceeds of $0, $105,100 and $40,606, respectively, in connection with the exercise of options under our 2013 Incentive Plan.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quarters ended September 30, 2022, June 30, 2022 and March 31, 2022, the Company issued 68,751, 43,701 and 28,006 shares of our common stock, respectively, and received proceeds of $219,629, $572,347 and $258,128, respectively, in connection with the exercise of options under our 2013 Incentive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STOCKHOLDERS’ EQUITY (CONTINUED)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issued 10,149, 35,260 and 33,272 shares of common stock in the three months ended September 30, 2023, June 30, 2023 and March 31, 2023, respectively, in connection with the vesting of restricted stock units under our 2013 Incentive Plan and our 2021 Equity Incentive Plan. Some of the participants utilized a net withhold settlement method, in which shares were surrendered to cover payroll withholding taxes. Of the shares issued to participants during the nine months ended September 30, 2023, 19,488 shares, valued at $260,710, were surrendered and subsequently cancelled.</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issued 5,438, 0, and 13,627 shares of common stock in the three months ended September 30, 2022, June 30, 2022, and March 31, 2022, respectively, in connection with the vesting of restricted stock units under our 2013 Incentive Plan and our 2021 Equity Incentive Plan.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240,741 shares of common stock valued at $9,374,455 during the quarter ended June 30, 2022 in connection with the acquisition of substantially all of the assets of EvinceMed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2023, the Board authorized a share repurchase program, under which the Company may repurchase up to $15 million of its outstanding common stock. This stock repurchase authorization expires on the earlier of March 12, 2024, or when the repurchase of $15 million of shares of its common stock has been reached. During the quarter ended June 30, 2023, the Company repurchased 526,999 shares, under this program for a total of $7,522,426, including commissions paid on repurchases. These shares were recorded as treasury shares using the par value method. There were no shares repurchased in the quarter ended September 30,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the Board authorized a share repurchase program, under which the Company could repurchase up to $20.0 million of its outstanding common stock. During 2022, the Company repurchased 1,214,398 shares of our common stock for a total of $20,021,830, including commissions paid on repurchases. These shares were recorded as treasury shares using the par value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8 – STOCK 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expense related to options for the nine months ended September 30, 2023 and 2022 was $4,719,779 and $3,624,065, respectively. The fair value of these instruments was calculated using the Black-Scholes option pricing model. There is $10,177,841 of remaining expense related to unvested options to be recognized in the future over a weighted average period of 1.75 years. The total intrinsic value of outstanding options at September 30, 2023 was $12,600.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the Company granted certain performance based stock options, the expense for which will be recorded over time once the achievement of the performance is deemed probable. There was no expense related to these options recorded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recorded of $6,370,074 and $7,852,597 in compensation expense related to restricted stock units for the nine months ended September 30, 2023 and 2022, respectively. A total of $11,247,274 remains to be recognized at September 30, 2023 over a weighted average period of 1.88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8 – STOCK BASED COMPENSATION (CONTINUED)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2022, the Company granted certain performance based restricted stock units, the expense for which will be recorded over time once the achievement of the performance is deemed probable. There was no expense related to these restricted stock units recorded during the period.</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director’s compensation program calls for the grant of restricted stock units with a one year vesting period. There was $540,820 and $444,365 included in the compensation expense discussed above related to director’s compensation for the periods ended September 30, 2023 and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 Modification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April 16, 2023, the Compensation Committee approved a grant to the CEO of 86,685 restricted stock units and 161,698 stock options with a grant date fair value of $2.5 million to vest over a three year period. Concurrently, the CEO forfeited his October 2021 grant of 182,398 market-based restricted stock units. The forfeiture and accompanying grant are considered an equity modification according to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additional compensation value created by the termination and issuance of new equity awarded, as measured using a Monte Carlo simulation was approximately $1.9 million in total. Under ASC 718 this results in a non-cash expense in current and future periods to be recognized over a three year period. These expense values are reflected and included in the option and restricted stock expense values discussed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NOTE 9 – LOSS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(“EPS”) is computed by dividing net income (loss) by the weighted average number of common shares outstanding during the period.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number of shares related to options and restricted stock units included in diluted EPS is based on the “Treasury Stock Method” prescribed in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LOSS PER SHARE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line="256" w:lineRule="exact"/>
              <w:rPr>
                <w:sz w:val="20"/>
                <w:szCs w:val="20"/>
                <w:color w:val="auto"/>
              </w:rPr>
            </w:pPr>
            <w:r>
              <w:rPr>
                <w:rFonts w:ascii="Arial" w:cs="Arial" w:eastAsia="Arial" w:hAnsi="Arial"/>
                <w:sz w:val="16"/>
                <w:szCs w:val="16"/>
                <w:color w:val="auto"/>
              </w:rPr>
              <w:t>(2,865,298</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(3,466,792</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(13,424,460</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(11,112,604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8"/>
              </w:rPr>
              <w:t>Weighted average shares outstanding used in computing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16,637,606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17,981,184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16,907,482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17,994,288</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Effect of dilutive stock options, warrants, and stock grants</w:t>
            </w: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16,637,606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17,981,184</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16,907,482</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17,994,288</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(0.17</w:t>
            </w:r>
            <w:r>
              <w:rPr>
                <w:rFonts w:ascii="Arial" w:cs="Arial" w:eastAsia="Arial" w:hAnsi="Arial"/>
                <w:sz w:val="29"/>
                <w:szCs w:val="29"/>
                <w:color w:val="auto"/>
                <w:vertAlign w:val="super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(0.19</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(0.79</w:t>
            </w:r>
            <w:r>
              <w:rPr>
                <w:rFonts w:ascii="Arial" w:cs="Arial" w:eastAsia="Arial" w:hAnsi="Arial"/>
                <w:sz w:val="29"/>
                <w:szCs w:val="29"/>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(0.62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calculation of diluted earnings per share is included for the three or nine months ended September 30, 2023 or 2022 as the effect of the calculation would be anti-dilutive.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common shares potentially issuable upon the exercise of certain options and the vesting of certain restricted stock units that were excluded from the diluted loss per common share calculation are reflected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shares for the periods ended</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7,433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17,736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Unvested restricted stock unit awards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3,739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43,751</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23,341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76,010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11,172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107,222</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41,077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175,597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10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material legal proceedings.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our annual report on Form 10-K for the year ended December 31, 2022, we had net operating loss carry-forwards for federal income tax purposes of approximately $21.5 million as of December 31, 2022. Accordingly, no federal income tax expense or benefit is recorded in the current period. Management monitors company-specific, and macro- economic factors and assesses the likelihood that the Company’s net deferred tax assets will be utilized prior to their expiration. As previously disclosed in our annual report, the Company maintained a valuation allowance against its net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12 – SUBSEQUENT EVENTS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2023, the Company completed the acquisition of 100% of the outstanding shares of Healthy Offers, Inc. (d/b/a Medicx Health), a Nevada corporation. On October 24, 2023, a newly formed wholly-owned subsidiary of the Company consummated the merger with and into Medicx, with Medicx continuing as the surviving company and a wholly-owned subsidiary of the Company (the “Merger”). The aggregate merger consideration the Company paid to the securityholders of Medicx at the closing was $95,000,000, subject to certain customary post-acquisition purchase price adjustments. There were $554,741 and $589,691 in costs related to the acquisition recorded in operating expense for the three and nine months ended September 30, 2023,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members of Medicx’s management team (“Management Investors”) agreed to use a portion of the consideration received to purchase, in the aggregate, approximately $10.5 million of the Company’s common stock. On October, 24, 2023, at the closing of the Merger, each Management Investor executed a common stock purchase agreement (the “Subscription Agreement”). Pursuant to the Subscription Agreement, the Company issued 1,444,581 shares of its common stock in the aggregate to the Management Investors.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portion of the cash purchase price was funded through debt financing. The financing agreement provides for a term loan in the aggregate principal amount of $40,000,000.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(4th) anniversary of the closing of the financing agreement and funding of the term loan and (ii) the date on which the term loan is declared due and payable pursuant to the terms of the finance agreement. There was $300,000 of fees paid in loan origination fees during the three and nine months ending September 30, 2023.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Forward-looking statements are subject to risks and uncertainties. Actual results could differ materially from those expressed in or implied by such forward-looking statements due to a variety of factors, including: seasonal trends in the pharmaceutical brand marketing industry; the inability to support our technology and scale our operations successfully, developing and implementing new and updated applications, features and services for our portals may be more difficult and expensive and take longer than expected; the inability to offer high-quality customer support for our portals;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acquisition activities may disrupt ongoing business and may involve increased expenses; inability to realize the financial and strategic goals contemplated at the time of a transaction; inability to realize any synergies or other anticipated benefits of an acquisition or that such synergies or benefits may take longer than anticipated to be realized; risk that the integration with an acquired entity may be more costly or difficult than expected;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and volatility in the market price of our common stock.</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2022. Moreover, we operate in a rapidly changing and competitive environment. New risk factors emerge from time to time, and it is not possible for management to predict all such risk factors.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our revenue was generated primarily through the facilitation of financial messages to health care providers via their EHR and ePrescribe systems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expanded to encompass additional solutions that enable healthcare providers to access information for patients at the point of care. These solutions include brand messaging, therapeutic support messaging, brand support, and innovative patient engagement services, all of which now make up a significant portion of our total revenue.</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artificial intelligence-powered real-world data solution which uses sophisticated proprietary algorithms to derive additional revenue from our existing network. Management will continue to optimize our portfolio of solutions to align our resource deployment to the best market opportunities.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half of the year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2023, we acquired 100% of the outstanding shares of Healthy Offers, Inc. (d/b/a Medicx Health), a Nevada corporation. The aggregate merger consideration the Company paid to the security holders of Medicx at the closing was $95,000,000, subject to certain customary post-acquisition purchase price adjustments. A portion of the cash purchase price was funded through debt financing, with a term loan in the aggregate principal amount of $40,000,000. This acquisition could materially effect our results of operations in 2023 and beyond and the comparability of results to prior year periods. The Company’s cash and cash-equivalents as of October 31, 2023 was approximately $15.8 million. See Part I, Item 1, Note 12 “Subsequent Events” for further information about this acquisition and the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Unfavorable conditions in the economy may negatively affect the growth of our business and our results of operations. For example, macroeconomic events including the conditions in the global capital markets, both in the U.S. and elsewhere in the world, geopolitical tensions such as the war between Russia and Ukraine as well as the conflict between Israel and Hamas, COVID-19 pandemic, rising inflation, and the U.S. Federal Reserve raising interest rates have led to economic uncertainty in the credit markets and could cause our customers and potential customers to postpone or reduce spending on technology products or services or put downward pressure on prices.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Average revenue per top 20 pharmaceutical manufacturer. </w:t>
      </w:r>
      <w:r>
        <w:rPr>
          <w:rFonts w:ascii="Arial" w:cs="Arial" w:eastAsia="Arial" w:hAnsi="Arial"/>
          <w:sz w:val="17"/>
          <w:szCs w:val="17"/>
          <w:color w:val="auto"/>
        </w:rPr>
        <w:t>Average revenue per top 20 pharmaceutical manufacturer is calculated by taking the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the company recognized through pharmaceutical manufacturers listed in Fierce Pharma’s “The top 20 pharma companies by 2022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believes it also provides investors with a transparent way to chart our progress in penetrating this important customer segment. The decrease in the average in twelve months ended September 30, 2023 as compared to the twelve months ended September 30, 2022 is primarily the result of the convergence of numerous macroeconomic factors that resulted in our customers slowing their rate of spend, particularly for large and/or new implementations, which we believe prolonged sales cycles with the top 20 pharmaceutical manufacturers that were existing customers. This was particularly evident during 2022 and the first half of 2023 and the Company has begun to see improvements since the second half of 2023.</w:t>
      </w:r>
    </w:p>
    <w:p>
      <w:pPr>
        <w:spacing w:after="0" w:line="174" w:lineRule="exact"/>
        <w:rPr>
          <w:sz w:val="20"/>
          <w:szCs w:val="20"/>
          <w:color w:val="auto"/>
        </w:rPr>
      </w:pPr>
    </w:p>
    <w:p>
      <w:pPr>
        <w:jc w:val="right"/>
        <w:ind w:right="48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jc w:val="right"/>
        <w:ind w:right="52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060" w:val="left"/>
          <w:tab w:leader="none" w:pos="10000" w:val="left"/>
          <w:tab w:leader="none" w:pos="10400" w:val="left"/>
        </w:tabs>
        <w:rPr>
          <w:sz w:val="20"/>
          <w:szCs w:val="20"/>
          <w:color w:val="auto"/>
        </w:rPr>
      </w:pPr>
      <w:r>
        <w:rPr>
          <w:rFonts w:ascii="Arial" w:cs="Arial" w:eastAsia="Arial" w:hAnsi="Arial"/>
          <w:sz w:val="18"/>
          <w:szCs w:val="18"/>
          <w:color w:val="auto"/>
        </w:rPr>
        <w:t>Average revenue per top 20 pharmaceutical manufacturer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2,075,078</w:t>
        <w:tab/>
        <w:t>$</w:t>
      </w:r>
      <w:r>
        <w:rPr>
          <w:sz w:val="20"/>
          <w:szCs w:val="20"/>
          <w:color w:val="auto"/>
        </w:rPr>
        <w:tab/>
      </w:r>
      <w:r>
        <w:rPr>
          <w:rFonts w:ascii="Arial" w:cs="Arial" w:eastAsia="Arial" w:hAnsi="Arial"/>
          <w:sz w:val="16"/>
          <w:szCs w:val="16"/>
          <w:color w:val="auto"/>
        </w:rPr>
        <w:t>2,267,550</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Percent of top 20 pharmaceutical manufacturers that are customers. </w:t>
      </w:r>
      <w:r>
        <w:rPr>
          <w:rFonts w:ascii="Arial" w:cs="Arial" w:eastAsia="Arial" w:hAnsi="Arial"/>
          <w:sz w:val="16"/>
          <w:szCs w:val="16"/>
          <w:color w:val="auto"/>
        </w:rPr>
        <w:t>Percent of top 20 pharmaceutical manufacturers that are customers is calculated</w:t>
      </w:r>
      <w:r>
        <w:rPr>
          <w:rFonts w:ascii="Arial" w:cs="Arial" w:eastAsia="Arial" w:hAnsi="Arial"/>
          <w:sz w:val="16"/>
          <w:szCs w:val="16"/>
          <w:b w:val="1"/>
          <w:bCs w:val="1"/>
          <w:color w:val="auto"/>
        </w:rPr>
        <w:t xml:space="preserve"> </w:t>
      </w:r>
      <w:r>
        <w:rPr>
          <w:rFonts w:ascii="Arial" w:cs="Arial" w:eastAsia="Arial" w:hAnsi="Arial"/>
          <w:sz w:val="16"/>
          <w:szCs w:val="16"/>
          <w:color w:val="auto"/>
        </w:rPr>
        <w:t>by taking the number of revenue generating customers that are pharmaceutical manufacturers listed in Fierce Pharma’s “The top 20 pharma companies by 2022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Our penetration within this core customer group stayed consistent from the twelve months ended September 30, 2022 to the twelve months ended September 30, 2023.</w:t>
      </w:r>
    </w:p>
    <w:p>
      <w:pPr>
        <w:spacing w:after="0" w:line="160"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jc w:val="right"/>
        <w:ind w:right="580"/>
        <w:spacing w:after="0"/>
        <w:rPr>
          <w:sz w:val="20"/>
          <w:szCs w:val="20"/>
          <w:color w:val="auto"/>
        </w:rPr>
      </w:pPr>
      <w:r>
        <w:rPr>
          <w:rFonts w:ascii="Arial" w:cs="Arial" w:eastAsia="Arial" w:hAnsi="Arial"/>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 of top 20 pharmaceutical manufacturers that are customers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bl>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Percent of total revenue attributable to top 20 pharmaceutical manufacturers. </w:t>
      </w:r>
      <w:r>
        <w:rPr>
          <w:rFonts w:ascii="Arial" w:cs="Arial" w:eastAsia="Arial" w:hAnsi="Arial"/>
          <w:sz w:val="16"/>
          <w:szCs w:val="16"/>
          <w:color w:val="auto"/>
        </w:rPr>
        <w:t>Percent of total revenue attributable to top 20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manufacturers is calculated by taking the total revenue the company recognized through pharmaceutical manufacturers listed in Fierce Pharma’s “The top 20 pharma companies by 2022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aren’t top 20 pharmaceutical manufacturers increased faster than our overall revenue, decreasing the percentage of our overall revenues from top 20 pharmaceutical manufacturers.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right"/>
        <w:ind w:right="54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jc w:val="right"/>
        <w:ind w:right="580"/>
        <w:spacing w:after="0"/>
        <w:rPr>
          <w:sz w:val="20"/>
          <w:szCs w:val="20"/>
          <w:color w:val="auto"/>
        </w:rPr>
      </w:pPr>
      <w:r>
        <w:rPr>
          <w:rFonts w:ascii="Arial" w:cs="Arial" w:eastAsia="Arial" w:hAnsi="Arial"/>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bl>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Net revenue retention. </w:t>
      </w:r>
      <w:r>
        <w:rPr>
          <w:rFonts w:ascii="Arial" w:cs="Arial" w:eastAsia="Arial" w:hAnsi="Arial"/>
          <w:sz w:val="17"/>
          <w:szCs w:val="17"/>
          <w:color w:val="auto"/>
        </w:rPr>
        <w:t>Net revenue retention is a comparison of revenue generated from all customers in the previous twelve-month period to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September 30, 2023 was lower due to the convergence of numerous macroeconomic factors that resulted in our customers slowing their rate of spend, particularly for large and/or new implementations, which we believe prolonged sales cycles. This was particularly evident during 2022 and the first half of 2023 and the Company has begun to see improvements since the second half of 2023.</w:t>
      </w:r>
    </w:p>
    <w:p>
      <w:pPr>
        <w:spacing w:after="0" w:line="172"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jc w:val="right"/>
        <w:ind w:right="580"/>
        <w:spacing w:after="0"/>
        <w:rPr>
          <w:sz w:val="20"/>
          <w:szCs w:val="20"/>
          <w:color w:val="auto"/>
        </w:rPr>
      </w:pPr>
      <w:r>
        <w:rPr>
          <w:rFonts w:ascii="Arial" w:cs="Arial" w:eastAsia="Arial" w:hAnsi="Arial"/>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revenue retention</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bl>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Revenue per average full-time employee. </w:t>
      </w:r>
      <w:r>
        <w:rPr>
          <w:rFonts w:ascii="Arial" w:cs="Arial" w:eastAsia="Arial" w:hAnsi="Arial"/>
          <w:sz w:val="17"/>
          <w:szCs w:val="17"/>
          <w:color w:val="auto"/>
        </w:rPr>
        <w:t>We define revenue per average full-time employee as total revenue over the last twelve months divided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declined year over year due to slower revenue growth and a higher average number of FTEs over the last 12 month period.</w:t>
      </w:r>
    </w:p>
    <w:p>
      <w:pPr>
        <w:spacing w:after="0" w:line="168" w:lineRule="exact"/>
        <w:rPr>
          <w:sz w:val="20"/>
          <w:szCs w:val="20"/>
          <w:color w:val="auto"/>
        </w:rPr>
      </w:pPr>
    </w:p>
    <w:p>
      <w:pPr>
        <w:jc w:val="right"/>
        <w:ind w:right="480"/>
        <w:spacing w:after="0"/>
        <w:rPr>
          <w:sz w:val="20"/>
          <w:szCs w:val="20"/>
          <w:color w:val="auto"/>
        </w:rPr>
      </w:pPr>
      <w:r>
        <w:rPr>
          <w:rFonts w:ascii="Arial" w:cs="Arial" w:eastAsia="Arial" w:hAnsi="Arial"/>
          <w:sz w:val="18"/>
          <w:szCs w:val="18"/>
          <w:b w:val="1"/>
          <w:bCs w:val="1"/>
          <w:color w:val="auto"/>
        </w:rPr>
        <w:t>Rolling Twelve Months</w:t>
      </w:r>
    </w:p>
    <w:p>
      <w:pPr>
        <w:spacing w:after="0" w:line="27" w:lineRule="exact"/>
        <w:rPr>
          <w:sz w:val="20"/>
          <w:szCs w:val="20"/>
          <w:color w:val="auto"/>
        </w:rPr>
      </w:pPr>
    </w:p>
    <w:p>
      <w:pPr>
        <w:jc w:val="right"/>
        <w:ind w:right="520"/>
        <w:spacing w:after="0"/>
        <w:rPr>
          <w:sz w:val="20"/>
          <w:szCs w:val="20"/>
          <w:color w:val="auto"/>
        </w:rPr>
      </w:pPr>
      <w:r>
        <w:rPr>
          <w:rFonts w:ascii="Arial" w:cs="Arial" w:eastAsia="Arial" w:hAnsi="Arial"/>
          <w:sz w:val="18"/>
          <w:szCs w:val="18"/>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200" w:val="left"/>
          <w:tab w:leader="none" w:pos="10000" w:val="left"/>
          <w:tab w:leader="none" w:pos="10540" w:val="left"/>
        </w:tabs>
        <w:rPr>
          <w:sz w:val="20"/>
          <w:szCs w:val="20"/>
          <w:color w:val="auto"/>
        </w:rPr>
      </w:pPr>
      <w:r>
        <w:rPr>
          <w:rFonts w:ascii="Arial" w:cs="Arial" w:eastAsia="Arial" w:hAnsi="Arial"/>
          <w:sz w:val="18"/>
          <w:szCs w:val="18"/>
          <w:color w:val="auto"/>
        </w:rPr>
        <w:t>Revenue per average full-time employee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570,973</w:t>
        <w:tab/>
        <w:t>$</w:t>
      </w:r>
      <w:r>
        <w:rPr>
          <w:sz w:val="20"/>
          <w:szCs w:val="20"/>
          <w:color w:val="auto"/>
        </w:rPr>
        <w:tab/>
      </w:r>
      <w:r>
        <w:rPr>
          <w:rFonts w:ascii="Arial" w:cs="Arial" w:eastAsia="Arial" w:hAnsi="Arial"/>
          <w:sz w:val="16"/>
          <w:szCs w:val="16"/>
          <w:color w:val="auto"/>
        </w:rPr>
        <w:t>618,711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2023 and 2022</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sets forth, for the periods indicated, the dollar value and percentage of net revenue represented by certain items in our consolidated statements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401"/>
              <w:spacing w:after="0"/>
              <w:rPr>
                <w:sz w:val="20"/>
                <w:szCs w:val="20"/>
                <w:color w:val="auto"/>
              </w:rPr>
            </w:pPr>
            <w:r>
              <w:rPr>
                <w:rFonts w:ascii="Arial" w:cs="Arial" w:eastAsia="Arial" w:hAnsi="Arial"/>
                <w:sz w:val="18"/>
                <w:szCs w:val="18"/>
                <w:b w:val="1"/>
                <w:bCs w:val="1"/>
                <w:color w:val="auto"/>
                <w:w w:val="93"/>
              </w:rPr>
              <w:t>Three Months Ended September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8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w w:val="97"/>
              </w:rPr>
              <w:t>16,331,484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99"/>
              </w:rPr>
              <w:t>15,085,504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520" w:type="dxa"/>
            <w:vAlign w:val="bottom"/>
            <w:gridSpan w:val="2"/>
          </w:tcPr>
          <w:p>
            <w:pPr>
              <w:jc w:val="right"/>
              <w:ind w:right="536"/>
              <w:spacing w:after="0"/>
              <w:rPr>
                <w:sz w:val="20"/>
                <w:szCs w:val="20"/>
                <w:color w:val="auto"/>
              </w:rPr>
            </w:pPr>
            <w:r>
              <w:rPr>
                <w:rFonts w:ascii="Arial" w:cs="Arial" w:eastAsia="Arial" w:hAnsi="Arial"/>
                <w:sz w:val="18"/>
                <w:szCs w:val="18"/>
                <w:color w:val="auto"/>
              </w:rPr>
              <w:t>6,531,183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5,664,733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9,800,301</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9,420,771</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1520" w:type="dxa"/>
            <w:vAlign w:val="bottom"/>
            <w:gridSpan w:val="2"/>
          </w:tcPr>
          <w:p>
            <w:pPr>
              <w:jc w:val="right"/>
              <w:ind w:right="536"/>
              <w:spacing w:after="0"/>
              <w:rPr>
                <w:sz w:val="20"/>
                <w:szCs w:val="20"/>
                <w:color w:val="auto"/>
              </w:rPr>
            </w:pPr>
            <w:r>
              <w:rPr>
                <w:rFonts w:ascii="Arial" w:cs="Arial" w:eastAsia="Arial" w:hAnsi="Arial"/>
                <w:sz w:val="18"/>
                <w:szCs w:val="18"/>
                <w:color w:val="auto"/>
                <w:w w:val="97"/>
              </w:rPr>
              <w:t>13,353,789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w w:val="99"/>
              </w:rPr>
              <w:t>13,177,530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(3,553,488)</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(3,756,759)</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0"/>
                <w:szCs w:val="20"/>
                <w:color w:val="auto"/>
              </w:rPr>
            </w:pPr>
          </w:p>
        </w:tc>
        <w:tc>
          <w:tcPr>
            <w:tcW w:w="1520" w:type="dxa"/>
            <w:vAlign w:val="bottom"/>
            <w:gridSpan w:val="2"/>
          </w:tcPr>
          <w:p>
            <w:pPr>
              <w:jc w:val="right"/>
              <w:ind w:right="536"/>
              <w:spacing w:after="0"/>
              <w:rPr>
                <w:sz w:val="20"/>
                <w:szCs w:val="20"/>
                <w:color w:val="auto"/>
              </w:rPr>
            </w:pPr>
            <w:r>
              <w:rPr>
                <w:rFonts w:ascii="Arial" w:cs="Arial" w:eastAsia="Arial" w:hAnsi="Arial"/>
                <w:sz w:val="18"/>
                <w:szCs w:val="18"/>
                <w:color w:val="auto"/>
              </w:rPr>
              <w:t>688,190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289,967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(2,865,298)</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(3,466,792)</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1520" w:type="dxa"/>
            <w:vAlign w:val="bottom"/>
            <w:gridSpan w:val="2"/>
          </w:tcPr>
          <w:p>
            <w:pPr>
              <w:jc w:val="right"/>
              <w:ind w:right="53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(2,865,298</w:t>
            </w:r>
          </w:p>
        </w:tc>
        <w:tc>
          <w:tcPr>
            <w:tcW w:w="620" w:type="dxa"/>
            <w:vAlign w:val="bottom"/>
            <w:tcBorders>
              <w:top w:val="single" w:sz="8" w:color="CCEEFF"/>
              <w:bottom w:val="single" w:sz="8" w:color="CCEEFF"/>
            </w:tcBorders>
            <w:shd w:val="clear" w:color="auto" w:fill="CCEEFF"/>
          </w:tcPr>
          <w:p>
            <w:pPr>
              <w:jc w:val="right"/>
              <w:ind w:right="476"/>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(3,466,792</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Balances and percentage of net revenue information may not add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8"/>
                <w:szCs w:val="18"/>
                <w:b w:val="1"/>
                <w:bCs w:val="1"/>
                <w:color w:val="auto"/>
                <w:w w:val="95"/>
              </w:rPr>
              <w:t>Nine Months Ended September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43,152,560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42,795,699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1560" w:type="dxa"/>
            <w:vAlign w:val="bottom"/>
            <w:gridSpan w:val="2"/>
          </w:tcPr>
          <w:p>
            <w:pPr>
              <w:jc w:val="right"/>
              <w:ind w:right="536"/>
              <w:spacing w:after="0"/>
              <w:rPr>
                <w:sz w:val="20"/>
                <w:szCs w:val="20"/>
                <w:color w:val="auto"/>
              </w:rPr>
            </w:pPr>
            <w:r>
              <w:rPr>
                <w:rFonts w:ascii="Arial" w:cs="Arial" w:eastAsia="Arial" w:hAnsi="Arial"/>
                <w:sz w:val="18"/>
                <w:szCs w:val="18"/>
                <w:color w:val="auto"/>
              </w:rPr>
              <w:t>18,093,949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1540" w:type="dxa"/>
            <w:vAlign w:val="bottom"/>
            <w:gridSpan w:val="2"/>
          </w:tcPr>
          <w:p>
            <w:pPr>
              <w:jc w:val="right"/>
              <w:ind w:right="521"/>
              <w:spacing w:after="0"/>
              <w:rPr>
                <w:sz w:val="20"/>
                <w:szCs w:val="20"/>
                <w:color w:val="auto"/>
              </w:rPr>
            </w:pPr>
            <w:r>
              <w:rPr>
                <w:rFonts w:ascii="Arial" w:cs="Arial" w:eastAsia="Arial" w:hAnsi="Arial"/>
                <w:sz w:val="18"/>
                <w:szCs w:val="18"/>
                <w:color w:val="auto"/>
              </w:rPr>
              <w:t>16,283,307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25,058,611</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26,512,392</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r>
      <w:tr>
        <w:trPr>
          <w:trHeight w:val="210"/>
        </w:trPr>
        <w:tc>
          <w:tcPr>
            <w:tcW w:w="58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40,557,152</w:t>
            </w:r>
          </w:p>
        </w:tc>
        <w:tc>
          <w:tcPr>
            <w:tcW w:w="6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94.0%</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37,938,782</w:t>
            </w:r>
          </w:p>
        </w:tc>
        <w:tc>
          <w:tcPr>
            <w:tcW w:w="6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88.7%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(15,498,541)</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(11,426,390)</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1560" w:type="dxa"/>
            <w:vAlign w:val="bottom"/>
            <w:gridSpan w:val="2"/>
          </w:tcPr>
          <w:p>
            <w:pPr>
              <w:jc w:val="right"/>
              <w:ind w:right="536"/>
              <w:spacing w:after="0"/>
              <w:rPr>
                <w:sz w:val="20"/>
                <w:szCs w:val="20"/>
                <w:color w:val="auto"/>
              </w:rPr>
            </w:pPr>
            <w:r>
              <w:rPr>
                <w:rFonts w:ascii="Arial" w:cs="Arial" w:eastAsia="Arial" w:hAnsi="Arial"/>
                <w:sz w:val="18"/>
                <w:szCs w:val="18"/>
                <w:color w:val="auto"/>
              </w:rPr>
              <w:t>2,074,081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540" w:type="dxa"/>
            <w:vAlign w:val="bottom"/>
            <w:gridSpan w:val="2"/>
          </w:tcPr>
          <w:p>
            <w:pPr>
              <w:jc w:val="right"/>
              <w:ind w:right="521"/>
              <w:spacing w:after="0"/>
              <w:rPr>
                <w:sz w:val="20"/>
                <w:szCs w:val="20"/>
                <w:color w:val="auto"/>
              </w:rPr>
            </w:pPr>
            <w:r>
              <w:rPr>
                <w:rFonts w:ascii="Arial" w:cs="Arial" w:eastAsia="Arial" w:hAnsi="Arial"/>
                <w:sz w:val="18"/>
                <w:szCs w:val="18"/>
                <w:color w:val="auto"/>
              </w:rPr>
              <w:t>313,786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(13,424,460)</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(11,112,604)</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1560" w:type="dxa"/>
            <w:vAlign w:val="bottom"/>
            <w:gridSpan w:val="2"/>
          </w:tcPr>
          <w:p>
            <w:pPr>
              <w:jc w:val="right"/>
              <w:ind w:right="53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(13,424,460</w:t>
            </w:r>
          </w:p>
        </w:tc>
        <w:tc>
          <w:tcPr>
            <w:tcW w:w="620" w:type="dxa"/>
            <w:vAlign w:val="bottom"/>
            <w:tcBorders>
              <w:top w:val="single" w:sz="8" w:color="CCEEFF"/>
              <w:bottom w:val="single" w:sz="8" w:color="CCEEFF"/>
            </w:tcBorders>
            <w:shd w:val="clear" w:color="auto" w:fill="CCEEFF"/>
          </w:tcPr>
          <w:p>
            <w:pPr>
              <w:jc w:val="right"/>
              <w:ind w:right="476"/>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(11,112,604</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and percentage of net revenue information may not add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net revenue reported for the three months ended September 30, 2023 was approximately $16.3 million, an increase of 8% over the approximately $15.1 million from the same period in 2022. Our net revenue reported for the nine months ended September 30, 2023 was approximately $43.2 million, an increase of 1% over the approximately $42.8 million from the same period in 2022. The increase in revenue was primarily as a result of growth of our real world evidence solution. Revenue continues to be effected by the macroeconomic pressures affecting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cost of revenues, composed primarily of revenue share expense paid to our network partners, was approximately $6.5 million for the three months ended September 30, 2023 compared to $5.7 million for the same period of 2022. Our cost of revenues for the nine month period ended September 30, 2023 increased to $18.1 million from $16.3 million in the same period in 2022. Our cost of revenues as a percentage of revenue increased to approximately 40% for the quarter ended September 30, 2023 from approximately 37.6% for the quarter ended September 30, 2022. Our cost of revenues as a percentage of revenue increased to approximately 42% for the nine months ended September 30, 2023 from approximately 38.0% for the nine months ended September 30, 2022. This increase in cost of revenue as a percentage of revenue was a result of solution and channel mix. Additional discussion is included in the gross margin section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margin, which is the difference between our revenues and our cost of revenues, increased for the three and nine months ended September 30, 2023, as a result of solution and channel mix. During the nine months ended September 30, 2023, there was an increase in high margin revenue solution delivery compared with a year ago.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to approximately $13.4 million for the three months ended September 30, 2023 from approximately $13.2 million for the same period in 2022, an increase of approximately 1%. Operating expenses increased from approximately $37.9 million for the nine months ended September 30, 2022 to approximately $40.6 million for the same period in 2023, an increase of approximately 7%. The detail by major category is reflected in the table below.</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right="1360"/>
        <w:spacing w:after="0" w:line="323" w:lineRule="auto"/>
        <w:rPr>
          <w:sz w:val="20"/>
          <w:szCs w:val="20"/>
          <w:color w:val="auto"/>
        </w:rPr>
      </w:pPr>
      <w:r>
        <w:rPr>
          <w:rFonts w:ascii="Arial" w:cs="Arial" w:eastAsia="Arial" w:hAnsi="Arial"/>
          <w:sz w:val="16"/>
          <w:szCs w:val="16"/>
          <w:color w:val="auto"/>
        </w:rPr>
        <w:t>Depreciation, amortization and noncash lease expense Other 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4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27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2"/>
        </w:trPr>
        <w:tc>
          <w:tcPr>
            <w:tcW w:w="1120" w:type="dxa"/>
            <w:vAlign w:val="bottom"/>
          </w:tcPr>
          <w:p>
            <w:pPr>
              <w:ind w:left="400"/>
              <w:spacing w:after="0" w:line="201" w:lineRule="exact"/>
              <w:rPr>
                <w:sz w:val="20"/>
                <w:szCs w:val="20"/>
                <w:color w:val="auto"/>
              </w:rPr>
            </w:pPr>
            <w:r>
              <w:rPr>
                <w:rFonts w:ascii="Arial" w:cs="Arial" w:eastAsia="Arial" w:hAnsi="Arial"/>
                <w:sz w:val="18"/>
                <w:szCs w:val="18"/>
                <w:color w:val="auto"/>
                <w:w w:val="87"/>
              </w:rPr>
              <w:t>3,206,227</w:t>
            </w:r>
          </w:p>
        </w:tc>
        <w:tc>
          <w:tcPr>
            <w:tcW w:w="2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4,277,241</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11,089,853</w:t>
            </w:r>
          </w:p>
        </w:tc>
        <w:tc>
          <w:tcPr>
            <w:tcW w:w="2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11,476,662</w:t>
            </w:r>
          </w:p>
        </w:tc>
        <w:tc>
          <w:tcPr>
            <w:tcW w:w="20" w:type="dxa"/>
            <w:vAlign w:val="bottom"/>
          </w:tcPr>
          <w:p>
            <w:pPr>
              <w:spacing w:after="0"/>
              <w:rPr>
                <w:sz w:val="17"/>
                <w:szCs w:val="17"/>
                <w:color w:val="auto"/>
              </w:rPr>
            </w:pPr>
          </w:p>
        </w:tc>
      </w:tr>
      <w:tr>
        <w:trPr>
          <w:trHeight w:val="229"/>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466,706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515,828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1,395,400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1,565,484</w:t>
            </w:r>
          </w:p>
        </w:tc>
      </w:t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9,680,856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8,384,461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28,071,899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24,896,636</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r>
      <w:tr>
        <w:trPr>
          <w:trHeight w:val="479"/>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   13,353,789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   13,177,530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40,557,152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   37,938,782</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-788035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-505460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81" w:right="339" w:bottom="1440" w:gutter="0" w:footer="0" w:header="0"/>
          <w:type w:val="continuous"/>
        </w:sectPr>
      </w:pP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greatest increase was in other general and administrative expenses. Other general and administrative expenses increased from approximately $8.4 million for the three months ended September 30, 2022 to approximately $9.7 million for the same period in 2023. Other general and administrative expenses increased from $24.9 million for the nine months ended September 30, 2022 to approximately $28.1 million for the same period in 2023. This increase is mostly as a result of an increase in headcount as well as other investments to support our growth initiatives and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a net loss of approximately $2.9 million for the three months ended September 30, 2023, as compared to a net loss of approximately $3.5 million during the same period in 2022. We had a net loss of approximately $13.4 million for the nine months ended September 30, 2023, as compared to a net loss of approximately $11.1 million during the same period in 2022. The reasons and specific components associated with the change are discussed above.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Historically, our primary sources of liquidity have been cash receipts from customers and proceeds from equity offerings. As of September 30, 2023, we had total current assets of approximately $87.4 million, compared with current liabilities of approximately $7.7 million, resulting in working capital of approximately $79.7 million and a current ratio of approximately 11.3 to 1. This represents a decrease from our working capital of approximately $90.2 million and an decrease from the current ratio of 11.7 to 1 at December 31, 2022. This decrease in our working capital is discussed in more detail below.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Following is a table with summary data from the consolidated statements of cash flows for the nine months ended September 30, 2023 and 2022, as presented.</w:t>
      </w:r>
    </w:p>
    <w:p>
      <w:pPr>
        <w:spacing w:after="0" w:line="16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 provided by operating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7,850,594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provided by /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664,235</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(39,691,877)</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(7,969,509)</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(11,511,467)</w:t>
            </w: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(8,287,209</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(43,352,750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used approximately $(1.0) million for operating activities during the nine months ended September 30, 2023, compared with $7.9 million provided by operating activities in the same period in 2022. We had a net loss of $(13.4) million for the first nine months of 2023. Non-cash expenses of $13.0 million and working capital generated by the collection of receivables partially offset the loss. The timing of trade and revenue share payments decreased our balance of prepaid services year over year. This, in conjunction with the greater net loss, led to the year over year decrease in cash flow from operations.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investing activities was approximately $0.7 million for the nine months ended September 30, 2023. We redeemed $165.1 million in treasury bills which was partially offset by reinvestment of $(162.8) million in treasury bills. We also invested in internally developed software in the amount of $(1.6) million. Cash used in investing activities for the same period in the prior year was $39.7 million. $37.7 million was invested in treasury bills with and $2.0 million was invested in EvinceMed technology.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for financing activities was approximately $(8.0) million mostly related to a company stock repurchase program approved in March 2023. During the nine months ended September 30, 2023 we used $(7.5) million to purchase 526,999 shares of common stock. We used $(0.3) million to pay withholding taxes on behalf of employees vesting in restricted stock units and $(0.3) million was related to a loan origination fee in connection with the acquisition financing. This activity was partially offset by the receipt of funds from the exercise of stock options. Cash used for financing activities for the same period in prior year was $11.5 million. We repurchased 706,114 shares of common stock for $12.6 million. This was partially offset by the collection of $1.1 million related to the exercise of stock options during the period.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funds generated from operations, together with existing cash, will be sufficient to finance our current operations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the Consolidated Financial Statements in the Annual Report on Form 10-K for the year ended December 31, 2022 (2022 Annual Report on Form 10-K). The accounting policies we used in preparing these financial statements are substantially consistent with those we applied in our 2022 Annual Report on Form 10-K. Our critical accounting estimates are described in Management’s Discussion and Analysis included in the 2022 Annual Report on Form 10-K.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ASU Topic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requires contract assets and contract liabilities acquired in a business combination to be recognized and measured by the acquirer on the acquisition date in accordance with ASC 606</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messaging capabilities. As of September 30, 2023, the Company had commitments for future minimum payments of $11.8 million that will be reflected in cost of revenues during the years 2023 through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concluded that, as of the end of the period covered by this report, our disclosure controls and procedures, as defined in Rule 13a-15(e), were not effective at the reasonable assurance level due to a material weakness in our internal controls over financial reporting which was disclosed in our Annual Report on Form 10-K for the year ended December 31, 2022.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address the material weakness referenced above, the Company performed additional analysis and performed other procedures in order to prepare the consolidated financial statements in accordance with generally accepted accounting principles (GAAP). Accordingly, management believes that the consolidated financial statements included in this quarterly report on this Form 10-Q fairly present, in all material respects, our financial condition, results of operations and cash flows for the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implement the following remediation steps:</w:t>
      </w:r>
    </w:p>
    <w:p>
      <w:pPr>
        <w:spacing w:after="0" w:line="21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will require each third-party service organization to provide a SOC-1, Type 2 report to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quarters ended September 30, 2023, June 30, 2023 and March 31, 2023, the Company continued to engage with the third-party service organizations to discuss the reporting requirements.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noted above, there was no change in our internal control over financial reporting (as defined in Rule 13a-15(f) under the Exchange Act), that occurred during the quarter ended September 30, 2023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pending legal proceeding.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items update the risk factors previously reported in PART 1, ITEM 1A, “Risk Factors” of our Annual Report on Form 10-K for the year ended December 31, 2022. You should carefully consider the factors discussed in PART I, ITEM 1A, “Risk Factors” in our Annual Report on Form 10-K for the year ended December 31, 2022,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for goodwill or other intangible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Annually, we evaluate goodwill and long-lived assets to determine if impairment has occurred. Additionally, interim reviews are performed whenever events or changes to the business could indicate possible impairment. Any future impairment of our goodwill or long-lived assets could require us to record an impairment charge, which would negatively impact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strategic shift away from non-core business may increase the risk of impairment of one or more of our long-lived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acquired, and may in the future acquire, companies, businesses, products, services and technologies. Acquisitions involve significant risks and uncertainties, including:</w:t>
      </w:r>
    </w:p>
    <w:p>
      <w:pPr>
        <w:spacing w:after="0" w:line="170"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ongoing business may be disrupted, an acquisition may involve increased expenses, and our management’s attention may be diverted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transition, or integration activities;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 further our business strategy as we expected,</w:t>
      </w:r>
    </w:p>
    <w:p>
      <w:pPr>
        <w:spacing w:after="0" w:line="225" w:lineRule="exact"/>
        <w:rPr>
          <w:sz w:val="20"/>
          <w:szCs w:val="20"/>
          <w:color w:val="auto"/>
        </w:rPr>
      </w:pPr>
    </w:p>
    <w:p>
      <w:pPr>
        <w:ind w:left="660" w:right="20" w:hanging="324"/>
        <w:spacing w:after="0" w:line="277" w:lineRule="auto"/>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 realize any synergies or other anticipated benefits of an acquisition or such synergies or benefits may take longer than anticipated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realized;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overpay for our investments, or otherwise not realize the financial returns contemplated at the time of the acquisition;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integration with acquired operations or technology may be more costly or difficult than expected and such integration may not be successful;</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may be unable to retain the key employees, customers and other channel partners of the acquired operation;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may not realize the anticipated increases in our revenues from an acquisition;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use of cash to pay for acquisitions may limit other potential uses of our cash, including 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Geopolitical events may affect our business and our customer base and have a material adverse impact on our sales and operating results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may be affected by the conditions in the global capital markets and the economy generally, both in the U.S. and elsewhere in the world. The war between Russia and Ukraine as well as the conflict between Israel and Hamas have caused uncertainty in the credit markets and could cause our customers and potential customers to postpone or reduce spending on technology products or services or put downward pressure on prices, which could have an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14, 2023, the Company announced that its Board of Directors had authorized the repurchase of up to $15.0 million of the Company’s outstanding common stock. Under this new program, share repurchases may be made from time to time depending on market conditions, share price and availability and other factors at the Company’s discretion. This stock repurchase authorization expires on the earlier of March 12, 2024, or when the repurchase of $15.0 million of shares of its common stock has been reached. During the quarter ended September 30, 2023, no shares were repurchased under the program. As of September 30, 2023, $7,488,116 of shares are available for repurchase under the program.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7"/>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6"/>
            <w:shd w:val="clear" w:color="auto" w:fill="CCEEFF"/>
          </w:tcPr>
          <w:p>
            <w:pPr>
              <w:spacing w:after="0" w:line="176"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Articles of Incorporation of OptimizeRx Corporation (the “Company”) Incorporated by reference to Exhibit 3.1 to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Registration Statement on Form S-1 (Registration No. 333-155280) filed on November 12, 2008.</w:t>
              </w:r>
            </w:hyperlink>
          </w:p>
        </w:tc>
        <w:tc>
          <w:tcPr>
            <w:tcW w:w="310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Certificate of Correction, dated April 30, 2018. Incorporated by reference to Exhibit 3.5 to the Company’s Annual Report on Form 10-K for</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the year ended December 31, 2018.</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6"/>
            <w:shd w:val="clear" w:color="auto" w:fill="CCEEFF"/>
          </w:tcPr>
          <w:p>
            <w:pPr>
              <w:spacing w:after="0" w:line="17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Third Amended and Restated Bylaws of the Company. Incorporated by reference to Exhibit 3.3 to the Company’s Annual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6"/>
            <w:shd w:val="clear" w:color="auto" w:fill="CCEEFF"/>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10-K for the year ended December 31,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w:t>
            </w:r>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Arial" w:cs="Arial" w:eastAsia="Arial" w:hAnsi="Arial"/>
                <w:sz w:val="18"/>
                <w:szCs w:val="18"/>
                <w:color w:val="0000EE"/>
              </w:rPr>
              <w:t>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302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9"/>
              </w:rPr>
              <w:t>of 2002</w:t>
            </w:r>
          </w:p>
        </w:tc>
        <w:tc>
          <w:tcPr>
            <w:tcW w:w="954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540" w:right="3560" w:hanging="5532"/>
        <w:spacing w:after="0" w:line="761" w:lineRule="auto"/>
        <w:tabs>
          <w:tab w:leader="none" w:pos="11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418"/>
        </w:trPr>
        <w:tc>
          <w:tcPr>
            <w:tcW w:w="7320" w:type="dxa"/>
            <w:vAlign w:val="bottom"/>
          </w:tcPr>
          <w:p>
            <w:pPr>
              <w:spacing w:after="0"/>
              <w:rPr>
                <w:sz w:val="20"/>
                <w:szCs w:val="20"/>
                <w:color w:val="auto"/>
              </w:rPr>
            </w:pPr>
            <w:r>
              <w:rPr>
                <w:rFonts w:ascii="Arial" w:cs="Arial" w:eastAsia="Arial" w:hAnsi="Arial"/>
                <w:sz w:val="18"/>
                <w:szCs w:val="18"/>
                <w:color w:val="auto"/>
              </w:rPr>
              <w:t>Date: November 14, 2023</w:t>
            </w:r>
          </w:p>
        </w:tc>
        <w:tc>
          <w:tcPr>
            <w:tcW w:w="3920" w:type="dxa"/>
            <w:vAlign w:val="bottom"/>
          </w:tcPr>
          <w:p>
            <w:pPr>
              <w:spacing w:after="0"/>
              <w:rPr>
                <w:sz w:val="24"/>
                <w:szCs w:val="24"/>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32"/>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418"/>
        </w:trPr>
        <w:tc>
          <w:tcPr>
            <w:tcW w:w="7320" w:type="dxa"/>
            <w:vAlign w:val="bottom"/>
          </w:tcPr>
          <w:p>
            <w:pPr>
              <w:spacing w:after="0"/>
              <w:rPr>
                <w:sz w:val="20"/>
                <w:szCs w:val="20"/>
                <w:color w:val="auto"/>
              </w:rPr>
            </w:pPr>
            <w:r>
              <w:rPr>
                <w:rFonts w:ascii="Arial" w:cs="Arial" w:eastAsia="Arial" w:hAnsi="Arial"/>
                <w:sz w:val="18"/>
                <w:szCs w:val="18"/>
                <w:color w:val="auto"/>
              </w:rPr>
              <w:t>Date: November 14, 2023</w:t>
            </w:r>
          </w:p>
        </w:tc>
        <w:tc>
          <w:tcPr>
            <w:tcW w:w="3920" w:type="dxa"/>
            <w:vAlign w:val="bottom"/>
          </w:tcPr>
          <w:p>
            <w:pPr>
              <w:spacing w:after="0"/>
              <w:rPr>
                <w:sz w:val="24"/>
                <w:szCs w:val="24"/>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Operations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Edward Stelmakh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2023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November 14, 2023</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November 14, 2023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2"/>
      <w:numFmt w:val="bullet"/>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6"/>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endash "/>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1" Type="http://schemas.openxmlformats.org/officeDocument/2006/relationships/hyperlink" Target="http://www.sec.gov/Archives/edgar/data/1448431/000136110608000414/optimizerx_s1-ex0301.htm" TargetMode="External"/><Relationship Id="rId52" Type="http://schemas.openxmlformats.org/officeDocument/2006/relationships/hyperlink" Target="http://www.sec.gov/Archives/edgar/data/1448431/000121390019003962/f10k2018ex3-5_optimizerx.htm" TargetMode="External"/><Relationship Id="rId53" Type="http://schemas.openxmlformats.org/officeDocument/2006/relationships/hyperlink" Target="http://www.sec.gov/Archives/edgar/data/1448431/000121390023019233/f10k2022ex3-3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2023-11-14T16:43:41Z</dcterms:created>
  <dcterms:modified xsi:type="dcterms:W3CDTF">2023-11-14T16:43:41Z</dcterms:modified>
</cp:coreProperties>
</file>