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6" w:lineRule="exact"/>
        <w:rPr>
          <w:sz w:val="24"/>
          <w:szCs w:val="24"/>
          <w:color w:val="auto"/>
        </w:rPr>
      </w:pPr>
    </w:p>
    <w:p>
      <w:pPr>
        <w:ind w:left="9560"/>
        <w:spacing w:after="0"/>
        <w:rPr>
          <w:sz w:val="20"/>
          <w:szCs w:val="20"/>
          <w:color w:val="auto"/>
        </w:rPr>
      </w:pPr>
      <w:r>
        <w:rPr>
          <w:rFonts w:ascii="Arial" w:cs="Arial" w:eastAsia="Arial" w:hAnsi="Arial"/>
          <w:sz w:val="19"/>
          <w:szCs w:val="19"/>
          <w:b w:val="1"/>
          <w:bCs w:val="1"/>
          <w:color w:val="auto"/>
        </w:rPr>
        <w:t>File No. 333-211862</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982,472 Shares of Common Stock</w:t>
      </w:r>
    </w:p>
    <w:p>
      <w:pPr>
        <w:spacing w:after="0" w:line="211" w:lineRule="exact"/>
        <w:rPr>
          <w:sz w:val="24"/>
          <w:szCs w:val="24"/>
          <w:color w:val="auto"/>
        </w:rPr>
      </w:pPr>
    </w:p>
    <w:p>
      <w:pPr>
        <w:jc w:val="both"/>
        <w:spacing w:after="0" w:line="302" w:lineRule="auto"/>
        <w:rPr>
          <w:sz w:val="20"/>
          <w:szCs w:val="20"/>
          <w:color w:val="auto"/>
        </w:rPr>
      </w:pPr>
      <w:r>
        <w:rPr>
          <w:rFonts w:ascii="Arial" w:cs="Arial" w:eastAsia="Arial" w:hAnsi="Arial"/>
          <w:sz w:val="16"/>
          <w:szCs w:val="16"/>
          <w:color w:val="auto"/>
        </w:rPr>
        <w:t>This prospectus relates to the resale by the Selling Shareholders of up to 982,472 shares of our Common Stock, par value $0.001 per share (the “Common Stock”). Of the Common Stock offered herein, 804,139 shares are issuable upon the exercise of warrants held by placement agents that were issued in connection with our March 2014 Private Placement (described below), 45,000 shares were issued to Merriman Capital, Inc. under an Advisory Agreement dated February 23, 2015 and 133,333 shares were issued to Mr. Shadron Stastney under a Separation Agreement dated September 20, 2013.</w:t>
      </w:r>
    </w:p>
    <w:p>
      <w:pPr>
        <w:spacing w:after="0" w:line="154"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11 for more information.</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We will not receive any of the proceeds from the Common Stock sold by the Selling Shareholders, unless the warrants described herein are issued for cash and not on a cashless basis.</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We have agreed to pay certain expenses in connection with this registration statement. The Selling Shareholders will pay all underwriting discounts and selling commissions, if any, in connection with the sale of the shares of Common Stock.</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OTCQB under the symbol “OPRX.” On June 13, 2016, the last reported sale price of our Common Stock was $1.05 per share.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4.</w:t>
      </w:r>
    </w:p>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June 17,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4"/>
          </w:tcPr>
          <w:p>
            <w:pPr>
              <w:ind w:left="8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2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ABOUT THIS PROSPECTUS</w:t>
              </w:r>
            </w:hyperlink>
          </w:p>
        </w:tc>
        <w:tc>
          <w:tcPr>
            <w:tcW w:w="7480" w:type="dxa"/>
            <w:vAlign w:val="bottom"/>
            <w:tcBorders>
              <w:bottom w:val="single" w:sz="8" w:color="CCEEFF"/>
            </w:tcBorders>
            <w:gridSpan w:val="12"/>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20"/>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FORWARD-LOOKING STATEMENTS</w:t>
              </w:r>
            </w:hyperlink>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tcBorders>
              <w:top w:val="single" w:sz="8" w:color="0000EE"/>
            </w:tcBorders>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6120" w:type="dxa"/>
            <w:vAlign w:val="bottom"/>
            <w:gridSpan w:val="7"/>
            <w:shd w:val="clear" w:color="auto" w:fill="CCEEFF"/>
          </w:tcPr>
          <w:p>
            <w:pPr>
              <w:spacing w:after="0"/>
              <w:rPr>
                <w:sz w:val="15"/>
                <w:szCs w:val="15"/>
                <w:color w:val="auto"/>
              </w:rPr>
            </w:pPr>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40" w:type="dxa"/>
            <w:vAlign w:val="bottom"/>
            <w:tcBorders>
              <w:bottom w:val="single" w:sz="8" w:color="0000EE"/>
            </w:tcBorders>
            <w:gridSpan w:val="2"/>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RISK FACTORS</w:t>
              </w:r>
            </w:hyperlink>
          </w:p>
        </w:tc>
        <w:tc>
          <w:tcPr>
            <w:tcW w:w="8460" w:type="dxa"/>
            <w:vAlign w:val="bottom"/>
            <w:gridSpan w:val="18"/>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220" w:type="dxa"/>
            <w:vAlign w:val="bottom"/>
            <w:tcBorders>
              <w:bottom w:val="single" w:sz="8" w:color="0000EE"/>
            </w:tcBorders>
            <w:gridSpan w:val="12"/>
          </w:tcPr>
          <w:p>
            <w:pPr>
              <w:spacing w:after="0" w:line="17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DETERMINATION OF OFFERING PRICE</w:t>
              </w:r>
            </w:hyperlink>
          </w:p>
        </w:tc>
        <w:tc>
          <w:tcPr>
            <w:tcW w:w="6480" w:type="dxa"/>
            <w:vAlign w:val="bottom"/>
            <w:gridSpan w:val="8"/>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SELLING SHAREHOLDERS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5"/>
          </w:tcPr>
          <w:p>
            <w:pPr>
              <w:spacing w:after="0" w:line="17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PLAN OF DISTRIBUTION</w:t>
              </w:r>
            </w:hyperlink>
          </w:p>
        </w:tc>
        <w:tc>
          <w:tcPr>
            <w:tcW w:w="160" w:type="dxa"/>
            <w:vAlign w:val="bottom"/>
            <w:tcBorders>
              <w:top w:val="single" w:sz="8" w:color="0000EE"/>
            </w:tcBorders>
            <w:gridSpan w:val="2"/>
          </w:tcPr>
          <w:p>
            <w:pPr>
              <w:spacing w:after="0"/>
              <w:rPr>
                <w:sz w:val="15"/>
                <w:szCs w:val="15"/>
                <w:color w:val="auto"/>
              </w:rPr>
            </w:pPr>
          </w:p>
        </w:tc>
        <w:tc>
          <w:tcPr>
            <w:tcW w:w="7500" w:type="dxa"/>
            <w:vAlign w:val="bottom"/>
            <w:tcBorders>
              <w:top w:val="single" w:sz="8" w:color="CCEEFF"/>
            </w:tcBorders>
            <w:gridSpan w:val="13"/>
          </w:tcPr>
          <w:p>
            <w:pPr>
              <w:spacing w:after="0"/>
              <w:rPr>
                <w:sz w:val="15"/>
                <w:szCs w:val="15"/>
                <w:color w:val="auto"/>
              </w:rPr>
            </w:pPr>
          </w:p>
        </w:tc>
        <w:tc>
          <w:tcPr>
            <w:tcW w:w="1700" w:type="dxa"/>
            <w:vAlign w:val="bottom"/>
            <w:tcBorders>
              <w:top w:val="single" w:sz="8" w:color="CCEEFF"/>
            </w:tcBorders>
          </w:tcPr>
          <w:p>
            <w:pPr>
              <w:jc w:val="center"/>
              <w:ind w:left="1230"/>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20"/>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DIRECTORS, EXECUTIVE OFFICERS, PROMOTERS AND CONTROL PERSONS</w:t>
              </w:r>
            </w:hyperlink>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60" w:type="dxa"/>
            <w:vAlign w:val="bottom"/>
            <w:tcBorders>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7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SECURITY OWNERSHIP OF CERTAIN BENEFICIAL OWNERS AND MANAGEMENT</w:t>
              </w:r>
            </w:hyperlink>
          </w:p>
        </w:tc>
        <w:tc>
          <w:tcPr>
            <w:tcW w:w="2980" w:type="dxa"/>
            <w:vAlign w:val="bottom"/>
            <w:tcBorders>
              <w:bottom w:val="single" w:sz="8" w:color="CCEEFF"/>
            </w:tcBorders>
            <w:gridSpan w:val="2"/>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tcBorders>
              <w:bottom w:val="single" w:sz="8" w:color="0000EE"/>
            </w:tcBorders>
            <w:gridSpan w:val="11"/>
          </w:tcPr>
          <w:p>
            <w:pPr>
              <w:spacing w:after="0" w:line="17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DESCRIPTION OF SECURITIES</w:t>
              </w:r>
            </w:hyperlink>
          </w:p>
        </w:tc>
        <w:tc>
          <w:tcPr>
            <w:tcW w:w="7200" w:type="dxa"/>
            <w:vAlign w:val="bottom"/>
            <w:gridSpan w:val="9"/>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INTERESTS OF NAMED EXPERTS AND COUNSEL</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300" w:type="dxa"/>
            <w:vAlign w:val="bottom"/>
            <w:tcBorders>
              <w:bottom w:val="single" w:sz="8" w:color="0000EE"/>
            </w:tcBorders>
            <w:gridSpan w:val="19"/>
          </w:tcPr>
          <w:p>
            <w:pPr>
              <w:spacing w:after="0" w:line="17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DISCLOSURE OF COMMISSION POSITION OF INDEMNIFICATION FOR SECURITIES ACT LIABILITIES</w:t>
              </w:r>
            </w:hyperlink>
          </w:p>
        </w:tc>
        <w:tc>
          <w:tcPr>
            <w:tcW w:w="1400" w:type="dxa"/>
            <w:vAlign w:val="bottom"/>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BUSINESS</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860" w:type="dxa"/>
            <w:vAlign w:val="bottom"/>
            <w:tcBorders>
              <w:bottom w:val="single" w:sz="8" w:color="0000EE"/>
            </w:tcBorders>
            <w:gridSpan w:val="15"/>
          </w:tcPr>
          <w:p>
            <w:pPr>
              <w:spacing w:after="0" w:line="17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CERTAIN RELATIONSHIPS AND RELATED TRANSACTIONS</w:t>
              </w:r>
            </w:hyperlink>
          </w:p>
        </w:tc>
        <w:tc>
          <w:tcPr>
            <w:tcW w:w="4840" w:type="dxa"/>
            <w:vAlign w:val="bottom"/>
            <w:gridSpan w:val="5"/>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tcBorders>
              <w:bottom w:val="single" w:sz="8" w:color="0000EE"/>
              <w:right w:val="single" w:sz="8" w:color="CCEEFF"/>
            </w:tcBorders>
            <w:gridSpan w:val="17"/>
            <w:shd w:val="clear" w:color="auto" w:fill="CCEEFF"/>
          </w:tcPr>
          <w:p>
            <w:pPr>
              <w:spacing w:after="0" w:line="176"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MARKET FOR COMMON EQUITY AND RELATED STOCKHOLDER MATTERS</w:t>
              </w:r>
            </w:hyperlink>
          </w:p>
        </w:tc>
        <w:tc>
          <w:tcPr>
            <w:tcW w:w="3400" w:type="dxa"/>
            <w:vAlign w:val="bottom"/>
            <w:tcBorders>
              <w:bottom w:val="single" w:sz="8" w:color="CCEEFF"/>
            </w:tcBorders>
            <w:gridSpan w:val="3"/>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Borders>
              <w:bottom w:val="single" w:sz="8" w:color="0000EE"/>
            </w:tcBorders>
            <w:gridSpan w:val="10"/>
          </w:tcPr>
          <w:p>
            <w:pPr>
              <w:spacing w:after="0" w:line="17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EXECUTIVE COMPENSATION</w:t>
              </w:r>
            </w:hyperlink>
          </w:p>
        </w:tc>
        <w:tc>
          <w:tcPr>
            <w:tcW w:w="7260" w:type="dxa"/>
            <w:vAlign w:val="bottom"/>
            <w:gridSpan w:val="10"/>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FINANCIAL STATEMENTS</w:t>
              </w:r>
            </w:hyperlink>
          </w:p>
        </w:tc>
        <w:tc>
          <w:tcPr>
            <w:tcW w:w="7560" w:type="dxa"/>
            <w:vAlign w:val="bottom"/>
            <w:tcBorders>
              <w:bottom w:val="single" w:sz="8" w:color="CCEEFF"/>
            </w:tcBorders>
            <w:gridSpan w:val="14"/>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Borders>
              <w:bottom w:val="single" w:sz="8" w:color="0000EE"/>
            </w:tcBorders>
            <w:gridSpan w:val="16"/>
          </w:tcPr>
          <w:p>
            <w:pPr>
              <w:spacing w:after="0" w:line="17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CHANGES IN AND DISAGREEMENTS WITH ACCOUNTANTS</w:t>
              </w:r>
            </w:hyperlink>
          </w:p>
        </w:tc>
        <w:tc>
          <w:tcPr>
            <w:tcW w:w="4760" w:type="dxa"/>
            <w:vAlign w:val="bottom"/>
            <w:gridSpan w:val="4"/>
          </w:tcPr>
          <w:p>
            <w:pPr>
              <w:spacing w:after="0"/>
              <w:rPr>
                <w:sz w:val="15"/>
                <w:szCs w:val="15"/>
                <w:color w:val="auto"/>
              </w:rPr>
            </w:pPr>
          </w:p>
        </w:tc>
        <w:tc>
          <w:tcPr>
            <w:tcW w:w="1700" w:type="dxa"/>
            <w:vAlign w:val="bottom"/>
          </w:tcPr>
          <w:p>
            <w:pPr>
              <w:jc w:val="center"/>
              <w:ind w:left="1230"/>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20"/>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AVAILABLE INFORMATION</w:t>
              </w:r>
            </w:hyperlink>
          </w:p>
        </w:tc>
        <w:tc>
          <w:tcPr>
            <w:tcW w:w="1700" w:type="dxa"/>
            <w:vAlign w:val="bottom"/>
            <w:shd w:val="clear" w:color="auto" w:fill="CCEEFF"/>
          </w:tcPr>
          <w:p>
            <w:pPr>
              <w:jc w:val="center"/>
              <w:ind w:left="1230"/>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93610" cy="5655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3610" cy="56553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982,472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4 of this prospectus.</w:t>
      </w:r>
    </w:p>
    <w:p>
      <w:pPr>
        <w:spacing w:after="0" w:line="187"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93610" cy="702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3610" cy="70275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ind w:left="100"/>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Underlying Warrants Issued in Connection With the March 2014 Private Placement Financing</w:t>
      </w:r>
    </w:p>
    <w:p>
      <w:pPr>
        <w:spacing w:after="0" w:line="229" w:lineRule="exact"/>
        <w:rPr>
          <w:sz w:val="20"/>
          <w:szCs w:val="20"/>
          <w:color w:val="auto"/>
        </w:rPr>
      </w:pPr>
    </w:p>
    <w:p>
      <w:pPr>
        <w:jc w:val="both"/>
        <w:ind w:left="100"/>
        <w:spacing w:after="0" w:line="297" w:lineRule="auto"/>
        <w:rPr>
          <w:sz w:val="20"/>
          <w:szCs w:val="20"/>
          <w:color w:val="auto"/>
        </w:rPr>
      </w:pPr>
      <w:r>
        <w:rPr>
          <w:rFonts w:ascii="Arial" w:cs="Arial" w:eastAsia="Arial" w:hAnsi="Arial"/>
          <w:sz w:val="16"/>
          <w:szCs w:val="16"/>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58"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We filed a Form S-1 registration statement on April 11, 2014 to register the Common Shares and Agent Warrants. That registration statement went effective on May 28, 2015. We are filing this Form S-1 registration statement to maintain the registration of the shares of common stock underlying the Agent Warrants. The Common Shares are not a part of this registration statement.</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Issued in Connection with the Merriman Capital, Inc. Advisory Agreement</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On February 23, 2015, we entered into an advisory agreement (the “Advisory Agreement”) with Merriman Capital, Inc. (“Merriman”). In exchange for advisory services pertaining to capital market interactions, we agreed to issue to Merriman 45,000 shares of common stock upon execution of the Advisory Agreement, with 45,000 additional shares of common stock due on or before August 15, 2015 and 60,000 shares of common stock as a bonus if we successfully up-list to a national exchange.</w:t>
      </w:r>
    </w:p>
    <w:p>
      <w:pPr>
        <w:spacing w:after="0" w:line="187"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In August 2015, we and Merriman agreed to terminate the Advisory Agreement as it pertains to the issuance of any additional shares. We have issued and delivered to Merriman the 45,000 initial shares, which are being registered herein as a condition of the Advisory Agreement (the “Advisory Shares”). The sale of these shares has been completed and Merriman bears the market risk in connection with these shares.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Issued in Connection with the Separation Agreement with Mr. Shadron Stastney</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On September 20, 2013, we entered into a Separation Agreement with Mr. Shadron Stastney regarding the terms and conditions of his departure from our company (the “Separation Agreement”). Pursuant to the provisions of the Separation Agreement, we agreed to issue to Mr. Stastney 500,000 shares of our common stock.</w:t>
      </w:r>
    </w:p>
    <w:p>
      <w:pPr>
        <w:spacing w:after="0" w:line="181"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On May 27, 2016, we entered into a Settlement Agreement with Mr. Stastney to register the remaining 133,333 shares of his original 500,000 shares of common stock (the “Separation Shares”).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tcPr>
          <w:p>
            <w:pPr>
              <w:spacing w:after="0"/>
              <w:rPr>
                <w:sz w:val="24"/>
                <w:szCs w:val="24"/>
                <w:color w:val="auto"/>
              </w:rPr>
            </w:pPr>
          </w:p>
        </w:tc>
        <w:tc>
          <w:tcPr>
            <w:tcW w:w="3360" w:type="dxa"/>
            <w:vAlign w:val="bottom"/>
            <w:tcBorders>
              <w:top w:val="single" w:sz="8" w:color="auto"/>
            </w:tcBorders>
            <w:gridSpan w:val="6"/>
          </w:tcPr>
          <w:p>
            <w:pPr>
              <w:ind w:left="1140"/>
              <w:spacing w:after="0"/>
              <w:rPr>
                <w:sz w:val="20"/>
                <w:szCs w:val="20"/>
                <w:color w:val="auto"/>
              </w:rPr>
            </w:pPr>
            <w:r>
              <w:rPr>
                <w:rFonts w:ascii="Arial" w:cs="Arial" w:eastAsia="Arial" w:hAnsi="Arial"/>
                <w:sz w:val="18"/>
                <w:szCs w:val="18"/>
                <w:b w:val="1"/>
                <w:bCs w:val="1"/>
                <w:color w:val="auto"/>
              </w:rPr>
              <w:t>The Offering</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r>
      <w:tr>
        <w:trPr>
          <w:trHeight w:val="404"/>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7"/>
              </w:rPr>
              <w:t>Common stock offered by the Selling Shareholders</w:t>
            </w:r>
          </w:p>
        </w:tc>
        <w:tc>
          <w:tcPr>
            <w:tcW w:w="7400" w:type="dxa"/>
            <w:vAlign w:val="bottom"/>
            <w:tcBorders>
              <w:right w:val="single" w:sz="8" w:color="auto"/>
            </w:tcBorders>
            <w:gridSpan w:val="18"/>
          </w:tcPr>
          <w:p>
            <w:pPr>
              <w:ind w:left="300"/>
              <w:spacing w:after="0"/>
              <w:rPr>
                <w:sz w:val="20"/>
                <w:szCs w:val="20"/>
                <w:color w:val="auto"/>
              </w:rPr>
            </w:pPr>
            <w:r>
              <w:rPr>
                <w:rFonts w:ascii="Arial" w:cs="Arial" w:eastAsia="Arial" w:hAnsi="Arial"/>
                <w:sz w:val="18"/>
                <w:szCs w:val="18"/>
                <w:color w:val="auto"/>
                <w:w w:val="90"/>
              </w:rPr>
              <w:t>982,472 shares of common stock, consisting of Agent Warrants to purchase up to 804,139 shares</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5"/>
              </w:rPr>
              <w:t>of our common stock, 45,000 Advisory Shares of our common stock and 133,333 Separation</w:t>
            </w: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360" w:type="dxa"/>
            <w:vAlign w:val="bottom"/>
            <w:gridSpan w:val="6"/>
          </w:tcPr>
          <w:p>
            <w:pPr>
              <w:ind w:left="300"/>
              <w:spacing w:after="0"/>
              <w:rPr>
                <w:sz w:val="20"/>
                <w:szCs w:val="20"/>
                <w:color w:val="auto"/>
              </w:rPr>
            </w:pPr>
            <w:r>
              <w:rPr>
                <w:rFonts w:ascii="Arial" w:cs="Arial" w:eastAsia="Arial" w:hAnsi="Arial"/>
                <w:sz w:val="18"/>
                <w:szCs w:val="18"/>
                <w:color w:val="auto"/>
              </w:rPr>
              <w:t>Shares of our common stock.</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Selling Shareholders</w:t>
            </w: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Selling Shareholders</w:t>
            </w:r>
            <w:r>
              <w:rPr>
                <w:rFonts w:ascii="Arial" w:cs="Arial" w:eastAsia="Arial" w:hAnsi="Arial"/>
                <w:sz w:val="18"/>
                <w:szCs w:val="18"/>
                <w:color w:val="auto"/>
              </w:rPr>
              <w:t>” beginning on page 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rPr>
              <w:t>29,077,660 common shares as of June 2, 2016.</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377"/>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Use of proceeds</w:t>
            </w:r>
          </w:p>
        </w:tc>
        <w:tc>
          <w:tcPr>
            <w:tcW w:w="7400" w:type="dxa"/>
            <w:vAlign w:val="bottom"/>
            <w:tcBorders>
              <w:right w:val="single" w:sz="8" w:color="auto"/>
            </w:tcBorders>
            <w:gridSpan w:val="18"/>
          </w:tcPr>
          <w:p>
            <w:pPr>
              <w:ind w:left="300"/>
              <w:spacing w:after="0"/>
              <w:rPr>
                <w:sz w:val="20"/>
                <w:szCs w:val="20"/>
                <w:color w:val="auto"/>
              </w:rPr>
            </w:pPr>
            <w:r>
              <w:rPr>
                <w:rFonts w:ascii="Arial" w:cs="Arial" w:eastAsia="Arial" w:hAnsi="Arial"/>
                <w:sz w:val="18"/>
                <w:szCs w:val="18"/>
                <w:color w:val="auto"/>
                <w:w w:val="96"/>
              </w:rPr>
              <w:t>We will not receive any proceeds from the sale or other disposition of the shares of common</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3"/>
              </w:rPr>
              <w:t>stock covered by this prospectus. However, upon any exercise of the Agent Warrants for cash,</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3"/>
              </w:rPr>
              <w:t>such Selling Shareholders would pay us the exercise price of the warrants. Cash received from</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rPr>
              <w:t>exercise of Agent Warrants will be used for general corporate purposes. Additionally, the</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1"/>
              </w:rPr>
              <w:t>Warrants are exercisable on a cashless basis. If any Agent Warrants are exercised on a cashless</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0"/>
              </w:rPr>
              <w:t>basis, we would not receive any cash payment from such Selling Shareholders upon any exercise</w:t>
            </w: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w w:val="93"/>
              </w:rPr>
              <w:t>of such Agent Warrants. See “Use of Proceeds” on page 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05"/>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OTCQB Symbol</w:t>
            </w:r>
          </w:p>
        </w:tc>
        <w:tc>
          <w:tcPr>
            <w:tcW w:w="6200" w:type="dxa"/>
            <w:vAlign w:val="bottom"/>
            <w:gridSpan w:val="14"/>
          </w:tcPr>
          <w:p>
            <w:pPr>
              <w:ind w:left="300"/>
              <w:spacing w:after="0"/>
              <w:rPr>
                <w:sz w:val="20"/>
                <w:szCs w:val="20"/>
                <w:color w:val="auto"/>
              </w:rPr>
            </w:pPr>
            <w:r>
              <w:rPr>
                <w:rFonts w:ascii="Arial" w:cs="Arial" w:eastAsia="Arial" w:hAnsi="Arial"/>
                <w:sz w:val="18"/>
                <w:szCs w:val="18"/>
                <w:color w:val="auto"/>
                <w:w w:val="94"/>
              </w:rPr>
              <w:t>Our Common Stock is quoted on the OTCQB under the ticker symbol “OPRX”.</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377"/>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Risk Factors</w:t>
            </w:r>
          </w:p>
        </w:tc>
        <w:tc>
          <w:tcPr>
            <w:tcW w:w="7400" w:type="dxa"/>
            <w:vAlign w:val="bottom"/>
            <w:tcBorders>
              <w:right w:val="single" w:sz="8" w:color="auto"/>
            </w:tcBorders>
            <w:gridSpan w:val="18"/>
          </w:tcPr>
          <w:p>
            <w:pPr>
              <w:ind w:left="300"/>
              <w:spacing w:after="0"/>
              <w:rPr>
                <w:sz w:val="20"/>
                <w:szCs w:val="20"/>
                <w:color w:val="auto"/>
              </w:rPr>
            </w:pPr>
            <w:r>
              <w:rPr>
                <w:rFonts w:ascii="Arial" w:cs="Arial" w:eastAsia="Arial" w:hAnsi="Arial"/>
                <w:sz w:val="18"/>
                <w:szCs w:val="18"/>
                <w:color w:val="auto"/>
                <w:w w:val="93"/>
              </w:rPr>
              <w:t>You should consider the matters set forth under “</w:t>
            </w:r>
            <w:r>
              <w:rPr>
                <w:rFonts w:ascii="Arial" w:cs="Arial" w:eastAsia="Arial" w:hAnsi="Arial"/>
                <w:sz w:val="18"/>
                <w:szCs w:val="18"/>
                <w:i w:val="1"/>
                <w:iCs w:val="1"/>
                <w:color w:val="auto"/>
                <w:w w:val="93"/>
              </w:rPr>
              <w:t>Risk Factors</w:t>
            </w:r>
            <w:r>
              <w:rPr>
                <w:rFonts w:ascii="Arial" w:cs="Arial" w:eastAsia="Arial" w:hAnsi="Arial"/>
                <w:sz w:val="18"/>
                <w:szCs w:val="18"/>
                <w:color w:val="auto"/>
                <w:w w:val="93"/>
              </w:rPr>
              <w:t>” beginning on page 4, as well as</w:t>
            </w:r>
          </w:p>
        </w:tc>
      </w:tr>
      <w:tr>
        <w:trPr>
          <w:trHeight w:val="203"/>
        </w:trPr>
        <w:tc>
          <w:tcPr>
            <w:tcW w:w="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400" w:type="dxa"/>
            <w:vAlign w:val="bottom"/>
            <w:tcBorders>
              <w:right w:val="single" w:sz="8" w:color="auto"/>
            </w:tcBorders>
            <w:gridSpan w:val="18"/>
          </w:tcPr>
          <w:p>
            <w:pPr>
              <w:ind w:left="300"/>
              <w:spacing w:after="0" w:line="202" w:lineRule="exact"/>
              <w:rPr>
                <w:sz w:val="20"/>
                <w:szCs w:val="20"/>
                <w:color w:val="auto"/>
              </w:rPr>
            </w:pPr>
            <w:r>
              <w:rPr>
                <w:rFonts w:ascii="Arial" w:cs="Arial" w:eastAsia="Arial" w:hAnsi="Arial"/>
                <w:sz w:val="18"/>
                <w:szCs w:val="18"/>
                <w:color w:val="auto"/>
                <w:w w:val="94"/>
              </w:rPr>
              <w:t>other cautionary statements throughout or incorporated by reference in this prospectus, before</w:t>
            </w: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720" w:type="dxa"/>
            <w:vAlign w:val="bottom"/>
            <w:gridSpan w:val="10"/>
          </w:tcPr>
          <w:p>
            <w:pPr>
              <w:ind w:left="300"/>
              <w:spacing w:after="0"/>
              <w:rPr>
                <w:sz w:val="20"/>
                <w:szCs w:val="20"/>
                <w:color w:val="auto"/>
              </w:rPr>
            </w:pPr>
            <w:r>
              <w:rPr>
                <w:rFonts w:ascii="Arial" w:cs="Arial" w:eastAsia="Arial" w:hAnsi="Arial"/>
                <w:sz w:val="18"/>
                <w:szCs w:val="18"/>
                <w:color w:val="auto"/>
              </w:rPr>
              <w:t>deciding to invest in shares of our common stock.</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19"/>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60" w:type="dxa"/>
            <w:vAlign w:val="bottom"/>
            <w:gridSpan w:val="6"/>
          </w:tcPr>
          <w:p>
            <w:pPr>
              <w:ind w:left="400"/>
              <w:spacing w:after="0"/>
              <w:rPr>
                <w:sz w:val="20"/>
                <w:szCs w:val="20"/>
                <w:color w:val="auto"/>
              </w:rPr>
            </w:pPr>
            <w:r>
              <w:rPr>
                <w:rFonts w:ascii="Arial" w:cs="Arial" w:eastAsia="Arial" w:hAnsi="Arial"/>
                <w:sz w:val="18"/>
                <w:szCs w:val="18"/>
                <w:b w:val="1"/>
                <w:bCs w:val="1"/>
                <w:color w:val="auto"/>
              </w:rPr>
              <w:t>Summary Financial Information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24"/>
                <w:szCs w:val="24"/>
                <w:color w:val="auto"/>
              </w:rPr>
            </w:pPr>
          </w:p>
        </w:tc>
        <w:tc>
          <w:tcPr>
            <w:tcW w:w="12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1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3,446,973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7,548,261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12,314,280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7,028,806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11,097,757</w:t>
            </w: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3,371,784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2,418,722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2,551,208</w:t>
            </w: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8,942,496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4,610,084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8,546,549</w:t>
            </w: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400"/>
        </w:trPr>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w:t>
            </w: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2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8"/>
                <w:szCs w:val="18"/>
                <w:color w:val="auto"/>
              </w:rPr>
            </w:pPr>
          </w:p>
        </w:tc>
        <w:tc>
          <w:tcPr>
            <w:tcW w:w="120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Statement of Operations</w:t>
            </w:r>
          </w:p>
        </w:tc>
        <w:tc>
          <w:tcPr>
            <w:tcW w:w="18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6,502,962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1,759,528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1,487,533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(Loss) for the Period</w:t>
            </w:r>
          </w:p>
        </w:tc>
        <w:tc>
          <w:tcPr>
            <w:tcW w:w="2100" w:type="dxa"/>
            <w:vAlign w:val="bottom"/>
            <w:gridSpan w:val="3"/>
          </w:tcPr>
          <w:p>
            <w:pPr>
              <w:ind w:left="20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(595,140)</w:t>
            </w: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(1,025,393)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(351,916)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(111,201)</w:t>
            </w: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r>
      <w:tr>
        <w:trPr>
          <w:trHeight w:val="205"/>
        </w:trPr>
        <w:tc>
          <w:tcPr>
            <w:tcW w:w="4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-1834515</wp:posOffset>
            </wp:positionV>
            <wp:extent cx="716915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-1560195</wp:posOffset>
            </wp:positionV>
            <wp:extent cx="716915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-582295</wp:posOffset>
            </wp:positionV>
            <wp:extent cx="71691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137160"/>
                    </a:xfrm>
                    <a:prstGeom prst="rect">
                      <a:avLst/>
                    </a:prstGeom>
                    <a:noFill/>
                  </pic:spPr>
                </pic:pic>
              </a:graphicData>
            </a:graphic>
          </wp:anchor>
        </w:drawing>
      </w:r>
    </w:p>
    <w:p>
      <w:pPr>
        <w:sectPr>
          <w:pgSz w:w="11900" w:h="16838" w:orient="portrait"/>
          <w:cols w:equalWidth="0" w:num="1">
            <w:col w:w="11500"/>
          </w:cols>
          <w:pgMar w:left="240" w:top="226" w:right="15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No assurance can be given that we will be successful in this regard. If we are unable to engage and retain the necessary personnel, our business may be materially and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currently work with many leading pharmaceutical companies, including Pfizer, Eli Lilly, Actavis, AstraZeneca, Alcon, Daiichi Sankyo, Novartis, Novo Nordisk, Valeant, Shire, and others. Our failure to retain existing customers or expand with new customers could negatively impact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Approximately 52% of our revenue came from our largest five customers. Loss of one or more of these customers could have a significant negative impact on our operating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 Despite the launch of Sample MD 2.0,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Do to the labyrinth of regulations in the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currently involved in litigation and other disputes, as described in this Prospectus.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prepared this prospectus to allow the Selling Shareholders or their successors, assignees or other permitted transferees to sell or otherwise dispose of, from time to time, up to 982,472 shares of our Common Stock. Of the shares of common stock being offered under this prospectus 804,139 shares are able to be acquired pursuant to the Agent Warrants we issued in connection with our March 2014 Private Placement, which Agent Warrants are currently exercisable. There are also 45,000 Advisory Shares that were issued in connection with an Advisory Agreement with Merriman. We have issued and delivered to Merriman the 45,000 shares of common stock that were earned under the Advisory Agreement as of the date of execution. The remaining 133,333 Separation Shares were issued in connection with a Separation Agreement with Mr. Shadron Stastney. We have issued and delivered to Mr. Stastney these shares of common stock.</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Agent Warrants, Advisory Shares and Separation Shares were sold pursuant to an exemption from registration provided by Section 4(a)(2) of the Securities Act and/or Regulation D under the Securities Act. In connection therewith, the investors made to us certain representations, warranties, covenants, and conditions customary for private placement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29,077,660 shares of Common Stock issued and outstanding as of June 2, 2016. Beneficial ownership is determined under Section 13(d) of the Exchange Act and generally includes voting or investment power with respect to securities and including any securities that grant the Selling Shareholders the right to acquire Common Stock within 60 days of June 2, 2016.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w w:val="98"/>
              </w:rPr>
              <w:t>Shares of Common Stock</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As a</w:t>
            </w:r>
          </w:p>
        </w:tc>
        <w:tc>
          <w:tcPr>
            <w:tcW w:w="100" w:type="dxa"/>
            <w:vAlign w:val="bottom"/>
          </w:tcPr>
          <w:p>
            <w:pPr>
              <w:spacing w:after="0"/>
              <w:rPr>
                <w:sz w:val="17"/>
                <w:szCs w:val="17"/>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Owned Prior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Owned After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to the Sale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the Sale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Sale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all Shares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all 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covered by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Covered by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covered by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covered by</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this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this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this</w:t>
            </w:r>
          </w:p>
        </w:tc>
      </w:tr>
      <w:tr>
        <w:trPr>
          <w:trHeight w:val="24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Prospectus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Prospectus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Prospectus</w:t>
            </w:r>
          </w:p>
        </w:tc>
      </w:tr>
      <w:tr>
        <w:trPr>
          <w:trHeight w:val="216"/>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Merriman Capital, Inc.(1)</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Merriman Capital, Inc.(2)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591,613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591,613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Taglich Brothers, Inc.(3)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212,526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Shadron Stastney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133,333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133,333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34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45,000 shares of common stock issued under an Advisory Agreement with Merriman Capital, Inc. Merriman is a registered broker-dealer that served as the placement agent in connection with our March 2014 Private Placement. Jon Merriman is the CEO of Merriman and an affiliate of a registered-broker-dealer. Mr. Merriman has voting and dispositive power with respect to the shares.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warrants received as our placement agent in our March 2014 Private Placement.</w:t>
      </w:r>
    </w:p>
    <w:p>
      <w:pPr>
        <w:spacing w:after="0" w:line="9"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time of the purchase of the securities to be resold under this Prospectus, the Selling Shareholders either received their securities as compensation in connection with investment banking services provided in connection with the March 2014 Private Placement, or purchased the securities in the ordinary course of business and represented to us that they did not have any agreements or understandings, directly or indirectly, with any person to distribute the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2014, we initiated litigation against Shadron Stastney, our CEO from January 2013 to September 2013, in the U.S. District Court in the Eastern District of Michigan as a result of a dispute related to his Separation Agreement. On May 27, 2016, we settled the action. For a complete release of claims and dismissal of the action, we agreed to pay Mr. Stastney $50,000 and to issue him 100,000 shares of our common stock. We further agreed to register 133,333 of his existing shares with the Securities and Exchange Commission on Form S-1 by June 30, 2016.</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8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7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19"/>
                <w:szCs w:val="19"/>
                <w:color w:val="auto"/>
              </w:rPr>
            </w:pPr>
          </w:p>
        </w:tc>
        <w:tc>
          <w:tcPr>
            <w:tcW w:w="742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Positions and Offices Held</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A. Harrell</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49</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Chairman and Director</w:t>
            </w: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William J. Febbo</w:t>
            </w:r>
          </w:p>
        </w:tc>
        <w:tc>
          <w:tcPr>
            <w:tcW w:w="10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Terence J. Hamilton</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SVP of Sales</w:t>
            </w: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Douglas Baker</w:t>
            </w:r>
          </w:p>
        </w:tc>
        <w:tc>
          <w:tcPr>
            <w:tcW w:w="10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Brooks</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47</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of Business Development</w:t>
            </w: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Gus D. Halas</w:t>
            </w:r>
          </w:p>
        </w:tc>
        <w:tc>
          <w:tcPr>
            <w:tcW w:w="10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Jack Pinney</w:t>
            </w:r>
          </w:p>
        </w:tc>
        <w:tc>
          <w:tcPr>
            <w:tcW w:w="1040" w:type="dxa"/>
            <w:vAlign w:val="bottom"/>
            <w:gridSpan w:val="2"/>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Lynn Vos</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Harrell founded the Company in January of 2006. He became a director when the Company changed from a limited liability to a corporation in 2007. He has served as our Chairman since September 20, 2013, and our Chief Executive Officer from September 20, 2013 through February 21, 2016.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Harrell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Febbo joined the company as Chief Executive Officer on February 22, 2016. Mr. Febbo brings more than 18 years of experience in building and managing health services and financial businesses. Before joining our company, Mr. Febbo served as Chairman and Founder of Plexus,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Mr. Febbo is qualified to serve on our Board of Directors because of his leadership and sales experience in health services and financial businesses.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Brooks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Brooks brings more than 20 years of experience in sales &amp; marketing, including sales force development, sales management, and organizational leadership processes within the Electronic Health Record (EHR) and Healthcare Technology sector. Prior to joining our company, he served as chief revenue officer at iCare, an enterprise cloud EHR and revenue cycle management system vendor. Prior to iCare, Mr. Brooks served as executive vice president at Modernizing Medicine, a leading provider of EHR systems focused on the dermatology, ophthalmology, plastic, and orthopedic marketplace. While at Modernizing Medicine, he was responsible for developing and managing a world-class sales and marketing team and grew the business into one of the largest specialty EHRs. Mr. Brooks additionally served as vice president of the enterprise sales and radiology division at Sage North America, a provider of information systems with a focus on healthcare with $300 million in annual revenue and 1,200 staff members. Earlier in his career, he served as senior sales executive and enterprise vice president of clinical sales at McKesson, a FORTUNE 500 company delivering healthcare services and information technology. Mr. Brooks holds a Bachelor of Arts in Economics and Speech Communication from St. Cloud State University in Minnesota.</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Brooks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Ms. Vos has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Vos is qualified to serve on our Board of Directors because of her experience and expertise in digital marketing and communications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The Investor Rights Agreement we signed with WPP Luxembourg Gamma Three Sarl states that our Board of Directors shall consist of five (5) Directors. We currently have five (5)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conviction in a criminal proceeding or being named a subject of a pending criminal proceeding (excluding traffic violations and other minor offenses);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both"/>
        <w:ind w:left="660" w:hanging="328"/>
        <w:spacing w:after="0" w:line="26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court of competent jurisdiction, permanently or temporarily enjoining him or her from, or otherwise limiting, the following activities: 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 ii. Engaging in any type of business practice; or iii. Engaging in any activity in connection with the purchase or sale of any security or commodity or in connection with any violation of Federal or State securities laws or Federal commodities laws;</w:t>
      </w:r>
    </w:p>
    <w:p>
      <w:pPr>
        <w:spacing w:after="0" w:line="3" w:lineRule="exact"/>
        <w:rPr>
          <w:rFonts w:ascii="Arial" w:cs="Arial" w:eastAsia="Arial" w:hAnsi="Arial"/>
          <w:sz w:val="17"/>
          <w:szCs w:val="17"/>
          <w:color w:val="auto"/>
        </w:rPr>
      </w:pPr>
    </w:p>
    <w:p>
      <w:pPr>
        <w:jc w:val="both"/>
        <w:ind w:left="660" w:right="2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iii. Any law or regulation prohibiting mail or wire fraud or fraud in connection with any business entity; or</w:t>
      </w:r>
    </w:p>
    <w:p>
      <w:pPr>
        <w:spacing w:after="0" w:line="2"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2015, the board of directors: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Based upon the board of directors’ review and discussion of the matters above, the board of directors authorized inclusion of the audited financial statements for the year ended December 31, 2015 to be included in this Prospectus filed with the Securities and Exchange Commission.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2015, other than the Form 3 for Director Vos which was filed late.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we had not adopted a Code of Ethics. We felt, until recently, the small number of individuals comprising our board and management did not warrant the adoption of a Code of Ethics. Now that we have expanded our board and our increasing the size of our organization, we intend to adopt a Code of Ethics in the near future.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the beneficial ownership by each person, other than executive officers and directors, known to us to beneficially own 5% or more of our outstanding common stock as of June 2, 2016. This information is based on public filings as of June 2, 2016. For the purposes of this Prospectus,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Common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Percentage of</w:t>
            </w:r>
          </w:p>
        </w:tc>
      </w:tr>
      <w:tr>
        <w:trPr>
          <w:trHeight w:val="24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More Than 5% Beneficial Owners:</w:t>
            </w: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Shares Owned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r>
      <w:tr>
        <w:trPr>
          <w:trHeight w:val="202"/>
        </w:trPr>
        <w:tc>
          <w:tcPr>
            <w:tcW w:w="34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12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WPP PLC</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 Farm Street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United Kingdom</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W1J 5RJ</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6,011,106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Common</w:t>
            </w:r>
          </w:p>
        </w:tc>
        <w:tc>
          <w:tcPr>
            <w:tcW w:w="5240" w:type="dxa"/>
            <w:vAlign w:val="bottom"/>
            <w:gridSpan w:val="2"/>
          </w:tcPr>
          <w:p>
            <w:pPr>
              <w:spacing w:after="0" w:line="201" w:lineRule="exact"/>
              <w:rPr>
                <w:sz w:val="20"/>
                <w:szCs w:val="20"/>
                <w:color w:val="auto"/>
              </w:rPr>
            </w:pPr>
            <w:r>
              <w:rPr>
                <w:rFonts w:ascii="Arial" w:cs="Arial" w:eastAsia="Arial" w:hAnsi="Arial"/>
                <w:sz w:val="18"/>
                <w:szCs w:val="18"/>
                <w:color w:val="auto"/>
              </w:rPr>
              <w:t>Wolverine Flagship Fund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Trading Limited 175 W Jackson Blvd,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3rd Flr Chicago, IL 60604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2,154,500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Harvey L. Poppel</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 El Mirasol</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Palm Beach, FL 33480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2,129,028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05"/>
        </w:trPr>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Common</w:t>
            </w:r>
          </w:p>
        </w:tc>
        <w:tc>
          <w:tcPr>
            <w:tcW w:w="5240" w:type="dxa"/>
            <w:vAlign w:val="bottom"/>
            <w:gridSpan w:val="2"/>
          </w:tcPr>
          <w:p>
            <w:pPr>
              <w:spacing w:after="0" w:line="206" w:lineRule="exact"/>
              <w:rPr>
                <w:sz w:val="20"/>
                <w:szCs w:val="20"/>
                <w:color w:val="auto"/>
              </w:rPr>
            </w:pPr>
            <w:r>
              <w:rPr>
                <w:rFonts w:ascii="Arial" w:cs="Arial" w:eastAsia="Arial" w:hAnsi="Arial"/>
                <w:sz w:val="18"/>
                <w:szCs w:val="18"/>
                <w:color w:val="auto"/>
              </w:rPr>
              <w:t>Goldman Capital Management, Inc.</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3"/>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40" w:type="dxa"/>
            <w:vAlign w:val="bottom"/>
            <w:gridSpan w:val="2"/>
          </w:tcPr>
          <w:p>
            <w:pPr>
              <w:spacing w:after="0" w:line="253" w:lineRule="exact"/>
              <w:rPr>
                <w:sz w:val="20"/>
                <w:szCs w:val="20"/>
                <w:color w:val="auto"/>
              </w:rPr>
            </w:pPr>
            <w:r>
              <w:rPr>
                <w:rFonts w:ascii="Arial" w:cs="Arial" w:eastAsia="Arial" w:hAnsi="Arial"/>
                <w:sz w:val="18"/>
                <w:szCs w:val="18"/>
                <w:color w:val="auto"/>
              </w:rPr>
              <w:t>767 Third Ave.,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1,532,394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Ronald L. Chez</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East Monroe Street, Suite 3700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2,721,976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655"/>
        </w:trPr>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June 2, 2016,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Related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 Stock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Awards and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Note Payable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Beneficial</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ind w:left="1960"/>
              <w:spacing w:after="0"/>
              <w:rPr>
                <w:sz w:val="20"/>
                <w:szCs w:val="20"/>
                <w:color w:val="auto"/>
              </w:rPr>
            </w:pPr>
            <w:r>
              <w:rPr>
                <w:rFonts w:ascii="Arial" w:cs="Arial" w:eastAsia="Arial" w:hAnsi="Arial"/>
                <w:sz w:val="18"/>
                <w:szCs w:val="18"/>
                <w:color w:val="auto"/>
              </w:rPr>
              <w:t>Name(1)</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Ownership (2)</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Ownership</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2,590,897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2,590,897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William J. Febbo</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380,413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764,601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Brooks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Douglas P. Baker</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777,079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777,079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Directors as a group (6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384,188</w:t>
            </w:r>
          </w:p>
        </w:tc>
        <w:tc>
          <w:tcPr>
            <w:tcW w:w="1140" w:type="dxa"/>
            <w:vAlign w:val="bottom"/>
          </w:tcPr>
          <w:p>
            <w:pPr>
              <w:jc w:val="right"/>
              <w:spacing w:after="0"/>
              <w:rPr>
                <w:sz w:val="20"/>
                <w:szCs w:val="20"/>
                <w:color w:val="auto"/>
              </w:rPr>
            </w:pPr>
            <w:r>
              <w:rPr>
                <w:rFonts w:ascii="Arial" w:cs="Arial" w:eastAsia="Arial" w:hAnsi="Arial"/>
                <w:sz w:val="18"/>
                <w:szCs w:val="18"/>
                <w:color w:val="auto"/>
              </w:rPr>
              <w:t>3,822,841</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4,307,029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June 2, 2016, and are included in common stock beneficial ownership pursuant to Rule 13d-3(d)(1) of the Exchange Act.</w:t>
      </w: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column lists shares that are obtainable as result of stock awards for shares not yet issued or notes that are payable in stock as of June 2, 2016.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June 2, 2016, there were 29,077,660 shares of our common stock issued and outstanding and 0 shares of our preferred stock issued and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69"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6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Underlying Warrants Issued in Connection With the March 2014 Private Placement Financing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The Registration Rights Agreement required us to file a registration statement with the Securities and Exchange Commission in connection with shares sold in the March 2014 Private Placement. We filed a registration statement that went effective on May 28, 2014 to comply with the terms of the Registration Rights Agreement. In addition, we granted piggyback registration rights to the Placement Agents in the March 2014 Private Placement, which comprise the shares of common stock underlying the Agent Warrants that are being registered herein. We are filing this registration statement to maintain the registered status of those shares underlying the Agent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Issued in Connection with the Merriman Capital, Inc. Advisory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23, 2015, we entered into the Advisory Agreement with Merriman. We granted registration rights to Merriman concerning the 150,000 shares in the Advisory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Shares Issued in Connection with the Settlement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27, 2016, we entered into a Settlement Agreement with Mr. Shadron Stastney whereby we granted registration rights to his 133,333 shares issued under a Separation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Demand Registration Rights. We granted the Investor registration rights for the 6,011,106 acquired from us and any securities acquired in 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Inspection Rights. So long as the Investor owns not less than 25% of the Shares, we granted the Investor an annual right to inspect our books and records.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Right of First Refusal. We agreed that, in the event that it proposes to sell new securities, we will first offer such new securities to the Investor.</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1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1300" w:right="2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5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5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56"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warrants outstanding to purchase 2,044,583 shares of our common stock at a weighted average exercise price of $ 1.67 as of March 31,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options outstanding to purchase 2,780,000 shares of our common stock at a weighted average exercise price of $1.10 as of March 31, 2016.</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KLJ &amp; Associates, LLP has audited our financial statements included in this prospectus and registration statement to the extent and for the periods set forth in their audit report. KLJ &amp; Associates, LLP has presented their report with respect to our audited financial statements. The report of KLJ &amp; Associates, LLP is included in reliance upon their authority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r>
        <w:rPr>
          <w:rFonts w:ascii="Arial" w:cs="Arial" w:eastAsia="Arial" w:hAnsi="Arial"/>
          <w:sz w:val="18"/>
          <w:szCs w:val="18"/>
          <w:color w:val="auto"/>
        </w:rPr>
        <w: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Through April 2016</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sales for the first three months of 2016 were approximately $1.76 million, an 18% increase over the same period in 2015.</w:t>
      </w:r>
    </w:p>
    <w:p>
      <w:pPr>
        <w:spacing w:after="0" w:line="2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hired an experienced Senior Vice President of Business Development to lead the expansion of our EHR network, as well as increase utilization of our existing network.</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hired a new CEO to lead the Company in its next stage of growth.</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2016, which generated significant leads for our sales force.</w:t>
      </w:r>
    </w:p>
    <w:p>
      <w:pPr>
        <w:spacing w:after="0" w:line="223"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completed an agreement with TrialCard to co-market our joint capabilities.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implemented a CRM for our expanding direct sales team, multiple partnerships as well as EHR growth opportunities.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partnerships with WPP is starting to show promise with the addition of XX new brands in our pipeline.</w:t>
      </w:r>
    </w:p>
    <w:p>
      <w:pPr>
        <w:spacing w:after="0" w:line="2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initiated a re-branding of our company to demonstrate our ability to bring financial and clinical messaging as well as brand support services, such as drug file integration and sale force training.</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completed a full technology review and have kicked off several efforts to drive revenue growth with additional services for our existing clients. We expect those to be completed by Q3 2016.</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announced our first partnership in the independent pharmacy space with RxWiki.</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success in acquiring, integrating and expanding into new promotional EHR/eRx platforms continues to grow as well. We are actively engaged in discussions with several EHRs to integrate our technology into their platforms. We are also working extensively with our existing platforms to expand the reach of our eCoupon product to all of their providers, as well as increasing the utilization of the eCoupon functionality by their existing users.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over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2015</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sales for 2015 were $7.2 million, an 11% increase over 2014.</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our promotional transactions, primarily from our core eCoupon distributions, increased approximately 25% over those in 2014.</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we distributed eCoupons related to approximately 85 different brands.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Excluding non-cash expenses, in 2015 we generated operating income of approximately $350,000.</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we successfully launched our e-Coupon solution within the Practice Fusion network.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continued to acquire new pharmaceutical manufacturers and brands promoting through our platforms.</w:t>
      </w:r>
    </w:p>
    <w:p>
      <w:pPr>
        <w:spacing w:after="0" w:line="21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hired an experienced sales professional in November, 2015 to lead our relationship with media agencies and in December, an experienced executive to lead the expansion of our network.</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secured an investment of approximately $4.7 million from WPP, a global provider of advertising, marketing, and branding.</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completed an upgrade of our technology platform to Oracle database software to further improve system and reporting capacity.</w:t>
      </w:r>
    </w:p>
    <w:p>
      <w:pPr>
        <w:spacing w:after="0" w:line="2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proved an outstanding Return on Investment associated with our pharmaceutical promotions through an independent analytics firm with multiple pharmaceutical brands.</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unveiled VoucherDVM and engaged leading platforms to offer automated vet product savings. We initiated a beta launch in January, 2016 with the National Veterinary Associates.</w:t>
      </w:r>
    </w:p>
    <w:p>
      <w:pPr>
        <w:spacing w:after="0" w:line="1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began a search for a new CEO to help lead us through our next stage of growth, which culminated in the hiring of Will Febbo, who became CEO on February 22,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generated positive cash flow from operations in 2015, and we expect to continue to do so in 2016, as well as to be profitable during the upcoming year based on the expected escalation of revenues.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success in acquiring, integrating and expanding into new promotional EHR/eRx platforms continues to grow as well. We are discussing 2016 rollout dates with potential additional networks.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sales team continues to expand opportunities within existing and new clients. We are focused on adding additional brands for existing clients,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 as follows:</w:t>
      </w:r>
    </w:p>
    <w:p>
      <w:pPr>
        <w:spacing w:after="0" w:line="225"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Drug File Integration – we are designing a service to better insure that manufacturers’ drugs are present in every ePrescribing platform available.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actively expanding our messaging capabilities with the goal of rapidly increasing revenue through this complementary service.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ePrescribe Training – we are pursuing opportunities to leverage our partnership with WPP/Grey to train representatives on understanding and leveraging EHR sales opportunities.</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VoucherDVM - we continue advancing our negotiations with each of the leading veterinarian technology platforms and have signed an agreement with National Veterinary Associates, one of the largest veterinary groups in the U.S., to initiate a beta launch in January,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Held multiple meetings initiated and arranged by Pharmaceutical companies to bring on new Health Systems/ePrescribe Platforms.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Spoke at multiple conferences in 2015, including the Marcum 2015 MicroCap conference, the Liolios 4th annual Gateway conference and the LD Micro investor conference.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Sponsored the 3rd Annual ePrescribe/EHR Conference.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substantially over last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2016, in addition to expanding our network, we plan to intensively focus on increasing physician utilization of our partner networks. We intend to working individually with each of our partners based on their particular situation to improve workflow to increase coupon utilization by those providers that have access, obtain access for those prescribers that currently do not have e-coupon access, and increase overall revenue derived from each channel. We believe there is significant revenue growth available within our existing brands by better utilizing our existing partner networks, in addition to the revenue growth provided by new brands and new network partners.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began the search for an experienced EHR executive to lead our expansion efforts. In January, 2016, we hired James Brooks as Senior Vice President of Business Development to champion our EHR business through the development of new relationships with other EHR providers and patient platforms.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support our growth, we have migrated our platform to Oracle database software. The system can now manage up to 1 million rules and return the appropriate content within 1 second. This allows unsurpassed response time to avoid delays, and the ability to meet the upcoming dramatic scale we expect.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a stand-alone desktop eCoupon application that can be used by prescribers that either are not using an eprescribing application, or whose EHR vendor does not offer e-Coupon functionality. We have sold one such application to a major pharmaceutical manufacturer for use as a tool by their sales force and to distribute to physicians. We expect this to be a source of revenue growth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recently added one executive officer to our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Brooks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4, 2016, the board of directors appointed Mr. James Brooks to act as our Senior Vice President of Business Development. Mr. Brooks brings more than 20 years of experience in sales &amp; marketing, including sales force development, sales management, and organizational leadership processes within the Electronic Health Record (EHR) and Healthcare Technology sector.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4, 2016, we entered into an employment agreement with Mr. Brooks. The agreement is at will and may be terminated by either party at any time. Under the agreement, we agreed to compensate Mr. Brooks $185,000 annually and, subject to meeting certain assigned goals, we agreed to pay him a bonus of up to $100,000 per year, along with a maximum of 300,000 stock options during the first two years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Mr. Brooks is entitled to participate in any existing employee benefit plans. He has paid vacation and sick days, and other benefits included in the agreement.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Brooks agreed to covenants not to solicit customers or recruit employees both during employment and for a period of one year following termination. The agreement also contains a confidentiality provision.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Harrell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Mr. David Harrell, ended his employment as our Chief Executive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9, 2016, we entered into a Separation Agreement and Release with Mr. Harrell that grants us a standard release of employment claims in consideration for, among other things, a stock payout of $720,415 to Mr. Harrell.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will remain our employee through May 31, 2016 and the Corporate Consulting Agreement is effective as of June 1, 2016. Under the terms of this agreement, Mr. Harrell will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Events in 2015</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secured a strategic investment from WPP of approximately $4.7 million. The completion of this transaction represents a significant expansion of our relationship with WPP, the largest marketing services company in the world, and Lynn Vos, CEO of WPP’s subsidiary, Grey Healthcare Group, has joined our Board. We have hired a top executive to focus on overall client services, including the WPP relationship, and to focus on expanding opportunities available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strategic value, we expect the WPP relationship to provide promotional support, help add pharmaceutical brands, aid in expansion of our EHR network, expand our service offerings, and help us expand our management and infrastructure. We anticipate that that the WPP relationship will have a significant and positive impact on our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signed an agreement with Allscripts to become its exclusive provider of eCoupons throughout all of its platforms as well as to integrate our e-Coupons into its Touchworks network. The Touchworks platform is used by large health systems throughout the country and is expected to represent a significant expansion of our network. ECoupon functionality within Touchworks is expected to launch on a test basis in late 2016 and on a wide-scale basis in early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lengthy sales cycle involved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SAMPLEMD - Our platform, which we refer to as 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Over 90% of our revenue comes through activities related to our SampleMD platform.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9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OPTIMIZEHR – Our consulting practice is focused on educating and working with pharmaceutical manufacturers on identifying, formulating, and implementing new eRx media strategies for promoting their products. Our consulting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manufactures in identifying and building a competitive strategy to take advantage of this new digital frontier. Currently, this activity results in less than 5% of our revenue, but represents a significant growth opportunity for us.</w:t>
      </w:r>
    </w:p>
    <w:p>
      <w:pPr>
        <w:spacing w:after="0" w:line="164"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 At the present time, we generate no revenue through this site, but we believe it represents a significant potential future revenue source.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taking a lead sponsor position in the CBInet eRx and EHR conferences in March and October of 2015. We are also the named sponsor of the March 2016 conference. During the course of the year, we also initiated and delivered successful email marketing campaigns, which generated viable leads for our sales force.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also announced the expansion of our strategic partnership with WPP/Grey Health Group, a leading agency within the healthcare marketplace, which included a significant investment by an affiliated entity of WPP. We plan to continue to increase our marketing efforts with all of our strategic partners, as we intend to continue to promote our platform primarily through the following:</w:t>
      </w:r>
    </w:p>
    <w:p>
      <w:pPr>
        <w:spacing w:after="0" w:line="18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platform competes in the highly competitive pharmaceutical and healthcare advertising industry that is dominated by large well-known companies with established names, solid market niches, wide arrays of product offerings and marketing networks. Coupon offerings compete for pharmaceutical budgets with a variety of other forms of advertising and promotion.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Despite these overall competitors, we do not have major competition in our specific portion of the market. We have been experiencing a growing list of potential partners whom either have content that they want to deliver through our distribution engine and network, or whom have complementary technology and want to integrate our solution as a channel partner, expanding our reach to clinicians. The primary competitors in our space of the market are PDR Network, LLC and Physicians Interactive Holdings, Inc. However, we believe our breadth of brands offered, extensive list of pharmaceutical clients, and the vast reach of our network give us a substantial advantage and allow us to achieve a dominant position in the marketplace.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our licensed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Prospectus, we had 14 full-time employees and 4 part-time employees, in addition to contracted programmers, as needed, through our established relationship with Simple eSolutions, a technical and programming resources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Corporation, a Michigan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400 Water Street, Suite 200, Rochester, Michigan, 48307. We initially entered into a 3 year lease for this 3,648 square foot facility, with a cost of $5,049.25 per month. We renewed that lease for a two year period on December 1, 2014 for a monthly rental rate of $5,201.50.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revenue reported for the three months ended March 31, 2016 was approximately $1.76 million, an increase of 18% over the approximately $1.49 million from the same period in 2015. These increased revenues result from both increased pharmaceutical brands being promoted and expanded distribution channels. We expect quarter over quarter revenue increases for the balance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sales, composed of revenue share expense, increased over the same period in 2015 as a result of the revenue increases. Our revenue share expense as a percentage of revenue remained relatively constant at approximately 51% in both periods. We expect this percentage to gradually decrease in future quarters as we implement new channels with lower revenue share percentages and as we update our existing agreements to share third party costs, with a goal of a decrease of at least 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increased from approximately $850,000 for the three month period ended March 31, 2015 to approximately $1.23 million for the same period in 2016, an increase of approximately 46%.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2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3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557,206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106,384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179,278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70,765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50,268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74,616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43,440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3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74,765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1,228,564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842,610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largest increases in operating expenses related to human resource costs and professional fees. Since the first quarter of 2015, we have hired a Vice President of Client Services, a Senior Vice President of Business Development, an additional Vice President of Sales, and a new CEO. The first quarter of 2016 includes an overlap period in the CEO position where our new CEO started in February and our previous CEO remained on the payroll until March 31. These new hires also resulted in increases in benefits, payroll taxes, and travel. Our professional fees increased significantly as a result of the litigation described in the footnotes to our financial statements. Both of our legal cases are in active periods and we expect to continue to incur significant costs related to the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expect our overall operating expenses to continue to increase as we further implement our business plan and expand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loss for the three months ended March 31, 2016 was approximately $350,000 as compared to a loss of approximately $110,000 during the same period in 2015. The reasons for specific components are discussed above. Overall, the increased margin resulting from the increased sales was offset by the increased operating expenses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2015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total revenue reported for the year ended December 31, 2015 was approximately $7.2 million, an increase of 11% from the year ended December 31, 2014. This increased revenue resulted from increases in all major revenue categories including setup fees, reporting fees, and e-Coupon distributions and resulted from both increased pharmaceutical brands being promoted and expanded distribution channels. We expect continued revenue increases in 2016.</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and we received approximately 52% of our revenue in the year ended December 31, 2015 from our largest 5 customers, with approximately 20% of revenue from our largest customer. During the year ended December 31, 2014, approximately 64% of revenue came from our 5 largest customers, with 20% from our largest customer. While we are still dependent on major customers, as our customer base expands, we are becoming less dependent on any one customer.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cost of sales, composed of revenue share expense, increased in the year ended December 31, 2015, over the year ended December 31, 2014 as a result of the revenue increases. In addition, revenue share expense as a percentage of revenue in 2015 increased over 2014 from approximately 49.5% in the year ended December 31, 2014 to approximately 50.1% in the year ended December 31, 2015.</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increases in revenue share expense as a percentage of revenue result from a combination of factors, including product mix whereby a larger percentage of overall revenues are subject to revenue share. We expect revenue share expense as a percentage of revenue in 2016 to continue at levels similar to, or greater than, that of 2015 as revenues subject to revenue share expense continues to increase as a percentage of our overall revenues. In addition, our comarketing agreement with WPP requires us to pay revenue share to WPP agencies on new brands secured for us by those agencies. If we successfully expand revenue through the WPP relationship, our revenue share percentage will increase.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decreased to approximately $4.2 million for the year ended December 31, 2015 from approximately $4.3 million for the year ended December 31, 2014, a decrease of approximately 3%.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ind w:left="100"/>
              <w:spacing w:after="0"/>
              <w:rPr>
                <w:sz w:val="20"/>
                <w:szCs w:val="20"/>
                <w:color w:val="auto"/>
              </w:rPr>
            </w:pPr>
            <w:r>
              <w:rPr>
                <w:rFonts w:ascii="Arial" w:cs="Arial" w:eastAsia="Arial" w:hAnsi="Arial"/>
                <w:sz w:val="18"/>
                <w:szCs w:val="18"/>
                <w:color w:val="auto"/>
              </w:rPr>
              <w:t>Years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5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1,788,471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Professional Fees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397,566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Investor Relations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80,618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290,371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Exclusivity Fee</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151,826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140,101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4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581,106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1,172,242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Lawsuit settlement</w:t>
            </w: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5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4,195,882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4,307,756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80" w:type="dxa"/>
            <w:vAlign w:val="bottom"/>
            <w:vMerge w:val="restart"/>
          </w:tcPr>
          <w:p>
            <w:pPr>
              <w:jc w:val="right"/>
              <w:ind w:right="2910"/>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main reasons for the overall decrease in operating expenses in 2015 are the substantial decrease in stock based compensation from 2014 to 2015 and the absence of a lawsuit settlement in 2015. Ignoring those items, operating expenses increased approximately 32% as a result of building a solid base for future growth.</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Within the remaining operating expenses, there were a variety of increases. Salaries, wages and benefits increased as a result of additional staff in 2015, as well as bonuses to executive officers totaling $195,000. We expect additional increases in compensation in 2016 as we hire additional high-level staff, as well as the impact of a full year of 2015 hires and the payout and severance benefits we are required to pay to our prior CEO. Professional fees increased as a result of the litigation in process, primarily related to the PDR/LDM lawsuit. We expect a continued increase in professional fees in 2016 as a result of increased activity on our litigation. Advertising and promotion increased as a result of our sponsorship of e-Coupon conferences. Development and maintenance increased as a result of expansion of our system capacity and capabilities and the move to a more robust Oracle database. Exclusivity fees of $250,000 in 2015 resulted from the initial payment related to the Allscripts Touchworks integration. An additional $650,000 is due under the Allscripts Touchworks agreement when e-Coupon functionality becomes widely available within the Touchworks platform, which is expected to be in early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finished the year ended December 31, 2015 with a loss of approximately $600,000, as compared to a loss of approximately $1.0 million during the year ended December 31, 2014. The reasons for specific components are discussed above. Overall, we had an increase in revenue and resulting gross margin as well as decreased operating expenses. In addition, the loss in both periods included noncash items. We had approximately $600,000 of stock based compensation and $335,000 of depreciation and amortization in 2015, and approximately $1.2 million related to stock based compensation and approximately $265,000 of depreciation and amortization in 2014. Excluding noncash expenses, we would have been profitable in both years. In addition, ignoring working capital changes, we had positive cash flow from operations in both years - approximately $325,000 during the year ended December 31, 2015 and approximately $400,000 during the year ended December 31,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our quarterly operating results for 2015 for information purposes.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First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Third</w:t>
            </w:r>
          </w:p>
        </w:tc>
        <w:tc>
          <w:tcPr>
            <w:tcW w:w="2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Fourth</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Quarter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Quarter</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Quarter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1,487,553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1,705,457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2,007,409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2,020,259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7,220,678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756,440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882,327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962,994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1,081,239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980,659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875,425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4,195,882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87,569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(415,949)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we had total current assets of approximately $9.9 million, compared with current liabilities of approximately $2.6 million, resulting in working capital of approximately $7.3 million and a current ratio of approximately 3.8 to 1, similar to the working capital of approximately $7.8 million and current ratio of 3.3 to 1 at December 31, 2015.</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cash flow for the quarter ended March 31, 2016 was negatively impacted by a one-time payment of $720,415 to our previous CEO in lieu of issuance of approximately 595,000 common shares due to him from prior years. This payment impacts two sections of the statement of cash flows. As discussed in more detail below, a portion of these shares were reflected in accounts payable and payment of that portion affects cash flow from operations. The remaining portion was reflected in stock payable in the equity section and payment affected cash used in financing activities.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is a table with summary data from the consolidated statement of cash flows for the quarter ended March 31, 2016, as presented and after removing the effect of this payment.</w:t>
      </w:r>
    </w:p>
    <w:p>
      <w:pPr>
        <w:spacing w:after="0" w:line="170" w:lineRule="exact"/>
        <w:rPr>
          <w:sz w:val="20"/>
          <w:szCs w:val="20"/>
          <w:color w:val="auto"/>
        </w:rPr>
      </w:pPr>
    </w:p>
    <w:p>
      <w:pPr>
        <w:jc w:val="center"/>
        <w:ind w:left="10060"/>
        <w:spacing w:after="0"/>
        <w:rPr>
          <w:sz w:val="20"/>
          <w:szCs w:val="20"/>
          <w:color w:val="auto"/>
        </w:rPr>
      </w:pPr>
      <w:r>
        <w:rPr>
          <w:rFonts w:ascii="Arial" w:cs="Arial" w:eastAsia="Arial" w:hAnsi="Arial"/>
          <w:sz w:val="18"/>
          <w:szCs w:val="18"/>
          <w:color w:val="auto"/>
        </w:rPr>
        <w:t>Adjusted to</w:t>
      </w:r>
    </w:p>
    <w:p>
      <w:pPr>
        <w:spacing w:after="0" w:line="23" w:lineRule="exact"/>
        <w:rPr>
          <w:sz w:val="20"/>
          <w:szCs w:val="20"/>
          <w:color w:val="auto"/>
        </w:rPr>
      </w:pPr>
    </w:p>
    <w:p>
      <w:pPr>
        <w:jc w:val="center"/>
        <w:ind w:left="10060"/>
        <w:spacing w:after="0"/>
        <w:rPr>
          <w:sz w:val="20"/>
          <w:szCs w:val="20"/>
          <w:color w:val="auto"/>
        </w:rPr>
      </w:pPr>
      <w:r>
        <w:rPr>
          <w:rFonts w:ascii="Arial" w:cs="Arial" w:eastAsia="Arial" w:hAnsi="Arial"/>
          <w:sz w:val="18"/>
          <w:szCs w:val="18"/>
          <w:color w:val="auto"/>
        </w:rPr>
        <w:t>remove</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color w:val="auto"/>
        </w:rPr>
        <w:t>effect of</w:t>
      </w:r>
    </w:p>
    <w:p>
      <w:pPr>
        <w:spacing w:after="0" w:line="9" w:lineRule="exact"/>
        <w:rPr>
          <w:sz w:val="20"/>
          <w:szCs w:val="20"/>
          <w:color w:val="auto"/>
        </w:rPr>
      </w:pPr>
    </w:p>
    <w:p>
      <w:pPr>
        <w:ind w:left="9280"/>
        <w:spacing w:after="0"/>
        <w:tabs>
          <w:tab w:leader="none" w:pos="1040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8"/>
          <w:szCs w:val="18"/>
          <w:color w:val="auto"/>
        </w:rPr>
        <w:t>one-time</w:t>
      </w:r>
    </w:p>
    <w:p>
      <w:pPr>
        <w:spacing w:after="0" w:line="9" w:lineRule="exact"/>
        <w:rPr>
          <w:sz w:val="20"/>
          <w:szCs w:val="20"/>
          <w:color w:val="auto"/>
        </w:rPr>
      </w:pPr>
    </w:p>
    <w:p>
      <w:pPr>
        <w:ind w:left="9040"/>
        <w:spacing w:after="0"/>
        <w:tabs>
          <w:tab w:leader="none" w:pos="10420" w:val="left"/>
        </w:tabs>
        <w:rPr>
          <w:sz w:val="20"/>
          <w:szCs w:val="20"/>
          <w:color w:val="auto"/>
        </w:rPr>
      </w:pPr>
      <w:r>
        <w:rPr>
          <w:rFonts w:ascii="Arial" w:cs="Arial" w:eastAsia="Arial" w:hAnsi="Arial"/>
          <w:sz w:val="18"/>
          <w:szCs w:val="18"/>
          <w:color w:val="auto"/>
        </w:rPr>
        <w:t>presented</w:t>
      </w:r>
      <w:r>
        <w:rPr>
          <w:sz w:val="20"/>
          <w:szCs w:val="20"/>
          <w:color w:val="auto"/>
        </w:rPr>
        <w:tab/>
      </w:r>
      <w:r>
        <w:rPr>
          <w:rFonts w:ascii="Arial" w:cs="Arial" w:eastAsia="Arial" w:hAnsi="Arial"/>
          <w:sz w:val="18"/>
          <w:szCs w:val="18"/>
          <w:color w:val="auto"/>
        </w:rPr>
        <w:t>payment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3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3"/>
        </w:trPr>
        <w:tc>
          <w:tcPr>
            <w:tcW w:w="6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2820" w:type="dxa"/>
            <w:vAlign w:val="bottom"/>
            <w:gridSpan w:val="2"/>
            <w:shd w:val="clear" w:color="auto" w:fill="CCEEFF"/>
          </w:tcPr>
          <w:p>
            <w:pPr>
              <w:jc w:val="right"/>
              <w:ind w:right="145"/>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(286,087)</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76,913</w:t>
            </w:r>
          </w:p>
        </w:tc>
        <w:tc>
          <w:tcPr>
            <w:tcW w:w="80" w:type="dxa"/>
            <w:vAlign w:val="bottom"/>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(15,802)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(15,802)</w:t>
            </w:r>
          </w:p>
        </w:tc>
      </w:tr>
      <w:tr>
        <w:trPr>
          <w:trHeight w:val="25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(357,415)</w:t>
            </w:r>
          </w:p>
        </w:tc>
        <w:tc>
          <w:tcPr>
            <w:tcW w:w="3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6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increase (decrease) in cash and cash equivalents</w:t>
            </w:r>
          </w:p>
        </w:tc>
        <w:tc>
          <w:tcPr>
            <w:tcW w:w="25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(659,304</w:t>
            </w:r>
          </w:p>
        </w:tc>
        <w:tc>
          <w:tcPr>
            <w:tcW w:w="240" w:type="dxa"/>
            <w:vAlign w:val="bottom"/>
            <w:tcBorders>
              <w:top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61,111</w:t>
            </w: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activities used approximately $286,000 in cash flow during the three months ended March 31, 2016, compared with cash generated of approximately $86,000 in the same period in 2015. This decrease resulted from the payment of $363,000 to our previous CEO to extinguish the accounts payable related to the purchase of a patent from the CEO in 2010. Excluding that one-time payment, we would have had positive cash flow from operations of approximately $76,000.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$16,000 in investing activities in the three months ended March 31, 2016 compared with approximately $23,000 in the same period in 2015. These investment activities relate to improvements implemented in our SampleMD website, equipment purchases, and expansion of our patent portfolio.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$357,000 in financing activities by retiring stock payable due to our previous CEO. These shares were due as a result of previously granted stock awards in 2014 and 2015, for which shares had not yet been issued. These shares were recorded as stock payable on the balance sheet at December 31, 2015.</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2015, we had total current assets of approximately $11.1 million, compared with current liabilities of approximately $3.4 million, resulting in working capital of approximately $6.7 million and a current ratio of approximately 3.3 to 1. This significant improvement over the working capital balance of approximately $3.2 million and the current ratio of 2.3 to 1 at December 31, 2014 is largely a result of our financing transaction with WPP. We are currently generating positive cash flow from operations and we expect our working capital balance to continue to improve in future quarters.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operating activities generated approximately $500,000 in the year ended December 31, 2015 as comparted with approximately $50,000 used by operating activities in the year ended December 31, 2014. The positive cash flow from operations in the year ended December 31, 2015 resulted from positive cash flow from operations prior to working capital items of approximately $350,000 and approximately $250,000 of working capital improvements. We expect to have positive cash flow from operations in future quarters in 2016, however severance payments due at the end of March 2016, may make that unlikely in Q1.</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approximately $400,000 in investing activities in the year ended December 31, 2014 compared with about $100,000 in the year ended December 31, 2015. These investment activities relate to improvements being implemented in our SampleMD website, as well as protection and expansion of our patent portfolio. These items both represent important components of our business strategy moving forward. The 2014 was significantly higher as a result of the launch of our upgraded SampleMD 2.0 platform in early 2014, as well as the initial work on our migration to Oracle Software started in 2014 and completed in 2015.</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provided approximately $4.3 million in the year ended December 31, 2015, resulting from the strategic investment of approximately $4.7 million by WPP, net of costs associated with the investment. Financing activities provided approximately $2.8 million during the year ended December 31, 2014. This results from a $10 million equity raise in March 2014, partially offset by costs of the raise and redemption of all the common stock, preferred stock, and warrants held by a major shareholder that significantly reduced the potential fully diluted shares count, even when considering the new equity issued. With the financing and cash on hand, we have sufficient cash to operate our business for more than the next twelve months and we do not anticipate the need to raise additional equity for operating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2015,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three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WPP made a strategic investment in the Company and is a shareholder that owns approximately 20% of the shares of the Company. 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Registration Rights. We granted the Investor registration rights for the 6,011,106 acquired from us and any securities acquired in 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Inspection Rights. So long as the Investor owns not less than 25% of the Shares, we granted the Investor an annual right to inspect our books and records.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Right of First Refusal. We agreed that, in the event that it proposes to sell new securities, we will first offer such new securities to the Investor.</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24, 2015, we amended and restated an existing Co-Marketing Agreement with Grey Healthcare Group, LLC (“GHG”) an affiliate of WPP (the “Amended and Restated Co-Marketing Agreement”). The Amended and Restated Co-Marketing Agreement was amended to give the GHG the option to receive all or part of the compensation due under the agreement in shares of our common stock. Shares issuable under the Amended and Restated Co-Marketing Agreement will be issued to WPP or any other affiliate of GHG designated in writing by GHG at the following rates:</w:t>
      </w:r>
    </w:p>
    <w:p>
      <w:pPr>
        <w:spacing w:after="0" w:line="171"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Until June 30, 2016, we will issue the number of shares of common stock equal to GHG’s share of net revenues received for sales of new services to GHG or Company clients (“GHG Net Revenues”) divided by $0.7875.</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After June 30, 2016, we will issue the number of shares of common stock equal to the GHG Net Revenues divided by a price equal to 80% multiplied by the average trading price of one share of common stock during the 30 trading day period immediately prior to the date of the most recent statement of GHG Net Revenues set forth by the Company.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17, 2014, we raised gross proceeds of $10,000,000 in an unregistered offering (the “Offering”) with certain accredited investors. We used a portion of the net proceeds of the Offering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our company. In connection with this fundraising, we agreed to grant 200,000 shares of fully vested common stock to officers David, Harrell, David Lester, and Terry Hamilton.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we agreed to grant 337,500 shares of common stock, half of which vested immediately and half of which vested in August 2014, to both David Harrell and Terry Hamilton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 Ended</w:t>
            </w:r>
          </w:p>
        </w:tc>
        <w:tc>
          <w:tcPr>
            <w:tcW w:w="5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High $</w:t>
            </w:r>
          </w:p>
        </w:tc>
        <w:tc>
          <w:tcPr>
            <w:tcW w:w="124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Low $</w:t>
            </w:r>
          </w:p>
        </w:tc>
      </w:tr>
      <w:tr>
        <w:trPr>
          <w:trHeight w:val="216"/>
        </w:trPr>
        <w:tc>
          <w:tcPr>
            <w:tcW w:w="36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December 31, 2014</w:t>
            </w:r>
          </w:p>
        </w:tc>
        <w:tc>
          <w:tcPr>
            <w:tcW w:w="5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September 30, 2014</w:t>
            </w:r>
          </w:p>
        </w:tc>
        <w:tc>
          <w:tcPr>
            <w:tcW w:w="6540" w:type="dxa"/>
            <w:vAlign w:val="bottom"/>
            <w:gridSpan w:val="4"/>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2014</w:t>
            </w:r>
          </w:p>
        </w:tc>
        <w:tc>
          <w:tcPr>
            <w:tcW w:w="6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March 31, 2014</w:t>
            </w:r>
          </w:p>
        </w:tc>
        <w:tc>
          <w:tcPr>
            <w:tcW w:w="6540" w:type="dxa"/>
            <w:vAlign w:val="bottom"/>
            <w:gridSpan w:val="4"/>
          </w:tcPr>
          <w:p>
            <w:pPr>
              <w:jc w:val="right"/>
              <w:ind w:right="220"/>
              <w:spacing w:after="0"/>
              <w:rPr>
                <w:sz w:val="20"/>
                <w:szCs w:val="20"/>
                <w:color w:val="auto"/>
              </w:rPr>
            </w:pPr>
            <w:r>
              <w:rPr>
                <w:rFonts w:ascii="Arial" w:cs="Arial" w:eastAsia="Arial" w:hAnsi="Arial"/>
                <w:sz w:val="18"/>
                <w:szCs w:val="18"/>
                <w:color w:val="auto"/>
              </w:rPr>
              <w:t>1.95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425"/>
        </w:trPr>
        <w:tc>
          <w:tcPr>
            <w:tcW w:w="36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279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Quarter Ended</w:t>
            </w: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Low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December 31, 2015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September 30,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30, 2015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March 31,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Quarter Ended March 31, 2016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418"/>
        </w:trPr>
        <w:tc>
          <w:tcPr>
            <w:tcW w:w="8820" w:type="dxa"/>
            <w:vAlign w:val="bottom"/>
            <w:gridSpan w:val="3"/>
          </w:tcPr>
          <w:p>
            <w:pPr>
              <w:spacing w:after="0"/>
              <w:rPr>
                <w:sz w:val="20"/>
                <w:szCs w:val="20"/>
                <w:color w:val="auto"/>
              </w:rPr>
            </w:pPr>
            <w:r>
              <w:rPr>
                <w:rFonts w:ascii="Arial" w:cs="Arial" w:eastAsia="Arial" w:hAnsi="Arial"/>
                <w:sz w:val="18"/>
                <w:szCs w:val="18"/>
                <w:color w:val="auto"/>
              </w:rPr>
              <w:t>On June 13, 2016, the last sales price per share of our common stock was $1.05.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2, 2016, we had 29,077,660 shares of our common stock issued and outstanding, held by 320 shareholders of record at our transfer agent, with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1,500,000 incentive or non-qualified options to purchase our common stock, or stock awards. In March, 2016, the Board expanded the number of shares issuable under the plan to 4,000,000.</w:t>
      </w:r>
    </w:p>
    <w:p>
      <w:pPr>
        <w:sectPr>
          <w:pgSz w:w="11900" w:h="16838" w:orient="portrait"/>
          <w:cols w:equalWidth="0" w:num="1">
            <w:col w:w="11420"/>
          </w:cols>
          <w:pgMar w:left="240" w:top="226" w:right="239" w:bottom="1081"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081"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2015</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available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Securities to</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for future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be issued</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upon</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w:t>
            </w:r>
          </w:p>
        </w:tc>
        <w:tc>
          <w:tcPr>
            <w:tcW w:w="0" w:type="dxa"/>
            <w:vAlign w:val="bottom"/>
          </w:tcPr>
          <w:p>
            <w:pPr>
              <w:spacing w:after="0"/>
              <w:rPr>
                <w:sz w:val="1"/>
                <w:szCs w:val="1"/>
                <w:color w:val="auto"/>
              </w:rPr>
            </w:pPr>
          </w:p>
        </w:tc>
      </w:tr>
      <w:tr>
        <w:trPr>
          <w:trHeight w:val="216"/>
        </w:trPr>
        <w:tc>
          <w:tcPr>
            <w:tcW w:w="7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 Compensation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7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Not Approved by</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41"/>
        </w:trPr>
        <w:tc>
          <w:tcPr>
            <w:tcW w:w="7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 Shareholders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options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23"/>
        </w:trPr>
        <w:tc>
          <w:tcPr>
            <w:tcW w:w="73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(b)</w:t>
            </w:r>
          </w:p>
        </w:tc>
        <w:tc>
          <w:tcPr>
            <w:tcW w:w="2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 Equity Compensation Plan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Other Equity Compensation (includes options and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2,609,139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vMerge w:val="continue"/>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3,709,583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Recent Sales of Unregistered Securities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March 2016, we issued 12,500 shares of common stock to our independent directors in connection with our Director Compensation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2015, we issued 12,500 shares of restricted common stock to our outside Directors as part of our director compensation package for services rendered in the fourth quarter of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24, 2015, we entered into a Stock Purchase Agreement with WPP Luxembourg Gamma Three S.à r.l., a private limited liability company (société à responsabilité limitée) incorporated under the laws of the Grand Duchy of Luxembourg, pursuant to which we sold to WPP 6,011,106 shares of our common stock for $0.7875 per share, or gross proceeds of $4,733,746. Placement agents in the offering received warrants to purchase up to 240,444 shares of our common stock with an exercise price of $0.7875 per share and a term of 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6,250 shares of our common stock to each of our independent directors under our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45,000 shares of our common stock under a capital markets advisory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2015 we issued 45,000 shares of our common stock to an investment banking firm in connection with a capital markets advisory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also issued 12,500 shares of common stock to our outside directors in connection with our Director Compensation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Name</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and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All 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Salary</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Bonus</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Total</w:t>
            </w: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Year</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David A. Harrell</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00"/>
              <w:spacing w:after="0" w:line="201" w:lineRule="exact"/>
              <w:rPr>
                <w:sz w:val="20"/>
                <w:szCs w:val="20"/>
                <w:color w:val="auto"/>
              </w:rPr>
            </w:pPr>
            <w:r>
              <w:rPr>
                <w:rFonts w:ascii="Arial" w:cs="Arial" w:eastAsia="Arial" w:hAnsi="Arial"/>
                <w:sz w:val="18"/>
                <w:szCs w:val="18"/>
                <w:color w:val="auto"/>
              </w:rPr>
              <w:t>2015</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201,508</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75,000</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87"/>
              </w:rPr>
              <w:t>73,509</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350,017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Chief Executive Officer,</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183,750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394,969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678,719</w:t>
            </w: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Strategic Officer and Director</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Terence J. Hamilton</w:t>
            </w:r>
          </w:p>
        </w:tc>
        <w:tc>
          <w:tcPr>
            <w:tcW w:w="780" w:type="dxa"/>
            <w:vAlign w:val="bottom"/>
          </w:tcPr>
          <w:p>
            <w:pPr>
              <w:ind w:left="200"/>
              <w:spacing w:after="0" w:line="201" w:lineRule="exact"/>
              <w:rPr>
                <w:sz w:val="20"/>
                <w:szCs w:val="20"/>
                <w:color w:val="auto"/>
              </w:rPr>
            </w:pPr>
            <w:r>
              <w:rPr>
                <w:rFonts w:ascii="Arial" w:cs="Arial" w:eastAsia="Arial" w:hAnsi="Arial"/>
                <w:sz w:val="18"/>
                <w:szCs w:val="18"/>
                <w:color w:val="auto"/>
              </w:rPr>
              <w:t>2015</w:t>
            </w:r>
          </w:p>
        </w:tc>
        <w:tc>
          <w:tcPr>
            <w:tcW w:w="320" w:type="dxa"/>
            <w:vAlign w:val="bottom"/>
          </w:tcPr>
          <w:p>
            <w:pPr>
              <w:spacing w:after="0"/>
              <w:rPr>
                <w:sz w:val="17"/>
                <w:szCs w:val="17"/>
                <w:color w:val="auto"/>
              </w:rPr>
            </w:pPr>
          </w:p>
        </w:tc>
        <w:tc>
          <w:tcPr>
            <w:tcW w:w="11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165,000</w:t>
            </w: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60,000</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110,264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335,264</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VP of Sales and Director</w:t>
            </w:r>
          </w:p>
        </w:tc>
        <w:tc>
          <w:tcPr>
            <w:tcW w:w="780" w:type="dxa"/>
            <w:vAlign w:val="bottom"/>
          </w:tcPr>
          <w:p>
            <w:pPr>
              <w:ind w:left="20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163,438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9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458,906</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692,344</w:t>
            </w:r>
          </w:p>
        </w:tc>
      </w:tr>
      <w:tr>
        <w:trPr>
          <w:trHeight w:val="202"/>
        </w:trPr>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Douglas Baker</w:t>
            </w:r>
          </w:p>
        </w:tc>
        <w:tc>
          <w:tcPr>
            <w:tcW w:w="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2015</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143,750</w:t>
            </w:r>
          </w:p>
        </w:tc>
        <w:tc>
          <w:tcPr>
            <w:tcW w:w="10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60,000</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214,418</w:t>
            </w: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CFO</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78,125</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131,110</w:t>
            </w: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209,235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2008, we entered into an employment agreement with Mr. Harrell to serve as our CEO. The agreement was amended on January 14, 2013 to account for his new positions as CSO and Vice Chairman. The terms of his compensation, was an annual salary of $144,000 with a 5% cost of living increase on each 12 month anniversary. Mr. Harrell was also eligible for additional quarterly and annual bonus compensation, stock options, and stock grants based on performance metrics outlined by our board of directors. He was entitled to vacation and sick days, and other benefits included in the agreement. On March 18, 2010, we entered into an addendum to the employment agreement to increase his compensation to $152,004 annually.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28, 2010, we amended Mr. Harrell’s employment agreement to include a covenant not to compete covering the term of employment and continuing for a period of two years thereafter. As a result of the same amendment, Mr. Harrell is entitled to severance payments if his employment terminated, with or without cause. Such payments would be due monthly at his then current salary rate for a period of 24 months following termination. On August 14, 2013, we further amended the employment agreement with Mr. Harrell. Pursuant to the terms and conditions of the Amendment to Employment Agreement with David Harrell:</w:t>
      </w:r>
    </w:p>
    <w:p>
      <w:pPr>
        <w:spacing w:after="0" w:line="18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2013 we granted restricted stock awards under our 2013 Incentive Plan. Mr. Harrell was awarded 121,875 shares of our common stock. The award vested in 2014 and was valued at $1.69 per share. Mr. Harrell was granted an additional restricted stock award of 100,000 shares under our 2013 Incentive Plan on January 9, 2014. This award was fully vested at the time of grant and was valued at $1.89 per share. In 2015, Mr. Harrell was awarded an additional 79,042 shares of restricted common stock, valued at $0.93 per share. All shares described in this paragraph remain unissued and are recorded as common stock payable at December 31,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9, 2016, we entered into a Separation Agreement and Release with Mr. Harrell that grants us a standard release of employment claims in consideration for, among other things, a stock payout of $720,415 to Mr. Harrell to retire shares due and owing to him, awarded in prior years, but not yet issued.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remained our employee through May 31, 2016 and the Corporate Consulting Agreement went effective as of June 1, 2016. Under the terms of this agreement, Mr. Harrell will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28, 2010, we amended Mr. Hamilton’s employment agreement to include a covenant not to compete covering the term of employment and continuing for a period of one year thereafter. As a result of the same amendment, Mr. Hamilton is entitled to severance payments if he is terminated with or without cause. Such payments would be due monthly at his then current salary rate for a period of 12 months following termination. On August 14, 2013, we amended the employment agreement with Mr. Hamilton to increase his base salary to $157,500 per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2014, Mr. Hamilton’s salary was increased to a base salary of $165,000, and on February 1, 2016, his base salary was increased to $181,500, but no formal contract amendment was signed, in either instance.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2013 we granted restricted stock awards under our 2013 Incentive Plan. Mr. Hamilton was awarded 215,625 shares of our common stock. The award vested in 2014 and was valued at $1.69 per share. Mr. Hamilton was granted an additional restricted stock award of 50,000 shares under our 2013 Incentive Plan on January 9, 2014. This award was fully vested at the time of grant and was valued at $1.89 per share. In 2015, Mr. Hamilton was awarded an additional 118,563 shares of restricted common stock, valued at $0.93 per share. All shares described in this paragraph remain unissued and are recorded as common stock payable at December 31, 2015.</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12, 2014, we entered into an employment agreement with Mr. Baker, our Chief Financial Officer. Under the agreement, we agreed to compensate Mr. Baker $125,000 annually and we granted him options to purchase 100,000 shares of our common stock, with 50% vesting after one year and 50% vesting after two years of hire. The options were valued at 1.3111 per share, or a total of $131,110, for financial statement purposes using the Black-Scholes pricing model. Effective April 1, 2015, Mr. Baker’s salary was increased to an annual rate of $150,000, and effective February 1, 2016 to an annual rate of $165,000. During 2015, Mr. Baker was granted an additional 100,000 options that vest in 2017.</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Baker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14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color w:val="auto"/>
              </w:rPr>
              <w:t>OPTION AWARDS</w:t>
            </w:r>
          </w:p>
        </w:tc>
        <w:tc>
          <w:tcPr>
            <w:tcW w:w="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8"/>
                <w:szCs w:val="18"/>
                <w:color w:val="auto"/>
              </w:rPr>
              <w:t>STOCK AWARDS</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02"/>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Incentive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Incentive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Plan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Market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Awards: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Awards: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Market or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Number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Payout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Number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Value of</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or</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Unearned</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Unearned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Units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Shares,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Shares,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or Units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Units or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Units or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Other</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Underlying</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Stock That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That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Rights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Rights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Unexercised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Option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That Have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That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Options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Option</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Not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Have Not</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Price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Vested</w:t>
            </w:r>
          </w:p>
        </w:tc>
      </w:tr>
      <w:tr>
        <w:trPr>
          <w:trHeight w:val="237"/>
        </w:trPr>
        <w:tc>
          <w:tcPr>
            <w:tcW w:w="1500" w:type="dxa"/>
            <w:vAlign w:val="bottom"/>
            <w:gridSpan w:val="2"/>
          </w:tcPr>
          <w:p>
            <w:pPr>
              <w:spacing w:after="0"/>
              <w:rPr>
                <w:sz w:val="20"/>
                <w:szCs w:val="20"/>
                <w:color w:val="auto"/>
              </w:rPr>
            </w:pPr>
            <w:r>
              <w:rPr>
                <w:rFonts w:ascii="Arial" w:cs="Arial" w:eastAsia="Arial" w:hAnsi="Arial"/>
                <w:sz w:val="18"/>
                <w:szCs w:val="18"/>
                <w:color w:val="auto"/>
              </w:rPr>
              <w:t>Name</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Exercisable</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Unexercisable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r>
      <w:tr>
        <w:trPr>
          <w:trHeight w:val="216"/>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Harrell</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5/31/16</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500" w:type="dxa"/>
            <w:vAlign w:val="bottom"/>
            <w:gridSpan w:val="2"/>
          </w:tcPr>
          <w:p>
            <w:pPr>
              <w:spacing w:after="0" w:line="201" w:lineRule="exact"/>
              <w:rPr>
                <w:sz w:val="20"/>
                <w:szCs w:val="20"/>
                <w:color w:val="auto"/>
              </w:rPr>
            </w:pPr>
            <w:r>
              <w:rPr>
                <w:rFonts w:ascii="Arial" w:cs="Arial" w:eastAsia="Arial" w:hAnsi="Arial"/>
                <w:sz w:val="18"/>
                <w:szCs w:val="18"/>
                <w:color w:val="auto"/>
              </w:rPr>
              <w:t>Douglas</w:t>
            </w:r>
          </w:p>
        </w:tc>
        <w:tc>
          <w:tcPr>
            <w:tcW w:w="10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50,000</w:t>
            </w:r>
          </w:p>
        </w:tc>
        <w:tc>
          <w:tcPr>
            <w:tcW w:w="136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50,000</w:t>
            </w:r>
          </w:p>
        </w:tc>
        <w:tc>
          <w:tcPr>
            <w:tcW w:w="900" w:type="dxa"/>
            <w:vAlign w:val="bottom"/>
          </w:tcPr>
          <w:p>
            <w:pPr>
              <w:spacing w:after="0"/>
              <w:rPr>
                <w:sz w:val="17"/>
                <w:szCs w:val="17"/>
                <w:color w:val="auto"/>
              </w:rPr>
            </w:pPr>
          </w:p>
        </w:tc>
        <w:tc>
          <w:tcPr>
            <w:tcW w:w="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1.05</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3"/>
              </w:rPr>
              <w:t>5/19/19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Baker</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100,000</w:t>
            </w:r>
          </w:p>
        </w:tc>
        <w:tc>
          <w:tcPr>
            <w:tcW w:w="9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6/24/20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Hamilton</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5/31/16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Total</w:t>
            </w: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Gus D. Halas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11,315</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20,894</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Vos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our Director Compensation Plan, independent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300" w:type="dxa"/>
            <w:vAlign w:val="bottom"/>
            <w:gridSpan w:val="9"/>
          </w:tcPr>
          <w:p>
            <w:pPr>
              <w:jc w:val="center"/>
              <w:ind w:right="4120"/>
              <w:spacing w:after="0"/>
              <w:rPr>
                <w:sz w:val="20"/>
                <w:szCs w:val="20"/>
                <w:color w:val="auto"/>
              </w:rPr>
            </w:pPr>
            <w:r>
              <w:rPr>
                <w:rFonts w:ascii="Arial" w:cs="Arial" w:eastAsia="Arial" w:hAnsi="Arial"/>
                <w:sz w:val="18"/>
                <w:szCs w:val="18"/>
                <w:b w:val="1"/>
                <w:bCs w:val="1"/>
                <w:color w:val="auto"/>
              </w:rPr>
              <w:t>FINANCIAL STATEMENTS</w:t>
            </w:r>
          </w:p>
        </w:tc>
        <w:tc>
          <w:tcPr>
            <w:tcW w:w="0" w:type="dxa"/>
            <w:vAlign w:val="bottom"/>
          </w:tcPr>
          <w:p>
            <w:pPr>
              <w:spacing w:after="0"/>
              <w:rPr>
                <w:sz w:val="1"/>
                <w:szCs w:val="1"/>
                <w:color w:val="auto"/>
              </w:rPr>
            </w:pPr>
          </w:p>
        </w:tc>
      </w:tr>
      <w:tr>
        <w:trPr>
          <w:trHeight w:val="432"/>
        </w:trPr>
        <w:tc>
          <w:tcPr>
            <w:tcW w:w="11420" w:type="dxa"/>
            <w:vAlign w:val="bottom"/>
            <w:gridSpan w:val="12"/>
          </w:tcPr>
          <w:p>
            <w:pPr>
              <w:spacing w:after="0"/>
              <w:rPr>
                <w:sz w:val="20"/>
                <w:szCs w:val="20"/>
                <w:color w:val="auto"/>
              </w:rPr>
            </w:pPr>
            <w:r>
              <w:rPr>
                <w:rFonts w:ascii="Arial" w:cs="Arial" w:eastAsia="Arial" w:hAnsi="Arial"/>
                <w:sz w:val="18"/>
                <w:szCs w:val="18"/>
                <w:color w:val="auto"/>
              </w:rPr>
              <w:t>Index to Financial Statements Required by Article 8 of Regulation S-X:</w:t>
            </w:r>
          </w:p>
        </w:tc>
        <w:tc>
          <w:tcPr>
            <w:tcW w:w="0" w:type="dxa"/>
            <w:vAlign w:val="bottom"/>
          </w:tcPr>
          <w:p>
            <w:pPr>
              <w:spacing w:after="0"/>
              <w:rPr>
                <w:sz w:val="1"/>
                <w:szCs w:val="1"/>
                <w:color w:val="auto"/>
              </w:rPr>
            </w:pPr>
          </w:p>
        </w:tc>
      </w:tr>
      <w:tr>
        <w:trPr>
          <w:trHeight w:val="432"/>
        </w:trPr>
        <w:tc>
          <w:tcPr>
            <w:tcW w:w="11420" w:type="dxa"/>
            <w:vAlign w:val="bottom"/>
            <w:gridSpan w:val="12"/>
          </w:tcPr>
          <w:p>
            <w:pPr>
              <w:spacing w:after="0"/>
              <w:rPr>
                <w:sz w:val="20"/>
                <w:szCs w:val="20"/>
                <w:color w:val="auto"/>
              </w:rPr>
            </w:pPr>
            <w:r>
              <w:rPr>
                <w:rFonts w:ascii="Arial" w:cs="Arial" w:eastAsia="Arial" w:hAnsi="Arial"/>
                <w:sz w:val="18"/>
                <w:szCs w:val="18"/>
                <w:b w:val="1"/>
                <w:bCs w:val="1"/>
                <w:color w:val="auto"/>
              </w:rPr>
              <w:t>Unaudited Financial Statements: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F-1</w:t>
            </w:r>
          </w:p>
        </w:tc>
        <w:tc>
          <w:tcPr>
            <w:tcW w:w="10500" w:type="dxa"/>
            <w:vAlign w:val="bottom"/>
            <w:gridSpan w:val="10"/>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Balance Sheets as of March 31, 2016 and December 31,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F-2</w:t>
            </w:r>
          </w:p>
        </w:tc>
        <w:tc>
          <w:tcPr>
            <w:tcW w:w="10500" w:type="dxa"/>
            <w:vAlign w:val="bottom"/>
            <w:gridSpan w:val="10"/>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 for three months ended March 31, 2016 and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F-3</w:t>
            </w:r>
          </w:p>
        </w:tc>
        <w:tc>
          <w:tcPr>
            <w:tcW w:w="10500" w:type="dxa"/>
            <w:vAlign w:val="bottom"/>
            <w:gridSpan w:val="10"/>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Cash Flows for three months ended March 31, 2016 and 2015; and</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F-4</w:t>
            </w:r>
          </w:p>
        </w:tc>
        <w:tc>
          <w:tcPr>
            <w:tcW w:w="68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Notes to Financial Statements.</w:t>
              </w:r>
            </w:hyperlink>
          </w:p>
        </w:tc>
        <w:tc>
          <w:tcPr>
            <w:tcW w:w="36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2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F-7</w:t>
            </w:r>
          </w:p>
        </w:tc>
        <w:tc>
          <w:tcPr>
            <w:tcW w:w="42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Report of Independent Registered Public Accounting Firm;</w:t>
              </w:r>
            </w:hyperlink>
          </w:p>
        </w:tc>
        <w:tc>
          <w:tcPr>
            <w:tcW w:w="622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F-8</w:t>
            </w:r>
          </w:p>
        </w:tc>
        <w:tc>
          <w:tcPr>
            <w:tcW w:w="10500" w:type="dxa"/>
            <w:vAlign w:val="bottom"/>
            <w:gridSpan w:val="10"/>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Balance Sheets as of December 31, 2015 and 2014;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F-9</w:t>
            </w:r>
          </w:p>
        </w:tc>
        <w:tc>
          <w:tcPr>
            <w:tcW w:w="64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Operations for the years ended December 31, 2015 and 2014;</w:t>
              </w:r>
            </w:hyperlink>
          </w:p>
        </w:tc>
        <w:tc>
          <w:tcPr>
            <w:tcW w:w="404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F-10</w:t>
            </w:r>
          </w:p>
        </w:tc>
        <w:tc>
          <w:tcPr>
            <w:tcW w:w="10500" w:type="dxa"/>
            <w:vAlign w:val="bottom"/>
            <w:gridSpan w:val="10"/>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 of Stockholders’ Equity as of December 31, 2015;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F-12</w:t>
            </w:r>
          </w:p>
        </w:tc>
        <w:tc>
          <w:tcPr>
            <w:tcW w:w="68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Cash Flows for the years ended December 31, 2015 and 2014; and</w:t>
              </w:r>
            </w:hyperlink>
          </w:p>
        </w:tc>
        <w:tc>
          <w:tcPr>
            <w:tcW w:w="368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F-13</w:t>
            </w:r>
          </w:p>
        </w:tc>
        <w:tc>
          <w:tcPr>
            <w:tcW w:w="10500" w:type="dxa"/>
            <w:vAlign w:val="bottom"/>
            <w:gridSpan w:val="10"/>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Notes to Financial Statements.</w:t>
              </w:r>
            </w:hyperlink>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2016 AND DECEMBER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68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7,548,261</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8,207,565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2,340,765</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2,847,450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54,555</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9,943,581</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817,239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832,884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308,812</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340,470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1,131,100</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11,097,757</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12,314,280</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195,076</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212,191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1,502,816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2,355,608</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845,226</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227,002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2,551,208</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3,371,784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$.001 par value, 500,000,000 shares authorized, 29,043,425 and 29,030,925 shares issued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29,043</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29,031</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$.001 par value, 10,000,000 shares authorized, 0 and 65 shares issued and outstanding, respectively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2,294,416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2,329,508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32,631,226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32,185,499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663,670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1,132,148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stock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(13,800)</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(27,071,806)</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(26,719,890)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8,546,549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8,942,496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11,097,757</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12,314,280</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24"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1,759,528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892,793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866,735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1,228,564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(361,829)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(351,916)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(351,916</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(111,201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29,030,925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22,897,819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Borders>
              <w:top w:val="single" w:sz="8" w:color="CCEEFF"/>
              <w:bottom w:val="single" w:sz="8" w:color="CCEEFF"/>
            </w:tcBorders>
            <w:vMerge w:val="restart"/>
          </w:tcPr>
          <w:p>
            <w:pPr>
              <w:ind w:left="3020"/>
              <w:spacing w:after="0"/>
              <w:rPr>
                <w:sz w:val="20"/>
                <w:szCs w:val="20"/>
                <w:color w:val="auto"/>
              </w:rPr>
            </w:pPr>
            <w:r>
              <w:rPr>
                <w:rFonts w:ascii="Arial" w:cs="Arial" w:eastAsia="Arial" w:hAnsi="Arial"/>
                <w:sz w:val="18"/>
                <w:szCs w:val="18"/>
                <w:color w:val="auto"/>
                <w:w w:val="93"/>
              </w:rPr>
              <w:t>The accompanying notes are an integral part of these financial statements.</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5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F-2</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color w:val="auto"/>
              </w:rPr>
              <w:t>For the three months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(351,916)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106,384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506,685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(380,115)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(852,792)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618,224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(286,087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 rights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(14,507)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Website site development costs</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(15,802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(22,842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 payable</w:t>
            </w: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(357,415)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(357,415</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8,207,565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vMerge w:val="continue"/>
            <w:shd w:val="clear" w:color="auto" w:fill="CCEEFF"/>
          </w:tcPr>
          <w:p>
            <w:pPr>
              <w:spacing w:after="0"/>
              <w:rPr>
                <w:sz w:val="21"/>
                <w:szCs w:val="21"/>
                <w:color w:val="auto"/>
              </w:rPr>
            </w:pP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7,548,261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3,510,823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income taxes</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solution company focused on the health care industry. Our objective is to bring better access to better care by leveraging our proprietary technology to provide on demand savings and clinical messaging within physicians’ and patients’ web based platforms, including Electronic Health Records, e-prescribing platforms, pharmacies and Patient Portals. Initially defined as a marketing and advertising company through its consumer website, OptimizeRx.com, we have matured as a technology solutions provider through our direct to physician solutions, which allows physicians to automatically display and distribute sample vouchers and/or co-pay coupons electronically within the ePrescription platform to pharmacies on behalf of their patients. The OptimizeRx solution is integrated into the ePrescribing or Electronic Medical Records applications, but can also be accessed on their mobile device as well as an application on a prescriber’s desktop.</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solutions provide health care institutions with an alternative option to the traditional inefficiencies and issues associated with storing and managing physical drug samples and pre-printed coupons and provides better access and affordability to patients to improve affordability, adherence, education and outcomes. In turn, we provide pharmaceutical manufacturers with both direct to consumer and direct to physician channels for more efficiently communicating and promoting their products and savings with a method of transparent return on investment.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month periods ended March 31, 2016 and 2015 have been prepared by us without audit pursuant to the rules and regulations of the U.S. Securities and Exchange Commission. In the opinion of management, all adjustments necessary to present fairly our financial position, results of operations, and cash flows as of March 31, 2016 and 2015, and for the periods then ended, have been made. Those adjustments consist of normal and recurring adjustments. The consolidated balance sheet as of December 31, 2015,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2015, as filed with the U.S. Securities and Exchange Commission.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operations for the three month period ended March 31, 2016,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in greater detail in Note 4, related party transactions, in February 2016, we made a one-time payment of $720,415 to our previous CEO in lieu of issuing shares owed to him from prior years. A portion of this payment, $357,415, was for 295,384 shares of common stock reflected in stock payable at December 31, 2015.</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2016, we issued 12,500 shares of common stock to Independent Directors in connection with our Director Compensation plan which calls for issuance of 6,250 shares per quarter to each Independent Director. These shares were valued at $13,125. In January 2015, we issued 12,500 shares of common stock to our Independent Directors in connection with the same compensation plan. Those shares were recorded as stock payable at December 31, 2014. In addition, we recorded an additional 12,500 shares, valued at $16,375 as stock payable at March 31, 2015 for shares to be issued in April 2015.</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2015, we entered into a capital markets advisory agreement covering a one year period, which calls for 90,000 shares of common stock to be issued as compensation. These shares were valued at $112,500 and are being amortized to expense over the period of service. Of these shares, 45,000 were issued in March 2015, and the balance were issued in August 2015.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$79,459 and $53,841 in compensation expense in the periods ended March 31, 2016 and 2015, respectively, related to options issued under our stock-based incentive compensation plan. This includes expense related to options issued in prior years for which the requisite service period for those options includes the current year as well as options issued in the current year. The fair value of these instruments was calculated using the Black-Scholes option pricing model. Information related to the assumptions used in this model is set forth in our Annual Report on Form 10-K for the fiscal year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after hiring a new CEO, we paid our previous CEO $720,415 in lieu of issuing him 595,384 shares of common stock based on the 50 day average price of $1.21 per share. A total of 295,384 of these shares were due as a result of previously granted stock awards in 2014 and 2015, for which shares had not yet been issued. These shares were recorded as stock payable on the balance sheet at December 31, 2015. The remaining 300,000 shares were due in connection with the purchase of a patent from the previous CEO in 2010. These shares were recorded as accounts payable – related party on the balance sheet at December 31, 2015. The difference between the value the shares were initially recorded at in 2010 and the amount they were redeemed at in 2016 was recorded as additional paid in capital.</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Also, in April 2016, we and the previous CEO entered into a separation agreement and an 18 month consulting agreement, both of which we recently disclosed in a Form 8-K that we filed with the U.S. Securities and Exchange Commission. The consulting agreement set forth the terms of the previous CEO’s continued relationship with our company. He remained our employee through March 31, 2016 and the consulting agreement began April 1, 2016. Under the terms of the consulting agreement, he will receive a monthly payment of $15,000, with the potential for up to $54,000 in additional bonus payments during the term of the agreement. This agreement also calls for total payments of $12,425 related to insurance benefits. The separation agreement and consulting agreement replace and supersede all previously disclosed payments related to his severance and board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2014, we initiated litigation against Shadron Stastney, our CEO from January to December 2013,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 and a dispositive motion has been filed by Mr. Stastney. We are in the process of preparing our response to the motion.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 (continued)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we have analyzed our operations subsequent to March 31, 2016 through the date these financial statements were issued and have determined that we do not have any material subsequent events to disclose in these financial statements other than the events described below.</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5201 Eden Ave.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Edina, MN 55436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630-277-2330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763-592-8238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OptimizeRx Corporation as of December 31, 2015 and 2014, and the related consolidated statements of operations, shareholders' equity (deficit), and cash flows for the years then ended. These consolidated financial statements are the responsibility of the Company's management. Our responsibility is to express an opinion on these consolidated financial statements based on our audits.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2015 and 2014 and the results of their operations and their cash flows for years ended December 31, 2015 and 2014,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8,207,565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2,847,450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2,100,381</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832,884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340,470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504,643</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12,314,280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620" w:type="dxa"/>
            <w:vAlign w:val="bottom"/>
            <w:tcBorders>
              <w:top w:val="single" w:sz="8" w:color="CCEEFF"/>
              <w:bottom w:val="single" w:sz="8" w:color="CCEEFF"/>
            </w:tcBorders>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212,191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200,372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related party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2,355,608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1,502,761</w:t>
            </w:r>
          </w:p>
        </w:tc>
        <w:tc>
          <w:tcPr>
            <w:tcW w:w="0" w:type="dxa"/>
            <w:vAlign w:val="bottom"/>
          </w:tcPr>
          <w:p>
            <w:pPr>
              <w:spacing w:after="0"/>
              <w:rPr>
                <w:sz w:val="1"/>
                <w:szCs w:val="1"/>
                <w:color w:val="auto"/>
              </w:rPr>
            </w:pPr>
          </w:p>
        </w:tc>
      </w:tr>
      <w:tr>
        <w:trPr>
          <w:trHeight w:val="237"/>
        </w:trPr>
        <w:tc>
          <w:tcPr>
            <w:tcW w:w="86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227,002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120,130</w:t>
            </w: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3,371,784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 $.001 par value, 10,000,000 shares authorized, no issued and outstanding at December 31, 2015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2014,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$.001 par value, 500,000,000 shares authorized, 29,030,925 and 22,867,319 shares issued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outstanding at December 31, 2015 and 2014, respectively</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22,867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warrants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2,329,508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2,153,295</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32,185,499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27,595,609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1,132,148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963,063</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Deferred stock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(26,719,890)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(26,124,750)</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8,942,496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4,610,084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12,314,280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20" w:type="dxa"/>
            <w:vAlign w:val="bottom"/>
          </w:tcPr>
          <w:p>
            <w:pPr>
              <w:spacing w:after="0"/>
              <w:rPr>
                <w:sz w:val="19"/>
                <w:szCs w:val="19"/>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7,220,678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3,622,203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3,221,534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3,598,475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581,106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1,172,242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Lawsuit settlement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expenses</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3,280,826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2,471,174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4,195,882</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(597,407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(595,140)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(595,140</w:t>
            </w:r>
          </w:p>
        </w:tc>
        <w:tc>
          <w:tcPr>
            <w:tcW w:w="22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24,562,438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vMerge w:val="restart"/>
          </w:tcPr>
          <w:p>
            <w:pPr>
              <w:spacing w:after="0"/>
              <w:rPr>
                <w:sz w:val="20"/>
                <w:szCs w:val="20"/>
                <w:color w:val="auto"/>
              </w:rPr>
            </w:pPr>
            <w:r>
              <w:rPr>
                <w:rFonts w:ascii="Arial" w:cs="Arial" w:eastAsia="Arial" w:hAnsi="Arial"/>
                <w:sz w:val="18"/>
                <w:szCs w:val="18"/>
                <w:color w:val="auto"/>
                <w:w w:val="95"/>
              </w:rPr>
              <w:t>NET LOSS PER SHARE: BASIC (no separate per share amount shown for diluted because loss is antidilutive)</w:t>
            </w: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3"/>
          <w:szCs w:val="13"/>
          <w:color w:val="auto"/>
        </w:rPr>
        <w:t>December 31,</w:t>
      </w:r>
    </w:p>
    <w:p>
      <w:pPr>
        <w:spacing w:after="0" w:line="221" w:lineRule="auto"/>
        <w:rPr>
          <w:sz w:val="20"/>
          <w:szCs w:val="20"/>
          <w:color w:val="auto"/>
        </w:rPr>
      </w:pPr>
      <w:r>
        <w:rPr>
          <w:rFonts w:ascii="Arial" w:cs="Arial" w:eastAsia="Arial" w:hAnsi="Arial"/>
          <w:sz w:val="14"/>
          <w:szCs w:val="14"/>
          <w:color w:val="auto"/>
        </w:rPr>
        <w:t>2013</w:t>
      </w:r>
    </w:p>
    <w:p>
      <w:pPr>
        <w:spacing w:after="0" w:line="221" w:lineRule="auto"/>
        <w:rPr>
          <w:sz w:val="20"/>
          <w:szCs w:val="20"/>
          <w:color w:val="auto"/>
        </w:rPr>
      </w:pPr>
      <w:r>
        <w:rPr>
          <w:rFonts w:ascii="Arial" w:cs="Arial" w:eastAsia="Arial" w:hAnsi="Arial"/>
          <w:sz w:val="14"/>
          <w:szCs w:val="14"/>
          <w:color w:val="auto"/>
        </w:rPr>
        <w:t>Issuance of</w:t>
      </w:r>
    </w:p>
    <w:p>
      <w:pPr>
        <w:spacing w:after="0"/>
        <w:rPr>
          <w:sz w:val="20"/>
          <w:szCs w:val="20"/>
          <w:color w:val="auto"/>
        </w:rPr>
      </w:pPr>
      <w:r>
        <w:rPr>
          <w:rFonts w:ascii="Arial" w:cs="Arial" w:eastAsia="Arial" w:hAnsi="Arial"/>
          <w:sz w:val="13"/>
          <w:szCs w:val="13"/>
          <w:color w:val="auto"/>
        </w:rPr>
        <w:t>stock options:</w:t>
      </w:r>
    </w:p>
    <w:p>
      <w:pPr>
        <w:ind w:left="180"/>
        <w:spacing w:after="0" w:line="221" w:lineRule="auto"/>
        <w:rPr>
          <w:sz w:val="20"/>
          <w:szCs w:val="20"/>
          <w:color w:val="auto"/>
        </w:rPr>
      </w:pPr>
      <w:r>
        <w:rPr>
          <w:rFonts w:ascii="Arial" w:cs="Arial" w:eastAsia="Arial" w:hAnsi="Arial"/>
          <w:sz w:val="14"/>
          <w:szCs w:val="14"/>
          <w:color w:val="auto"/>
        </w:rPr>
        <w:t>to</w:t>
      </w:r>
    </w:p>
    <w:p>
      <w:pPr>
        <w:ind w:left="180"/>
        <w:spacing w:after="0"/>
        <w:rPr>
          <w:sz w:val="20"/>
          <w:szCs w:val="20"/>
          <w:color w:val="auto"/>
        </w:rPr>
      </w:pPr>
      <w:r>
        <w:rPr>
          <w:rFonts w:ascii="Arial" w:cs="Arial" w:eastAsia="Arial" w:hAnsi="Arial"/>
          <w:sz w:val="13"/>
          <w:szCs w:val="13"/>
          <w:color w:val="auto"/>
        </w:rPr>
        <w:t>employees</w:t>
      </w:r>
    </w:p>
    <w:p>
      <w:pPr>
        <w:ind w:left="180"/>
        <w:spacing w:after="0" w:line="221" w:lineRule="auto"/>
        <w:rPr>
          <w:sz w:val="20"/>
          <w:szCs w:val="20"/>
          <w:color w:val="auto"/>
        </w:rPr>
      </w:pPr>
      <w:r>
        <w:rPr>
          <w:rFonts w:ascii="Arial" w:cs="Arial" w:eastAsia="Arial" w:hAnsi="Arial"/>
          <w:sz w:val="14"/>
          <w:szCs w:val="14"/>
          <w:color w:val="auto"/>
        </w:rPr>
        <w:t>to</w:t>
      </w:r>
    </w:p>
    <w:p>
      <w:pPr>
        <w:ind w:left="180"/>
        <w:spacing w:after="0"/>
        <w:rPr>
          <w:sz w:val="20"/>
          <w:szCs w:val="20"/>
          <w:color w:val="auto"/>
        </w:rPr>
      </w:pPr>
      <w:r>
        <w:rPr>
          <w:rFonts w:ascii="Arial" w:cs="Arial" w:eastAsia="Arial" w:hAnsi="Arial"/>
          <w:sz w:val="12"/>
          <w:szCs w:val="12"/>
          <w:color w:val="auto"/>
        </w:rPr>
        <w:t>consultants</w:t>
      </w:r>
    </w:p>
    <w:p>
      <w:pPr>
        <w:spacing w:after="0" w:line="11" w:lineRule="exact"/>
        <w:rPr>
          <w:sz w:val="20"/>
          <w:szCs w:val="20"/>
          <w:color w:val="auto"/>
        </w:rPr>
      </w:pPr>
    </w:p>
    <w:p>
      <w:pPr>
        <w:ind w:right="160"/>
        <w:spacing w:after="0" w:line="238" w:lineRule="auto"/>
        <w:rPr>
          <w:sz w:val="20"/>
          <w:szCs w:val="20"/>
          <w:color w:val="auto"/>
        </w:rPr>
      </w:pPr>
      <w:r>
        <w:rPr>
          <w:rFonts w:ascii="Arial" w:cs="Arial" w:eastAsia="Arial" w:hAnsi="Arial"/>
          <w:sz w:val="13"/>
          <w:szCs w:val="13"/>
          <w:color w:val="auto"/>
        </w:rPr>
        <w:t>Issuance of common stock:</w:t>
      </w:r>
    </w:p>
    <w:p>
      <w:pPr>
        <w:ind w:left="180"/>
        <w:spacing w:after="0" w:line="222" w:lineRule="auto"/>
        <w:rPr>
          <w:sz w:val="20"/>
          <w:szCs w:val="20"/>
          <w:color w:val="auto"/>
        </w:rPr>
      </w:pPr>
      <w:r>
        <w:rPr>
          <w:rFonts w:ascii="Arial" w:cs="Arial" w:eastAsia="Arial" w:hAnsi="Arial"/>
          <w:sz w:val="14"/>
          <w:szCs w:val="14"/>
          <w:color w:val="auto"/>
        </w:rPr>
        <w:t>for</w:t>
      </w:r>
    </w:p>
    <w:p>
      <w:pPr>
        <w:ind w:left="180"/>
        <w:spacing w:after="0" w:line="222" w:lineRule="auto"/>
        <w:rPr>
          <w:sz w:val="20"/>
          <w:szCs w:val="20"/>
          <w:color w:val="auto"/>
        </w:rPr>
      </w:pPr>
      <w:r>
        <w:rPr>
          <w:rFonts w:ascii="Arial" w:cs="Arial" w:eastAsia="Arial" w:hAnsi="Arial"/>
          <w:sz w:val="14"/>
          <w:szCs w:val="14"/>
          <w:color w:val="auto"/>
        </w:rPr>
        <w:t>services</w:t>
      </w:r>
    </w:p>
    <w:p>
      <w:pPr>
        <w:ind w:left="180"/>
        <w:spacing w:after="0" w:line="221" w:lineRule="auto"/>
        <w:rPr>
          <w:sz w:val="20"/>
          <w:szCs w:val="20"/>
          <w:color w:val="auto"/>
        </w:rPr>
      </w:pPr>
      <w:r>
        <w:rPr>
          <w:rFonts w:ascii="Arial" w:cs="Arial" w:eastAsia="Arial" w:hAnsi="Arial"/>
          <w:sz w:val="14"/>
          <w:szCs w:val="14"/>
          <w:color w:val="auto"/>
        </w:rPr>
        <w:t>for cash</w:t>
      </w:r>
    </w:p>
    <w:p>
      <w:pPr>
        <w:ind w:left="180"/>
        <w:spacing w:after="0"/>
        <w:rPr>
          <w:sz w:val="20"/>
          <w:szCs w:val="20"/>
          <w:color w:val="auto"/>
        </w:rPr>
      </w:pPr>
      <w:r>
        <w:rPr>
          <w:rFonts w:ascii="Arial" w:cs="Arial" w:eastAsia="Arial" w:hAnsi="Arial"/>
          <w:sz w:val="13"/>
          <w:szCs w:val="13"/>
          <w:color w:val="auto"/>
        </w:rPr>
        <w:t>for warrant</w:t>
      </w:r>
    </w:p>
    <w:p>
      <w:pPr>
        <w:ind w:left="180"/>
        <w:spacing w:after="0" w:line="221" w:lineRule="auto"/>
        <w:rPr>
          <w:sz w:val="20"/>
          <w:szCs w:val="20"/>
          <w:color w:val="auto"/>
        </w:rPr>
      </w:pPr>
      <w:r>
        <w:rPr>
          <w:rFonts w:ascii="Arial" w:cs="Arial" w:eastAsia="Arial" w:hAnsi="Arial"/>
          <w:sz w:val="14"/>
          <w:szCs w:val="14"/>
          <w:color w:val="auto"/>
        </w:rPr>
        <w:t>exercise</w:t>
      </w:r>
    </w:p>
    <w:p>
      <w:pPr>
        <w:spacing w:after="0" w:line="221" w:lineRule="auto"/>
        <w:rPr>
          <w:sz w:val="20"/>
          <w:szCs w:val="20"/>
          <w:color w:val="auto"/>
        </w:rPr>
      </w:pPr>
      <w:r>
        <w:rPr>
          <w:rFonts w:ascii="Arial" w:cs="Arial" w:eastAsia="Arial" w:hAnsi="Arial"/>
          <w:sz w:val="14"/>
          <w:szCs w:val="14"/>
          <w:color w:val="auto"/>
        </w:rPr>
        <w:t>Issue</w:t>
      </w:r>
    </w:p>
    <w:p>
      <w:pPr>
        <w:spacing w:after="0" w:line="222" w:lineRule="auto"/>
        <w:rPr>
          <w:sz w:val="20"/>
          <w:szCs w:val="20"/>
          <w:color w:val="auto"/>
        </w:rPr>
      </w:pPr>
      <w:r>
        <w:rPr>
          <w:rFonts w:ascii="Arial" w:cs="Arial" w:eastAsia="Arial" w:hAnsi="Arial"/>
          <w:sz w:val="14"/>
          <w:szCs w:val="14"/>
          <w:color w:val="auto"/>
        </w:rPr>
        <w:t>warrants for</w:t>
      </w:r>
    </w:p>
    <w:p>
      <w:pPr>
        <w:spacing w:after="0" w:line="221" w:lineRule="auto"/>
        <w:rPr>
          <w:sz w:val="20"/>
          <w:szCs w:val="20"/>
          <w:color w:val="auto"/>
        </w:rPr>
      </w:pPr>
      <w:r>
        <w:rPr>
          <w:rFonts w:ascii="Arial" w:cs="Arial" w:eastAsia="Arial" w:hAnsi="Arial"/>
          <w:sz w:val="14"/>
          <w:szCs w:val="14"/>
          <w:color w:val="auto"/>
        </w:rPr>
        <w:t>equity raise</w:t>
      </w:r>
    </w:p>
    <w:p>
      <w:pPr>
        <w:spacing w:after="0" w:line="222" w:lineRule="auto"/>
        <w:rPr>
          <w:sz w:val="20"/>
          <w:szCs w:val="20"/>
          <w:color w:val="auto"/>
        </w:rPr>
      </w:pPr>
      <w:r>
        <w:rPr>
          <w:rFonts w:ascii="Arial" w:cs="Arial" w:eastAsia="Arial" w:hAnsi="Arial"/>
          <w:sz w:val="14"/>
          <w:szCs w:val="14"/>
          <w:color w:val="auto"/>
        </w:rPr>
        <w:t>Issue stock</w:t>
      </w:r>
    </w:p>
    <w:p>
      <w:pPr>
        <w:spacing w:after="0" w:line="221" w:lineRule="auto"/>
        <w:rPr>
          <w:sz w:val="20"/>
          <w:szCs w:val="20"/>
          <w:color w:val="auto"/>
        </w:rPr>
      </w:pPr>
      <w:r>
        <w:rPr>
          <w:rFonts w:ascii="Arial" w:cs="Arial" w:eastAsia="Arial" w:hAnsi="Arial"/>
          <w:sz w:val="14"/>
          <w:szCs w:val="14"/>
          <w:color w:val="auto"/>
        </w:rPr>
        <w:t>rights to</w:t>
      </w:r>
    </w:p>
    <w:p>
      <w:pPr>
        <w:spacing w:after="0" w:line="222" w:lineRule="auto"/>
        <w:rPr>
          <w:sz w:val="20"/>
          <w:szCs w:val="20"/>
          <w:color w:val="auto"/>
        </w:rPr>
      </w:pPr>
      <w:r>
        <w:rPr>
          <w:rFonts w:ascii="Arial" w:cs="Arial" w:eastAsia="Arial" w:hAnsi="Arial"/>
          <w:sz w:val="14"/>
          <w:szCs w:val="14"/>
          <w:color w:val="auto"/>
        </w:rPr>
        <w:t>officers</w:t>
      </w:r>
    </w:p>
    <w:p>
      <w:pPr>
        <w:spacing w:after="0" w:line="221" w:lineRule="auto"/>
        <w:rPr>
          <w:sz w:val="20"/>
          <w:szCs w:val="20"/>
          <w:color w:val="auto"/>
        </w:rPr>
      </w:pPr>
      <w:r>
        <w:rPr>
          <w:rFonts w:ascii="Arial" w:cs="Arial" w:eastAsia="Arial" w:hAnsi="Arial"/>
          <w:sz w:val="14"/>
          <w:szCs w:val="14"/>
          <w:color w:val="auto"/>
        </w:rPr>
        <w:t>Reclassify</w:t>
      </w:r>
    </w:p>
    <w:p>
      <w:pPr>
        <w:spacing w:after="0" w:line="222" w:lineRule="auto"/>
        <w:rPr>
          <w:sz w:val="20"/>
          <w:szCs w:val="20"/>
          <w:color w:val="auto"/>
        </w:rPr>
      </w:pPr>
      <w:r>
        <w:rPr>
          <w:rFonts w:ascii="Arial" w:cs="Arial" w:eastAsia="Arial" w:hAnsi="Arial"/>
          <w:sz w:val="14"/>
          <w:szCs w:val="14"/>
          <w:color w:val="auto"/>
        </w:rPr>
        <w:t>expired and</w:t>
      </w:r>
    </w:p>
    <w:p>
      <w:pPr>
        <w:spacing w:after="0" w:line="221" w:lineRule="auto"/>
        <w:rPr>
          <w:sz w:val="20"/>
          <w:szCs w:val="20"/>
          <w:color w:val="auto"/>
        </w:rPr>
      </w:pPr>
      <w:r>
        <w:rPr>
          <w:rFonts w:ascii="Arial" w:cs="Arial" w:eastAsia="Arial" w:hAnsi="Arial"/>
          <w:sz w:val="14"/>
          <w:szCs w:val="14"/>
          <w:color w:val="auto"/>
        </w:rPr>
        <w:t>redeemed</w:t>
      </w:r>
    </w:p>
    <w:p>
      <w:pPr>
        <w:spacing w:after="0" w:line="222" w:lineRule="auto"/>
        <w:rPr>
          <w:sz w:val="20"/>
          <w:szCs w:val="20"/>
          <w:color w:val="auto"/>
        </w:rPr>
      </w:pPr>
      <w:r>
        <w:rPr>
          <w:rFonts w:ascii="Arial" w:cs="Arial" w:eastAsia="Arial" w:hAnsi="Arial"/>
          <w:sz w:val="14"/>
          <w:szCs w:val="14"/>
          <w:color w:val="auto"/>
        </w:rPr>
        <w:t>warrants</w:t>
      </w:r>
    </w:p>
    <w:p>
      <w:pPr>
        <w:spacing w:after="0" w:line="221" w:lineRule="auto"/>
        <w:rPr>
          <w:sz w:val="20"/>
          <w:szCs w:val="20"/>
          <w:color w:val="auto"/>
        </w:rPr>
      </w:pPr>
      <w:r>
        <w:rPr>
          <w:rFonts w:ascii="Arial" w:cs="Arial" w:eastAsia="Arial" w:hAnsi="Arial"/>
          <w:sz w:val="14"/>
          <w:szCs w:val="14"/>
          <w:color w:val="auto"/>
        </w:rPr>
        <w:t>Expense</w:t>
      </w:r>
    </w:p>
    <w:p>
      <w:pPr>
        <w:spacing w:after="0" w:line="221" w:lineRule="auto"/>
        <w:rPr>
          <w:sz w:val="20"/>
          <w:szCs w:val="20"/>
          <w:color w:val="auto"/>
        </w:rPr>
      </w:pPr>
      <w:r>
        <w:rPr>
          <w:rFonts w:ascii="Arial" w:cs="Arial" w:eastAsia="Arial" w:hAnsi="Arial"/>
          <w:sz w:val="14"/>
          <w:szCs w:val="14"/>
          <w:color w:val="auto"/>
        </w:rPr>
        <w:t>consulting</w:t>
      </w:r>
    </w:p>
    <w:p>
      <w:pPr>
        <w:spacing w:after="0" w:line="222" w:lineRule="auto"/>
        <w:rPr>
          <w:sz w:val="20"/>
          <w:szCs w:val="20"/>
          <w:color w:val="auto"/>
        </w:rPr>
      </w:pPr>
      <w:r>
        <w:rPr>
          <w:rFonts w:ascii="Arial" w:cs="Arial" w:eastAsia="Arial" w:hAnsi="Arial"/>
          <w:sz w:val="14"/>
          <w:szCs w:val="14"/>
          <w:color w:val="auto"/>
        </w:rPr>
        <w:t>services</w:t>
      </w:r>
    </w:p>
    <w:p>
      <w:pPr>
        <w:spacing w:after="0" w:line="221" w:lineRule="auto"/>
        <w:rPr>
          <w:sz w:val="20"/>
          <w:szCs w:val="20"/>
          <w:color w:val="auto"/>
        </w:rPr>
      </w:pPr>
      <w:r>
        <w:rPr>
          <w:rFonts w:ascii="Arial" w:cs="Arial" w:eastAsia="Arial" w:hAnsi="Arial"/>
          <w:sz w:val="14"/>
          <w:szCs w:val="14"/>
          <w:color w:val="auto"/>
        </w:rPr>
        <w:t>Redeem</w:t>
      </w:r>
    </w:p>
    <w:p>
      <w:pPr>
        <w:spacing w:after="0" w:line="222" w:lineRule="auto"/>
        <w:rPr>
          <w:sz w:val="20"/>
          <w:szCs w:val="20"/>
          <w:color w:val="auto"/>
        </w:rPr>
      </w:pPr>
      <w:r>
        <w:rPr>
          <w:rFonts w:ascii="Arial" w:cs="Arial" w:eastAsia="Arial" w:hAnsi="Arial"/>
          <w:sz w:val="14"/>
          <w:szCs w:val="14"/>
          <w:color w:val="auto"/>
        </w:rPr>
        <w:t>shares for</w:t>
      </w:r>
    </w:p>
    <w:p>
      <w:pPr>
        <w:spacing w:after="0" w:line="221" w:lineRule="auto"/>
        <w:rPr>
          <w:sz w:val="20"/>
          <w:szCs w:val="20"/>
          <w:color w:val="auto"/>
        </w:rPr>
      </w:pPr>
      <w:r>
        <w:rPr>
          <w:rFonts w:ascii="Arial" w:cs="Arial" w:eastAsia="Arial" w:hAnsi="Arial"/>
          <w:sz w:val="14"/>
          <w:szCs w:val="14"/>
          <w:color w:val="auto"/>
        </w:rPr>
        <w:t>cash</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3"/>
          <w:szCs w:val="13"/>
          <w:color w:val="auto"/>
        </w:rPr>
        <w:t>Net loss for the year</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Balance,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Ended December 31,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Preferred</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Deferred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Total</w:t>
            </w:r>
          </w:p>
        </w:tc>
      </w:tr>
      <w:tr>
        <w:trPr>
          <w:trHeight w:val="162"/>
        </w:trPr>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0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Stock</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Stockholders’</w:t>
            </w:r>
          </w:p>
        </w:tc>
      </w:tr>
      <w:tr>
        <w:trPr>
          <w:trHeight w:val="174"/>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Warrants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6"/>
              </w:rPr>
              <w:t>Payable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Compensation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15"/>
                <w:szCs w:val="15"/>
                <w:color w:val="auto"/>
              </w:rPr>
            </w:pPr>
          </w:p>
        </w:tc>
      </w:tr>
      <w:tr>
        <w:trPr>
          <w:trHeight w:val="447"/>
        </w:trPr>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14,817,496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14,817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18,148,049</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8,875,155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(270,462)</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(25,099,357)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1,668,202</w:t>
            </w:r>
          </w:p>
        </w:tc>
        <w:tc>
          <w:tcPr>
            <w:tcW w:w="40" w:type="dxa"/>
            <w:vAlign w:val="bottom"/>
          </w:tcPr>
          <w:p>
            <w:pPr>
              <w:spacing w:after="0"/>
              <w:rPr>
                <w:sz w:val="24"/>
                <w:szCs w:val="24"/>
                <w:color w:val="auto"/>
              </w:rPr>
            </w:pPr>
          </w:p>
        </w:tc>
      </w:tr>
      <w:tr>
        <w:trPr>
          <w:trHeight w:val="59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272,804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272,804</w:t>
            </w:r>
          </w:p>
        </w:tc>
        <w:tc>
          <w:tcPr>
            <w:tcW w:w="40" w:type="dxa"/>
            <w:vAlign w:val="bottom"/>
          </w:tcPr>
          <w:p>
            <w:pPr>
              <w:spacing w:after="0"/>
              <w:rPr>
                <w:sz w:val="24"/>
                <w:szCs w:val="24"/>
                <w:color w:val="auto"/>
              </w:rPr>
            </w:pPr>
          </w:p>
        </w:tc>
      </w:tr>
      <w:tr>
        <w:trPr>
          <w:trHeight w:val="29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16,935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(16,935)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709"/>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167,065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26,812</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41,667</w:t>
            </w:r>
          </w:p>
        </w:tc>
        <w:tc>
          <w:tcPr>
            <w:tcW w:w="40" w:type="dxa"/>
            <w:vAlign w:val="bottom"/>
          </w:tcPr>
          <w:p>
            <w:pPr>
              <w:spacing w:after="0"/>
              <w:rPr>
                <w:sz w:val="24"/>
                <w:szCs w:val="24"/>
                <w:color w:val="auto"/>
              </w:rPr>
            </w:pPr>
          </w:p>
        </w:tc>
      </w:tr>
      <w:tr>
        <w:trPr>
          <w:trHeight w:val="182"/>
        </w:trPr>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8,333,333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8,333</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8,408,699</w:t>
            </w:r>
          </w:p>
        </w:tc>
        <w:tc>
          <w:tcPr>
            <w:tcW w:w="1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378,000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8,795,032</w:t>
            </w:r>
          </w:p>
        </w:tc>
        <w:tc>
          <w:tcPr>
            <w:tcW w:w="40" w:type="dxa"/>
            <w:vAlign w:val="bottom"/>
          </w:tcPr>
          <w:p>
            <w:pPr>
              <w:spacing w:after="0"/>
              <w:rPr>
                <w:sz w:val="15"/>
                <w:szCs w:val="15"/>
                <w:color w:val="auto"/>
              </w:rPr>
            </w:pPr>
          </w:p>
        </w:tc>
      </w:tr>
      <w:tr>
        <w:trPr>
          <w:trHeight w:val="29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445,765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(694,133)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693,687</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1,110,211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(1,110,211)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570,375</w:t>
            </w:r>
          </w:p>
        </w:tc>
        <w:tc>
          <w:tcPr>
            <w:tcW w:w="40" w:type="dxa"/>
            <w:vAlign w:val="bottom"/>
          </w:tcPr>
          <w:p>
            <w:pPr>
              <w:spacing w:after="0"/>
              <w:rPr>
                <w:sz w:val="24"/>
                <w:szCs w:val="24"/>
                <w:color w:val="auto"/>
              </w:rPr>
            </w:pPr>
          </w:p>
        </w:tc>
      </w:tr>
      <w:tr>
        <w:trPr>
          <w:trHeight w:val="59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(16,410,832)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16,410,832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287,397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287,397</w:t>
            </w:r>
          </w:p>
        </w:tc>
        <w:tc>
          <w:tcPr>
            <w:tcW w:w="40" w:type="dxa"/>
            <w:vAlign w:val="bottom"/>
          </w:tcPr>
          <w:p>
            <w:pPr>
              <w:spacing w:after="0"/>
              <w:rPr>
                <w:sz w:val="24"/>
                <w:szCs w:val="24"/>
                <w:color w:val="auto"/>
              </w:rPr>
            </w:pPr>
          </w:p>
        </w:tc>
      </w:tr>
      <w:tr>
        <w:trPr>
          <w:trHeight w:val="446"/>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(896,340)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(5,999,104)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(6,000,000)</w:t>
            </w:r>
          </w:p>
        </w:tc>
      </w:tr>
      <w:tr>
        <w:trPr>
          <w:trHeight w:val="29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(1,025,393)</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(1,025,393)</w:t>
            </w:r>
          </w:p>
        </w:tc>
      </w:tr>
      <w:tr>
        <w:trPr>
          <w:trHeight w:val="27"/>
        </w:trPr>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22,867,319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22,867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2,153,295</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27,595,609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963,063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(26,124,750</w:t>
            </w:r>
            <w:r>
              <w:rPr>
                <w:rFonts w:ascii="Arial" w:cs="Arial" w:eastAsia="Arial" w:hAnsi="Arial"/>
                <w:sz w:val="28"/>
                <w:szCs w:val="28"/>
                <w:color w:val="auto"/>
                <w:w w:val="98"/>
                <w:vertAlign w:val="super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4,610,084</w:t>
            </w:r>
          </w:p>
        </w:tc>
        <w:tc>
          <w:tcPr>
            <w:tcW w:w="40" w:type="dxa"/>
            <w:vAlign w:val="bottom"/>
          </w:tcPr>
          <w:p>
            <w:pPr>
              <w:spacing w:after="0"/>
              <w:rPr>
                <w:sz w:val="24"/>
                <w:szCs w:val="24"/>
                <w:color w:val="auto"/>
              </w:rPr>
            </w:pPr>
          </w:p>
        </w:tc>
      </w:tr>
      <w:tr>
        <w:trPr>
          <w:trHeight w:val="21"/>
        </w:trPr>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-3669665</wp:posOffset>
            </wp:positionV>
            <wp:extent cx="7246620" cy="283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-3197860</wp:posOffset>
            </wp:positionV>
            <wp:extent cx="72466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-2820670</wp:posOffset>
            </wp:positionV>
            <wp:extent cx="7246620" cy="283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-2348865</wp:posOffset>
            </wp:positionV>
            <wp:extent cx="724662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-2066290</wp:posOffset>
            </wp:positionV>
            <wp:extent cx="7246620" cy="283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-1499870</wp:posOffset>
            </wp:positionV>
            <wp:extent cx="7246620" cy="3771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-840105</wp:posOffset>
            </wp:positionV>
            <wp:extent cx="724662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-351155</wp:posOffset>
            </wp:positionV>
            <wp:extent cx="7246620"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ectPr>
          <w:pgSz w:w="11900" w:h="16838" w:orient="portrait"/>
          <w:cols w:equalWidth="0" w:num="2">
            <w:col w:w="820" w:space="80"/>
            <w:col w:w="10460"/>
          </w:cols>
          <w:pgMar w:left="240" w:top="226" w:right="299" w:bottom="1440" w:gutter="0" w:footer="0" w:header="0"/>
          <w:type w:val="continuous"/>
        </w:sect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55" w:name="page56"/>
    <w:bookmarkEnd w:id="55"/>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3"/>
          <w:szCs w:val="13"/>
          <w:color w:val="auto"/>
        </w:rPr>
        <w:t>December 31,</w:t>
      </w:r>
    </w:p>
    <w:p>
      <w:pPr>
        <w:spacing w:after="0" w:line="221" w:lineRule="auto"/>
        <w:rPr>
          <w:sz w:val="20"/>
          <w:szCs w:val="20"/>
          <w:color w:val="auto"/>
        </w:rPr>
      </w:pPr>
      <w:r>
        <w:rPr>
          <w:rFonts w:ascii="Arial" w:cs="Arial" w:eastAsia="Arial" w:hAnsi="Arial"/>
          <w:sz w:val="14"/>
          <w:szCs w:val="14"/>
          <w:color w:val="auto"/>
        </w:rPr>
        <w:t>2014</w:t>
      </w:r>
    </w:p>
    <w:p>
      <w:pPr>
        <w:spacing w:after="0" w:line="221" w:lineRule="auto"/>
        <w:rPr>
          <w:sz w:val="20"/>
          <w:szCs w:val="20"/>
          <w:color w:val="auto"/>
        </w:rPr>
      </w:pPr>
      <w:r>
        <w:rPr>
          <w:rFonts w:ascii="Arial" w:cs="Arial" w:eastAsia="Arial" w:hAnsi="Arial"/>
          <w:sz w:val="14"/>
          <w:szCs w:val="14"/>
          <w:color w:val="auto"/>
        </w:rPr>
        <w:t>Issuance of</w:t>
      </w:r>
    </w:p>
    <w:p>
      <w:pPr>
        <w:spacing w:after="0" w:line="222" w:lineRule="auto"/>
        <w:rPr>
          <w:sz w:val="20"/>
          <w:szCs w:val="20"/>
          <w:color w:val="auto"/>
        </w:rPr>
      </w:pPr>
      <w:r>
        <w:rPr>
          <w:rFonts w:ascii="Arial" w:cs="Arial" w:eastAsia="Arial" w:hAnsi="Arial"/>
          <w:sz w:val="14"/>
          <w:szCs w:val="14"/>
          <w:color w:val="auto"/>
        </w:rPr>
        <w:t>stock options</w:t>
      </w:r>
    </w:p>
    <w:p>
      <w:pPr>
        <w:spacing w:after="0"/>
        <w:rPr>
          <w:sz w:val="20"/>
          <w:szCs w:val="20"/>
          <w:color w:val="auto"/>
        </w:rPr>
      </w:pPr>
      <w:r>
        <w:rPr>
          <w:rFonts w:ascii="Arial" w:cs="Arial" w:eastAsia="Arial" w:hAnsi="Arial"/>
          <w:sz w:val="13"/>
          <w:szCs w:val="13"/>
          <w:color w:val="auto"/>
        </w:rPr>
        <w:t>to employees</w:t>
      </w:r>
    </w:p>
    <w:p>
      <w:pPr>
        <w:spacing w:after="0" w:line="221" w:lineRule="auto"/>
        <w:rPr>
          <w:sz w:val="20"/>
          <w:szCs w:val="20"/>
          <w:color w:val="auto"/>
        </w:rPr>
      </w:pPr>
      <w:r>
        <w:rPr>
          <w:rFonts w:ascii="Arial" w:cs="Arial" w:eastAsia="Arial" w:hAnsi="Arial"/>
          <w:sz w:val="14"/>
          <w:szCs w:val="14"/>
          <w:color w:val="auto"/>
        </w:rPr>
        <w:t>Issuance of</w:t>
      </w:r>
    </w:p>
    <w:p>
      <w:pPr>
        <w:spacing w:after="0" w:line="221" w:lineRule="auto"/>
        <w:rPr>
          <w:sz w:val="20"/>
          <w:szCs w:val="20"/>
          <w:color w:val="auto"/>
        </w:rPr>
      </w:pPr>
      <w:r>
        <w:rPr>
          <w:rFonts w:ascii="Arial" w:cs="Arial" w:eastAsia="Arial" w:hAnsi="Arial"/>
          <w:sz w:val="14"/>
          <w:szCs w:val="14"/>
          <w:color w:val="auto"/>
        </w:rPr>
        <w:t>common</w:t>
      </w:r>
    </w:p>
    <w:p>
      <w:pPr>
        <w:spacing w:after="0" w:line="222" w:lineRule="auto"/>
        <w:rPr>
          <w:sz w:val="20"/>
          <w:szCs w:val="20"/>
          <w:color w:val="auto"/>
        </w:rPr>
      </w:pPr>
      <w:r>
        <w:rPr>
          <w:rFonts w:ascii="Arial" w:cs="Arial" w:eastAsia="Arial" w:hAnsi="Arial"/>
          <w:sz w:val="14"/>
          <w:szCs w:val="14"/>
          <w:color w:val="auto"/>
        </w:rPr>
        <w:t>stock:</w:t>
      </w:r>
    </w:p>
    <w:p>
      <w:pPr>
        <w:ind w:left="180"/>
        <w:spacing w:after="0" w:line="221" w:lineRule="auto"/>
        <w:rPr>
          <w:sz w:val="20"/>
          <w:szCs w:val="20"/>
          <w:color w:val="auto"/>
        </w:rPr>
      </w:pPr>
      <w:r>
        <w:rPr>
          <w:rFonts w:ascii="Arial" w:cs="Arial" w:eastAsia="Arial" w:hAnsi="Arial"/>
          <w:sz w:val="14"/>
          <w:szCs w:val="14"/>
          <w:color w:val="auto"/>
        </w:rPr>
        <w:t>for</w:t>
      </w:r>
    </w:p>
    <w:p>
      <w:pPr>
        <w:ind w:left="180"/>
        <w:spacing w:after="0" w:line="222" w:lineRule="auto"/>
        <w:rPr>
          <w:sz w:val="20"/>
          <w:szCs w:val="20"/>
          <w:color w:val="auto"/>
        </w:rPr>
      </w:pPr>
      <w:r>
        <w:rPr>
          <w:rFonts w:ascii="Arial" w:cs="Arial" w:eastAsia="Arial" w:hAnsi="Arial"/>
          <w:sz w:val="14"/>
          <w:szCs w:val="14"/>
          <w:color w:val="auto"/>
        </w:rPr>
        <w:t>services</w:t>
      </w:r>
    </w:p>
    <w:p>
      <w:pPr>
        <w:ind w:right="140" w:firstLine="162"/>
        <w:spacing w:after="0" w:line="242" w:lineRule="auto"/>
        <w:rPr>
          <w:sz w:val="20"/>
          <w:szCs w:val="20"/>
          <w:color w:val="auto"/>
        </w:rPr>
      </w:pPr>
      <w:r>
        <w:rPr>
          <w:rFonts w:ascii="Arial" w:cs="Arial" w:eastAsia="Arial" w:hAnsi="Arial"/>
          <w:sz w:val="13"/>
          <w:szCs w:val="13"/>
          <w:color w:val="auto"/>
        </w:rPr>
        <w:t>for cash Issue stock rights to officers Expense consulting services Net loss for the year</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Balance, December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Ended December 31,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Preferred</w:t>
            </w: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Deferred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Total</w:t>
            </w:r>
          </w:p>
        </w:tc>
      </w:tr>
      <w:tr>
        <w:trPr>
          <w:trHeight w:val="162"/>
        </w:trPr>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Stock</w:t>
            </w:r>
          </w:p>
        </w:tc>
        <w:tc>
          <w:tcPr>
            <w:tcW w:w="960" w:type="dxa"/>
            <w:vAlign w:val="bottom"/>
            <w:gridSpan w:val="2"/>
          </w:tcPr>
          <w:p>
            <w:pPr>
              <w:ind w:left="26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Paid-in</w:t>
            </w: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Stock</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Stockholders’</w:t>
            </w:r>
          </w:p>
        </w:tc>
      </w:tr>
      <w:tr>
        <w:trPr>
          <w:trHeight w:val="174"/>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Warrants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Payable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Compensation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15"/>
                <w:szCs w:val="15"/>
                <w:color w:val="auto"/>
              </w:rPr>
            </w:pPr>
          </w:p>
        </w:tc>
      </w:tr>
      <w:tr>
        <w:trPr>
          <w:trHeight w:val="447"/>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22,867,319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22,867</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2,153,295</w:t>
            </w:r>
          </w:p>
        </w:tc>
        <w:tc>
          <w:tcPr>
            <w:tcW w:w="10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27,595,609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963,083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(26,124,750)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4,610,084</w:t>
            </w:r>
          </w:p>
        </w:tc>
        <w:tc>
          <w:tcPr>
            <w:tcW w:w="40" w:type="dxa"/>
            <w:vAlign w:val="bottom"/>
          </w:tcPr>
          <w:p>
            <w:pPr>
              <w:spacing w:after="0"/>
              <w:rPr>
                <w:sz w:val="24"/>
                <w:szCs w:val="24"/>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253,358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253,358</w:t>
            </w:r>
          </w:p>
        </w:tc>
        <w:tc>
          <w:tcPr>
            <w:tcW w:w="40" w:type="dxa"/>
            <w:vAlign w:val="bottom"/>
          </w:tcPr>
          <w:p>
            <w:pPr>
              <w:spacing w:after="0"/>
              <w:rPr>
                <w:sz w:val="24"/>
                <w:szCs w:val="24"/>
                <w:color w:val="auto"/>
              </w:rPr>
            </w:pPr>
          </w:p>
        </w:tc>
      </w:tr>
      <w:tr>
        <w:trPr>
          <w:trHeight w:val="709"/>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152,500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172,310</w:t>
            </w: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(14,688)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(97,650)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60,125</w:t>
            </w:r>
          </w:p>
        </w:tc>
        <w:tc>
          <w:tcPr>
            <w:tcW w:w="4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6,011,106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6,011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176,213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4,164,222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4,346,446</w:t>
            </w:r>
          </w:p>
        </w:tc>
        <w:tc>
          <w:tcPr>
            <w:tcW w:w="40" w:type="dxa"/>
            <w:vAlign w:val="bottom"/>
          </w:tcPr>
          <w:p>
            <w:pPr>
              <w:spacing w:after="0"/>
              <w:rPr>
                <w:sz w:val="15"/>
                <w:szCs w:val="15"/>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183,773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183,773</w:t>
            </w:r>
          </w:p>
        </w:tc>
        <w:tc>
          <w:tcPr>
            <w:tcW w:w="40" w:type="dxa"/>
            <w:vAlign w:val="bottom"/>
          </w:tcPr>
          <w:p>
            <w:pPr>
              <w:spacing w:after="0"/>
              <w:rPr>
                <w:sz w:val="24"/>
                <w:szCs w:val="24"/>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83,850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83,850</w:t>
            </w:r>
          </w:p>
        </w:tc>
        <w:tc>
          <w:tcPr>
            <w:tcW w:w="40" w:type="dxa"/>
            <w:vAlign w:val="bottom"/>
          </w:tcPr>
          <w:p>
            <w:pPr>
              <w:spacing w:after="0"/>
              <w:rPr>
                <w:sz w:val="24"/>
                <w:szCs w:val="24"/>
                <w:color w:val="auto"/>
              </w:rPr>
            </w:pPr>
          </w:p>
        </w:tc>
      </w:tr>
      <w:tr>
        <w:trPr>
          <w:trHeight w:val="29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(595,140)</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(595,140)</w:t>
            </w:r>
          </w:p>
        </w:tc>
      </w:tr>
      <w:tr>
        <w:trPr>
          <w:trHeight w:val="27"/>
        </w:trPr>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29,030,925</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29,031</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2,329,508</w:t>
            </w:r>
          </w:p>
        </w:tc>
        <w:tc>
          <w:tcPr>
            <w:tcW w:w="10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32,185,499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1,132,168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(13,800</w:t>
            </w:r>
            <w:r>
              <w:rPr>
                <w:rFonts w:ascii="Arial" w:cs="Arial" w:eastAsia="Arial" w:hAnsi="Arial"/>
                <w:sz w:val="28"/>
                <w:szCs w:val="28"/>
                <w:color w:val="auto"/>
                <w:vertAlign w:val="superscript"/>
              </w:rPr>
              <w:t>)</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(26,719,890</w:t>
            </w:r>
            <w:r>
              <w:rPr>
                <w:rFonts w:ascii="Arial" w:cs="Arial" w:eastAsia="Arial" w:hAnsi="Arial"/>
                <w:sz w:val="28"/>
                <w:szCs w:val="28"/>
                <w:color w:val="auto"/>
                <w:w w:val="98"/>
                <w:vertAlign w:val="super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8,942,496</w:t>
            </w:r>
          </w:p>
        </w:tc>
        <w:tc>
          <w:tcPr>
            <w:tcW w:w="40" w:type="dxa"/>
            <w:vAlign w:val="bottom"/>
          </w:tcPr>
          <w:p>
            <w:pPr>
              <w:spacing w:after="0"/>
              <w:rPr>
                <w:sz w:val="24"/>
                <w:szCs w:val="24"/>
                <w:color w:val="auto"/>
              </w:rPr>
            </w:pP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-2254885</wp:posOffset>
            </wp:positionV>
            <wp:extent cx="72466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-1689100</wp:posOffset>
            </wp:positionV>
            <wp:extent cx="7246620"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-1217295</wp:posOffset>
            </wp:positionV>
            <wp:extent cx="724662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-840105</wp:posOffset>
            </wp:positionV>
            <wp:extent cx="7246620" cy="283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-351155</wp:posOffset>
            </wp:positionV>
            <wp:extent cx="7246620"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ectPr>
          <w:pgSz w:w="11900" w:h="16838" w:orient="portrait"/>
          <w:cols w:equalWidth="0" w:num="2">
            <w:col w:w="820" w:space="80"/>
            <w:col w:w="10460"/>
          </w:cols>
          <w:pgMar w:left="240" w:top="226" w:right="299" w:bottom="1440" w:gutter="0" w:footer="0" w:header="0"/>
          <w:type w:val="continuous"/>
        </w:sect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56" w:name="page57"/>
    <w:bookmarkEnd w:id="5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for the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(595,140)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(1,025,393)</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333,950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264,340</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Loss on disposal of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31,731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issued for services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272,804</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327,748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899,438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(747,069)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(588,672)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11,633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215,210</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(18,476)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106,872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515,110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(56,350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Web development costs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(292,417)</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4,346,446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8,795,032</w:t>
            </w:r>
          </w:p>
        </w:tc>
        <w:tc>
          <w:tcPr>
            <w:tcW w:w="0" w:type="dxa"/>
            <w:vAlign w:val="bottom"/>
          </w:tcPr>
          <w:p>
            <w:pPr>
              <w:spacing w:after="0"/>
              <w:rPr>
                <w:sz w:val="1"/>
                <w:szCs w:val="1"/>
                <w:color w:val="auto"/>
              </w:rPr>
            </w:pPr>
          </w:p>
        </w:tc>
      </w:tr>
      <w:tr>
        <w:trPr>
          <w:trHeight w:val="237"/>
        </w:trPr>
        <w:tc>
          <w:tcPr>
            <w:tcW w:w="8240" w:type="dxa"/>
            <w:vAlign w:val="bottom"/>
          </w:tcPr>
          <w:p>
            <w:pPr>
              <w:ind w:left="360"/>
              <w:spacing w:after="0"/>
              <w:rPr>
                <w:sz w:val="20"/>
                <w:szCs w:val="20"/>
                <w:color w:val="auto"/>
              </w:rPr>
            </w:pPr>
            <w:r>
              <w:rPr>
                <w:rFonts w:ascii="Arial" w:cs="Arial" w:eastAsia="Arial" w:hAnsi="Arial"/>
                <w:sz w:val="18"/>
                <w:szCs w:val="18"/>
                <w:color w:val="auto"/>
              </w:rPr>
              <w:t>Redemption of common and preferred stock</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IN CASH AND CASH EQUIVALENTS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4,760,592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2,328,730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3,446,973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vMerge w:val="continue"/>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8,207,565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4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issued for future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8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OptimizeRx Corporation is a technology solutions company targeting the healthcare industry. Our objective is to bring better access to better healthcare through connecting patients, physicians and pharmaceutical manufacturers through technology. Originally defined as a marketing and advertising company through our consumer website, we have matured into a technology solutions provider with our direct to physician solution, SampleMD. SampleMD allows physicians to search, print and send available sample trial vouchers and/or co-pay coupons on behalf of their patients. The SampleMD solution is integrated into the physician’s ePrescribing or Electronic Health Record applications, but can also be a stand-alone desktop application. OptimizeRx solutions provide pharmaceutical manufacturers a direct to physician channel for communicating and promoting their products. It allows healthcare providers a means to provide sampling and coupons without having to physically store samples on site, and it provides better access and affordability to patients.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converted its form to a corporation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its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2015 and 2014. The allowance for doubtful accounts was $0 as of both December 31, 2015 and 2014.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Capital assets are being depreciated over their estimated useful lives of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primarily generated from our content delivery activities in which we deliver eCoupons and eVouchers through a distribution network of ePrescribers and Electronic Health Record technology providers (channel partners), or from reselling services that complement our business for other of our partners.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setup fees that are required for integrating client offerings and campaigns into our rule-based content delivery system and network upon completion of the setup when the client’s campaign is ready to launch within our system. As the eCoupons and or eVouchers are distributed through our platform and network of channel partners (a transaction), these transactions are recorded and revenue is recognized at the time of distribution. Revenue for transactions can be realized based on a price per distribution, a price per redemption, or as a flat fee over a period of time,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some instances, we also resell products and or services that are available through our channel partners, and that are complementary to our core business and client base. In these instances, net revenue is recognized based on the commission based revenue split that the Company receives.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PDR/LDM as a result of a 2014 legal settlement in an amount equal to the greater of 10% of eCoupon distribution revenues generated or $0.37 per eCoupon distributed. The contractual amount due to our channel partners is recorded as an expense at the time the eCoupon is distributed.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0.24% - 0.93%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0.90% - 1.44%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2.5 - 3.5 years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 - 85%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 - 138%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OptimizerRx’s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 in all years presented.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2015 and 2014: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70,623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2015 and 2014: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(22,414)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$4,620 and $5,933 for the years ended December 31, 2015 and 2014,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its web-based technology, which consisted of the following as of December 31, 2015 and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OptimizeRx web-based technology</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SampleMD web-based technology</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602,517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SampleMD 2.0 web-based technology</w:t>
            </w: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537,877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440,477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 web-based technology</w:t>
            </w:r>
          </w:p>
        </w:tc>
        <w:tc>
          <w:tcPr>
            <w:tcW w:w="3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1,294,527</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1,197,127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(954,057)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(692,484)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Web-based technology, net</w:t>
            </w: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vMerge w:val="continue"/>
          </w:tcPr>
          <w:p>
            <w:pPr>
              <w:spacing w:after="0"/>
              <w:rPr>
                <w:sz w:val="20"/>
                <w:szCs w:val="20"/>
                <w:color w:val="auto"/>
              </w:rPr>
            </w:pPr>
          </w:p>
        </w:tc>
        <w:tc>
          <w:tcPr>
            <w:tcW w:w="32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340,470</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504,643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up to five years. During 2014, the Company launched its SampleMD 2.0 web-based technology. All remaining carrying value at December 31, 2015 relates to the SampleMD 2.0 web-based technology. Amortization expense for the web-based technology costs was $261,572 and $192,760 for the years ended December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the technical contributions and assignment of all exclusive rights to and for a key patent from an officer and shareholder in exchange for 300,000 shares of common stock to be granted at the discretion of the seller and 200,000 stock options, which expired in April 2015, that were valued at $360,000. The shares were valued on the grant date at $570,000 and have been recorded as a payable to the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its patent, which consisted of the following as of December 31, 2015 and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172,457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170,937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90,202</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(328,042)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(260,285)</w:t>
            </w:r>
          </w:p>
        </w:tc>
        <w:tc>
          <w:tcPr>
            <w:tcW w:w="0" w:type="dxa"/>
            <w:vAlign w:val="bottom"/>
          </w:tcPr>
          <w:p>
            <w:pPr>
              <w:spacing w:after="0"/>
              <w:rPr>
                <w:sz w:val="1"/>
                <w:szCs w:val="1"/>
                <w:color w:val="auto"/>
              </w:rPr>
            </w:pPr>
          </w:p>
        </w:tc>
      </w:tr>
      <w:tr>
        <w:trPr>
          <w:trHeight w:val="27"/>
        </w:trPr>
        <w:tc>
          <w:tcPr>
            <w:tcW w:w="5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shd w:val="clear" w:color="auto" w:fill="CCEEFF"/>
          </w:tcPr>
          <w:p>
            <w:pPr>
              <w:spacing w:after="0"/>
              <w:rPr>
                <w:sz w:val="21"/>
                <w:szCs w:val="21"/>
                <w:color w:val="auto"/>
              </w:rPr>
            </w:pPr>
          </w:p>
        </w:tc>
        <w:tc>
          <w:tcPr>
            <w:tcW w:w="31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832,884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$67,758 and $65,647 for the years ended December 31, 2015 and 2014,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of coupons, or other services, which include payment in advance. The payments are not recorded as revenue until the revenue is earned under its revenue recognition policy discussed in Note 2. Deferred revenue was $227,002 and $120,130 as of December 31, 2015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the SampleMD patent in process at the time from an officer and shareholder in exchange for 300,000 shares of common stock to be granted at the discretion of the seller and 200,000 stock options, which expired in April 2015, that were valued at $360,000. The shares were valued on the grant date at $570,000 and have been recorded as a payable to the related party.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WPP made a strategic investment in the Company and is a shareholder that owns approximately 20% of the shares of the Company. 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500,000,000 shares of common stock, $.001 par value per share, authorized as of December 31, 2015. There were 29,030,925 and 22,867,319 shares of common stock issued and outstanding at December 31, 2015 and 2014, respectively.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2015, we entered into a securities purchase agreement pursuant to which we sold 6,011,106 shares of our common stock for $0.7875 per share, or gross proceeds of $4,733,746. The shares were issue to a subsidiary of WPP, the world’s largest marketing services company, as part of a strategic investment by WPP. Placement agents in the offering received commissions and expenses of $387,300, or approximately 8.2% of the gross proceeds. The net proceeds received were $4,346,446. Placement agents also received warrants to purchase up to 240,444 shares of our common stock with an exercise price of $0.7875 per share and a term of 5 years. The warrants were valued at $176,213 and have been recorded as equity issuance costs.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the Company adopted a Director Compensation plan covering its independent non-employee Directors. A total of 50,000 shares, valued at $60,125, were granted and issued in 2015 in connection with this compensation plan. A total of 19,565 shares were granted in 2014 with a total value of $23,166. A total of 7,065 of these shares were issued in 2014 and the remaining 12,500 shares were included in stock payable at December 31, 2014 and issued in January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we entered into a capital markets advisory agreement covering a one-year period, which called for 90,000 shares of common stock to be issued as compensation. These shares were valued at $112,500 and were amortized to expense over the period of service. 45,000 of these shares were issued in March 2015. The agreement was terminated in July 2015, effective in August, and the remaining 45,000 shares were not issued. The total expense recognized was $56,250.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2015, we agreed to grant 197,605 fully vested shares of our common stock to two executive officers as bonuses. These shares have not been issued, but are recorded as stock payable and can be requested by the officers at any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2015 we entered into a new capital markets advisory agreement covering a one-year period, which called for 90,000 shares of common stock to be issued as compensation. The first 45,000 shares were issued in September 2015 and valued at $41,400. These shares are being amortized over a six-month period. The agreement was cancelled in February 2016 and the remaining 45,000 shares will not be issued.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respective officers at any time.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2014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was used for working capital purposes.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2014, an officer exercised 500,000 stock warrants using the cashless exercise feature included in the warrants. In exchange for the 500,000 warrants, 410,348 shares of common stock were issued. In October 2014, a consultant exercised 50,000 stock warrants using the cashless exercise feature included in the warrants. In exchange for the 50,000 warrants, 35,417 shares of common stock were issued.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the Company agreed to grant 337,500 shares of common stock, half of which vested immediately and half of which vested in August 2014, to two executive officers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 An additional 10,000 shares were issued in 2014 before the agreement was terminated by the Company. The 2014 shares were valued at $1.85, the closing price of the Company’s common stock on the date of issuance.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10, 2013, the Company entered into a capital markets advisory agreement with Taglich Brothers, Inc. for various services. The agreement covered a one-year period and the Company agreed to issue 44,000 shares of common stock to Taglich over the term of the agreement. The shares were valued at $1.66, the closing price of the stock on the date of the agreement and were written off over the term of the agreement. The shares were issued in June 2014 upon expiration of the contract.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20, 2013, the Company entered into a separation agreement that included post-employment consulting services with a former CEO of the Company. The Company agreed to issue 500,000 shares of common stock, 250,000 shares immediately and 250,000 by January 1, 2014. The shares were issued and the Company recognized the entire issuance in the December 31, 2013 shares outstanding. The shares were valued at $505,000 and $174,808 of that amount remained as deferred stock compensation as of December 31, 2013, but was fully amortized to expense in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were convertible into 3,500,000 shares of common stock and bore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were entitled to semi-annual dividends payable on the stated value of the Series A preferred stock at a rate of 10% per annum, which was cumulative, and accrued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was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could cause this conversion at the time the shares were eligible for resale by the holder. The conversion price was subject to adjustment as hereinafter provided, at any time, or from time to time upon the terms and in the manner hereinafter set forth in the shareholder agreement. There was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had undeclared dividends that were due in February and September 2012 totaling $350,000 and undeclared dividends of $350,000 that were due in February and September 2013 for a total undeclared amount of $700,000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A Preferred shares were redeemed in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were convertible into 1,000,000 shares of common stock and bore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were convertible into 1,000,000 shares of common stock and bore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were entitled to semi-annual dividends payable on the stated value of the Series B preferred stock at a rate of 10% per annum, which was cumulative, and accrued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was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holder could cause this conversion at the time the shares were eligible for resale by the holder. The conversion price was subject to adjustment as hereinafter provided, at any time, or from time to time upon the terms and in the manner hereinafter set forth in the shareholder agreement.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had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B Preferred shares were redeemed in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sponsors a stock-based incentive compensation plan known as the 2013 Equity Compensation Plan (the “Plan”), which was established by the Board of Directors of the Company in June 2013. A total of 1,500,000 shares were initially reserved for issuance under the Plan, of which 1,085,000 options have been granted and remain outstanding and 735,105 shares have been granted, but not issued. Of the shares granted but not issued, the Company has committed to retire 295,384 of those shares for cash. The Company has no remaining shares available to grant under the Plan, but intends to amend the Plan to increase the number of shares authorized.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are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Prior to establishment of the Plan, the Board granted options under terms similar to those described in the preceding paragraphs.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2015 and 2014, was $253,358 and $272,804, respectively. No income tax benefit was recognized in the income statement and no compensation was capitalized in any of the years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years ended December 31, 2015 and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2014</w:t>
            </w:r>
          </w:p>
        </w:tc>
        <w:tc>
          <w:tcPr>
            <w:tcW w:w="49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Granted - 2014</w:t>
            </w:r>
          </w:p>
        </w:tc>
        <w:tc>
          <w:tcPr>
            <w:tcW w:w="6180" w:type="dxa"/>
            <w:vAlign w:val="bottom"/>
            <w:gridSpan w:val="3"/>
          </w:tcPr>
          <w:p>
            <w:pPr>
              <w:jc w:val="right"/>
              <w:ind w:right="140"/>
              <w:spacing w:after="0"/>
              <w:rPr>
                <w:sz w:val="20"/>
                <w:szCs w:val="20"/>
                <w:color w:val="auto"/>
              </w:rPr>
            </w:pPr>
            <w:r>
              <w:rPr>
                <w:rFonts w:ascii="Arial" w:cs="Arial" w:eastAsia="Arial" w:hAnsi="Arial"/>
                <w:sz w:val="18"/>
                <w:szCs w:val="18"/>
                <w:color w:val="auto"/>
              </w:rPr>
              <w:t>387,500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- 2014</w:t>
            </w:r>
          </w:p>
        </w:tc>
        <w:tc>
          <w:tcPr>
            <w:tcW w:w="6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Expired – 2014</w:t>
            </w:r>
          </w:p>
        </w:tc>
        <w:tc>
          <w:tcPr>
            <w:tcW w:w="6180" w:type="dxa"/>
            <w:vAlign w:val="bottom"/>
            <w:gridSpan w:val="3"/>
          </w:tcPr>
          <w:p>
            <w:pPr>
              <w:jc w:val="right"/>
              <w:ind w:right="80"/>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2014</w:t>
            </w:r>
          </w:p>
        </w:tc>
        <w:tc>
          <w:tcPr>
            <w:tcW w:w="49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Granted – 2015</w:t>
            </w:r>
          </w:p>
        </w:tc>
        <w:tc>
          <w:tcPr>
            <w:tcW w:w="6180" w:type="dxa"/>
            <w:vAlign w:val="bottom"/>
            <w:gridSpan w:val="3"/>
          </w:tcPr>
          <w:p>
            <w:pPr>
              <w:jc w:val="right"/>
              <w:ind w:right="14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2015</w:t>
            </w:r>
          </w:p>
        </w:tc>
        <w:tc>
          <w:tcPr>
            <w:tcW w:w="6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Expired – 2015</w:t>
            </w:r>
          </w:p>
        </w:tc>
        <w:tc>
          <w:tcPr>
            <w:tcW w:w="49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(242,500)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9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Balance, December 31, 2015</w:t>
            </w:r>
          </w:p>
        </w:tc>
        <w:tc>
          <w:tcPr>
            <w:tcW w:w="49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vMerge w:val="continue"/>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
        </w:trPr>
        <w:tc>
          <w:tcPr>
            <w:tcW w:w="39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jc w:val="right"/>
              <w:ind w:right="4200"/>
              <w:spacing w:after="0"/>
              <w:rPr>
                <w:sz w:val="20"/>
                <w:szCs w:val="20"/>
                <w:color w:val="auto"/>
              </w:rPr>
            </w:pPr>
            <w:r>
              <w:rPr>
                <w:rFonts w:ascii="Arial" w:cs="Arial" w:eastAsia="Arial" w:hAnsi="Arial"/>
                <w:sz w:val="18"/>
                <w:szCs w:val="18"/>
                <w:color w:val="auto"/>
              </w:rPr>
              <w:t>F-23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issued warrants, primarily in connection with capital raising activities. As discussed in Note 9, in 2015, we issued 240,444 warrants, with an exercise price of $0.7875 per share in connection with the strategic investment by WPP. As also discussed in Note 9, in 2014 we issued 804,139 warrants, with an exercise price of $1.20 per share, in connection with a $10 million equity raise, the proceeds of which were used to retire common stock, preferred, stock, and previously existing warrants.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Company had the following warrants outstanding as of December 31, 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Expiration</w:t>
            </w:r>
          </w:p>
        </w:tc>
        <w:tc>
          <w:tcPr>
            <w:tcW w:w="0" w:type="dxa"/>
            <w:vAlign w:val="bottom"/>
          </w:tcPr>
          <w:p>
            <w:pPr>
              <w:spacing w:after="0"/>
              <w:rPr>
                <w:sz w:val="1"/>
                <w:szCs w:val="1"/>
                <w:color w:val="auto"/>
              </w:rPr>
            </w:pPr>
          </w:p>
        </w:tc>
      </w:tr>
      <w:tr>
        <w:trPr>
          <w:trHeight w:val="237"/>
        </w:trPr>
        <w:tc>
          <w:tcPr>
            <w:tcW w:w="8700" w:type="dxa"/>
            <w:vAlign w:val="bottom"/>
            <w:gridSpan w:val="2"/>
          </w:tcPr>
          <w:p>
            <w:pPr>
              <w:spacing w:after="0"/>
              <w:rPr>
                <w:sz w:val="20"/>
                <w:szCs w:val="20"/>
                <w:color w:val="auto"/>
              </w:rPr>
            </w:pPr>
            <w:r>
              <w:rPr>
                <w:rFonts w:ascii="Arial" w:cs="Arial" w:eastAsia="Arial" w:hAnsi="Arial"/>
                <w:sz w:val="18"/>
                <w:szCs w:val="18"/>
                <w:color w:val="auto"/>
              </w:rPr>
              <w:t>Number of Warrants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10/5/2017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50,000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2/17/2016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804,139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3/17/2019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240,444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0.7875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9/24/2020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rPr>
              <w:t>The Company had the following warrant activity during the years ended December 31, 2015 and 2014: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Warrants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804,139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Cancelled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Balance, December 31, 2014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1,854,139</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0.7875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Balance, December 31, 2015</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2,094,583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the lease for its current office space located in Rochester Michigan on December 1, 2011 at an approximate rent of $5,000 per month. The initial lease term was for three years with an option to renew for an additional two years at approximately $5,200 per month. The lease was renewed and now expires on November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rent payments are as follows for the remainder term of the lease: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6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Total lease commitment</w:t>
            </w:r>
          </w:p>
        </w:tc>
        <w:tc>
          <w:tcPr>
            <w:tcW w:w="6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57,217</w:t>
            </w:r>
          </w:p>
        </w:tc>
      </w:tr>
      <w:tr>
        <w:trPr>
          <w:trHeight w:val="21"/>
        </w:trPr>
        <w:tc>
          <w:tcPr>
            <w:tcW w:w="3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jc w:val="right"/>
              <w:ind w:right="4640"/>
              <w:spacing w:after="0"/>
              <w:rPr>
                <w:sz w:val="20"/>
                <w:szCs w:val="20"/>
                <w:color w:val="auto"/>
              </w:rPr>
            </w:pPr>
            <w:r>
              <w:rPr>
                <w:rFonts w:ascii="Arial" w:cs="Arial" w:eastAsia="Arial" w:hAnsi="Arial"/>
                <w:sz w:val="18"/>
                <w:szCs w:val="18"/>
                <w:color w:val="auto"/>
              </w:rPr>
              <w:t>F-24</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major customers that individually accounted for 10% or more of revenue in any one of the years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Eli Lilly and Company</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1,409,720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1,270,064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Alcon Laboratories, Inc.</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958,653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797,972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Astellas Pharma US, Inc.</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341,555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772,320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Daiichi Sanyko, Inc.</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541,201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644,702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521,317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628,741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All other customers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3,448,232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2,389,163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7,220,678</w:t>
            </w:r>
          </w:p>
        </w:tc>
        <w:tc>
          <w:tcPr>
            <w:tcW w:w="142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130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NOTE 15 – INCOME TAXES</w:t>
            </w:r>
          </w:p>
        </w:tc>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1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2015, the Company had net operating loss carry forwards of approximately $9.1 million that expire from 2027 through 2035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w w:val="94"/>
              </w:rPr>
              <w:t>The provision for Federal income tax consists of the following for the years ended December 31, 2015 and 2014: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Federal income tax benefit attributable to:</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(218,000)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vMerge w:val="restart"/>
          </w:tcPr>
          <w:p>
            <w:pPr>
              <w:ind w:left="360"/>
              <w:spacing w:after="0"/>
              <w:rPr>
                <w:sz w:val="20"/>
                <w:szCs w:val="20"/>
                <w:color w:val="auto"/>
              </w:rPr>
            </w:pPr>
            <w:r>
              <w:rPr>
                <w:rFonts w:ascii="Arial" w:cs="Arial" w:eastAsia="Arial" w:hAnsi="Arial"/>
                <w:sz w:val="18"/>
                <w:szCs w:val="18"/>
                <w:color w:val="auto"/>
              </w:rPr>
              <w:t>Net provision for federal income tax</w:t>
            </w: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vMerge w:val="continue"/>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2015 and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Deferred tax asset attributable to:</w:t>
            </w: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carryover</w:t>
            </w:r>
          </w:p>
        </w:tc>
        <w:tc>
          <w:tcPr>
            <w:tcW w:w="3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3,110,000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3,126,000</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(3,110,000)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(3,126,000)</w:t>
            </w:r>
          </w:p>
        </w:tc>
        <w:tc>
          <w:tcPr>
            <w:tcW w:w="0" w:type="dxa"/>
            <w:vAlign w:val="bottom"/>
          </w:tcPr>
          <w:p>
            <w:pPr>
              <w:spacing w:after="0"/>
              <w:rPr>
                <w:sz w:val="1"/>
                <w:szCs w:val="1"/>
                <w:color w:val="auto"/>
              </w:rPr>
            </w:pPr>
          </w:p>
        </w:tc>
      </w:tr>
      <w:tr>
        <w:trPr>
          <w:trHeight w:val="27"/>
        </w:trPr>
        <w:tc>
          <w:tcPr>
            <w:tcW w:w="56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deferred tax asset</w:t>
            </w:r>
          </w:p>
        </w:tc>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shd w:val="clear" w:color="auto" w:fill="CCEEFF"/>
          </w:tcPr>
          <w:p>
            <w:pPr>
              <w:spacing w:after="0"/>
              <w:rPr>
                <w:sz w:val="21"/>
                <w:szCs w:val="21"/>
                <w:color w:val="auto"/>
              </w:rPr>
            </w:pPr>
          </w:p>
        </w:tc>
        <w:tc>
          <w:tcPr>
            <w:tcW w:w="3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56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the fundraising activities of 2014 and 2015 have resulted in such an ownership change.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2014, we initiated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to prevent Mr. Stastney from continuing to pursue his claims. Mr. Stastney has filed a counterclaim requesting damages in the amount of at least $450,000 related to the nonregistration of his shares. The parties are currently in the discovery process and a dispositive motion has been filed by Mr. Stastney. We are in the process of preparing our response to the motion.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to resolve previous litigation with LDM. LDM breached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filed a motion to dismissal of our claims except those for breach of contract. In January, the Court dismissed two of six claims asserted against LDM and PDR but allowed the remainder of our claims to continue forward. The parties are currently engaged in in the discovery process.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CONTINGENT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benefits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Company hired a new CEO. The previous CEO will terminate as an employee effective March 31, 2016, but remain non-executive chairman of the Board. In connection with his separation from service, he will receive severance pay of 24 months, totaling approximately $405,000 and the Company will redeem 595,384 unissued common shares owing to him for an additional payment of $720,415. This includes the 300,000 shares described in Note 8, related party transactions, and 295,384 shares currently reflected in stock payable on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Allscripts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we signed an amendment to our Allscripts agreement whereby we became its exclusive eCoupon supplier and Allscripts agreed to integrate our eCoupon functionality into its Touchworks platform. Under the terms of this agreement, we agreed to pay $900,000 in two installments. The first installment of $250,000 was due and paid in November 2015. The second installment of $650,000 is due when the e-Coupon functionality is launched on a widespread basis in the Touchworks platform, which is currently expected to be in early 2017. If e-Coupon functionality is not launched by February, 2018, the initial payment of $250,000 will be refunded.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NOTE 17 – RETIREMENT PLAN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no expense under this plan in either 2014 or 2015, as the plan became effective in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2015 through the date these financial statements were issued and has determined that it does not have any material subsequent events to disclose in these financial statements other than the events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2016, we made the payment of $720,415 described in more detail in Note 16 to redeem shares of stock due to our former CEO.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Until September 15, 2016 (90 days from date of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OPTIMIZERX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982,472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3546475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3"/>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lvl w:ilvl="1">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6"/>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lvl w:ilvl="1">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2019-12-08T18:49:13Z</dcterms:created>
  <dcterms:modified xsi:type="dcterms:W3CDTF">2019-12-08T18:49:13Z</dcterms:modified>
</cp:coreProperties>
</file>