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[X]  Quarterly Report pursuant to Section 13 or 15(d) of the Securities Exchange Act of 1934</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u w:val="single" w:color="auto"/>
          <w:color w:val="auto"/>
        </w:rPr>
        <w:t>March 31, 2012</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060" w:type="dxa"/>
            <w:vAlign w:val="bottom"/>
            <w:gridSpan w:val="5"/>
          </w:tcPr>
          <w:p>
            <w:pPr>
              <w:spacing w:after="0"/>
              <w:rPr>
                <w:sz w:val="20"/>
                <w:szCs w:val="20"/>
                <w:color w:val="auto"/>
              </w:rPr>
            </w:pPr>
            <w:r>
              <w:rPr>
                <w:rFonts w:ascii="Arial" w:cs="Arial" w:eastAsia="Arial" w:hAnsi="Arial"/>
                <w:sz w:val="18"/>
                <w:szCs w:val="18"/>
                <w:color w:val="auto"/>
              </w:rPr>
              <w:t>[ ]  Transition Report pursuant to 13 or 15(d) of the Securities Exchange Act of 1934</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2"/>
        </w:trPr>
        <w:tc>
          <w:tcPr>
            <w:tcW w:w="2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20" w:type="dxa"/>
            <w:vAlign w:val="bottom"/>
            <w:gridSpan w:val="2"/>
          </w:tcPr>
          <w:p>
            <w:pPr>
              <w:ind w:left="140"/>
              <w:spacing w:after="0"/>
              <w:rPr>
                <w:sz w:val="20"/>
                <w:szCs w:val="20"/>
                <w:color w:val="auto"/>
              </w:rPr>
            </w:pPr>
            <w:r>
              <w:rPr>
                <w:rFonts w:ascii="Arial" w:cs="Arial" w:eastAsia="Arial" w:hAnsi="Arial"/>
                <w:sz w:val="18"/>
                <w:szCs w:val="18"/>
                <w:color w:val="auto"/>
                <w:w w:val="93"/>
              </w:rPr>
              <w:t>For the transition period from</w:t>
            </w:r>
          </w:p>
        </w:tc>
        <w:tc>
          <w:tcPr>
            <w:tcW w:w="2760" w:type="dxa"/>
            <w:vAlign w:val="bottom"/>
            <w:gridSpan w:val="5"/>
          </w:tcPr>
          <w:p>
            <w:pPr>
              <w:jc w:val="right"/>
              <w:ind w:right="680"/>
              <w:spacing w:after="0"/>
              <w:rPr>
                <w:sz w:val="20"/>
                <w:szCs w:val="20"/>
                <w:color w:val="auto"/>
              </w:rPr>
            </w:pPr>
            <w:r>
              <w:rPr>
                <w:rFonts w:ascii="Arial" w:cs="Arial" w:eastAsia="Arial" w:hAnsi="Arial"/>
                <w:sz w:val="18"/>
                <w:szCs w:val="18"/>
                <w:color w:val="auto"/>
                <w:w w:val="91"/>
              </w:rPr>
              <w:t>__________ to __________</w:t>
            </w:r>
          </w:p>
        </w:tc>
      </w:tr>
      <w:tr>
        <w:trPr>
          <w:trHeight w:val="194"/>
        </w:trPr>
        <w:tc>
          <w:tcPr>
            <w:tcW w:w="2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80" w:type="dxa"/>
            <w:vAlign w:val="bottom"/>
            <w:gridSpan w:val="7"/>
          </w:tcPr>
          <w:p>
            <w:pPr>
              <w:jc w:val="right"/>
              <w:ind w:right="680"/>
              <w:spacing w:after="0" w:line="194" w:lineRule="exact"/>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000-53605</w:t>
            </w:r>
          </w:p>
        </w:tc>
      </w:tr>
      <w:tr>
        <w:trPr>
          <w:trHeight w:val="412"/>
        </w:trPr>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OptimizeRx Corporation</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20"/>
        </w:trPr>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37"/>
        </w:trPr>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60" w:type="dxa"/>
            <w:vAlign w:val="bottom"/>
            <w:gridSpan w:val="8"/>
          </w:tcPr>
          <w:p>
            <w:pPr>
              <w:jc w:val="center"/>
              <w:ind w:right="154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92"/>
        </w:trPr>
        <w:tc>
          <w:tcPr>
            <w:tcW w:w="25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3900" w:type="dxa"/>
            <w:vAlign w:val="bottom"/>
            <w:gridSpan w:val="3"/>
          </w:tcPr>
          <w:p>
            <w:pPr>
              <w:spacing w:after="0"/>
              <w:rPr>
                <w:sz w:val="24"/>
                <w:szCs w:val="24"/>
                <w:color w:val="auto"/>
              </w:rPr>
            </w:pPr>
          </w:p>
        </w:tc>
        <w:tc>
          <w:tcPr>
            <w:tcW w:w="20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26-1265381</w:t>
            </w:r>
          </w:p>
        </w:tc>
        <w:tc>
          <w:tcPr>
            <w:tcW w:w="680" w:type="dxa"/>
            <w:vAlign w:val="bottom"/>
          </w:tcPr>
          <w:p>
            <w:pPr>
              <w:spacing w:after="0"/>
              <w:rPr>
                <w:sz w:val="24"/>
                <w:szCs w:val="24"/>
                <w:color w:val="auto"/>
              </w:rPr>
            </w:pPr>
          </w:p>
        </w:tc>
      </w:tr>
      <w:tr>
        <w:trPr>
          <w:trHeight w:val="20"/>
        </w:trPr>
        <w:tc>
          <w:tcPr>
            <w:tcW w:w="2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37"/>
        </w:trPr>
        <w:tc>
          <w:tcPr>
            <w:tcW w:w="7060" w:type="dxa"/>
            <w:vAlign w:val="bottom"/>
            <w:gridSpan w:val="5"/>
          </w:tcPr>
          <w:p>
            <w:pPr>
              <w:jc w:val="center"/>
              <w:ind w:right="13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760" w:type="dxa"/>
            <w:vAlign w:val="bottom"/>
            <w:gridSpan w:val="5"/>
          </w:tcPr>
          <w:p>
            <w:pPr>
              <w:ind w:left="280"/>
              <w:spacing w:after="0"/>
              <w:rPr>
                <w:sz w:val="20"/>
                <w:szCs w:val="20"/>
                <w:color w:val="auto"/>
              </w:rPr>
            </w:pPr>
            <w:r>
              <w:rPr>
                <w:rFonts w:ascii="Arial" w:cs="Arial" w:eastAsia="Arial" w:hAnsi="Arial"/>
                <w:sz w:val="18"/>
                <w:szCs w:val="18"/>
                <w:color w:val="auto"/>
                <w:w w:val="93"/>
              </w:rPr>
              <w:t>(IRS Employer Identification No.)</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407 6th Street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Rochester, MI, 48307</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248-651-6568</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w:t>
      </w:r>
    </w:p>
    <w:p>
      <w:pPr>
        <w:spacing w:after="0" w:line="211"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[X] Yes  [ ] No</w:t>
      </w:r>
    </w:p>
    <w:p>
      <w:pPr>
        <w:spacing w:after="0" w:line="21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 ] No [X]</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360"/>
          </w:cols>
          <w:pgMar w:left="240" w:top="233" w:right="299" w:bottom="1440" w:gutter="0" w:footer="0" w:header="0"/>
        </w:sectPr>
      </w:pPr>
    </w:p>
    <w:p>
      <w:pPr>
        <w:spacing w:after="0" w:line="237" w:lineRule="exact"/>
        <w:rPr>
          <w:sz w:val="24"/>
          <w:szCs w:val="24"/>
          <w:color w:val="auto"/>
        </w:rPr>
      </w:pPr>
    </w:p>
    <w:p>
      <w:pPr>
        <w:ind w:right="1920"/>
        <w:spacing w:after="0" w:line="277" w:lineRule="auto"/>
        <w:rPr>
          <w:sz w:val="20"/>
          <w:szCs w:val="20"/>
          <w:color w:val="auto"/>
        </w:rPr>
      </w:pPr>
      <w:r>
        <w:rPr>
          <w:rFonts w:ascii="Arial" w:cs="Arial" w:eastAsia="Arial" w:hAnsi="Arial"/>
          <w:sz w:val="18"/>
          <w:szCs w:val="18"/>
          <w:color w:val="auto"/>
        </w:rPr>
        <w:t>[ ] Large accelerated filer Accelerated filer [X] 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 ] Non-accelerated filer</w:t>
      </w:r>
    </w:p>
    <w:p>
      <w:pPr>
        <w:spacing w:after="0" w:line="463" w:lineRule="exact"/>
        <w:rPr>
          <w:sz w:val="24"/>
          <w:szCs w:val="24"/>
          <w:color w:val="auto"/>
        </w:rPr>
      </w:pPr>
    </w:p>
    <w:p>
      <w:pPr>
        <w:sectPr>
          <w:pgSz w:w="11900" w:h="16838" w:orient="portrait"/>
          <w:cols w:equalWidth="0" w:num="2">
            <w:col w:w="5000" w:space="720"/>
            <w:col w:w="5640"/>
          </w:cols>
          <w:pgMar w:left="240" w:top="233" w:right="29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State the number of shares outstanding of each of the issuer’s classes of common stock, as of the latest practicable date: 14,192,496 as of March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auto"/>
              </w:rPr>
              <w:t>TABLE OF CONTENTS</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750"/>
        </w:trPr>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Page</w:t>
            </w:r>
          </w:p>
        </w:tc>
        <w:tc>
          <w:tcPr>
            <w:tcW w:w="1440" w:type="dxa"/>
            <w:vAlign w:val="bottom"/>
          </w:tcPr>
          <w:p>
            <w:pPr>
              <w:spacing w:after="0"/>
              <w:rPr>
                <w:sz w:val="24"/>
                <w:szCs w:val="24"/>
                <w:color w:val="auto"/>
              </w:rPr>
            </w:pPr>
          </w:p>
        </w:tc>
      </w:tr>
      <w:tr>
        <w:trPr>
          <w:trHeight w:val="412"/>
        </w:trPr>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20" w:type="dxa"/>
            <w:vAlign w:val="bottom"/>
            <w:gridSpan w:val="10"/>
          </w:tcPr>
          <w:p>
            <w:pPr>
              <w:jc w:val="center"/>
              <w:ind w:right="1980"/>
              <w:spacing w:after="0"/>
              <w:rPr>
                <w:sz w:val="20"/>
                <w:szCs w:val="20"/>
                <w:color w:val="auto"/>
              </w:rPr>
            </w:pPr>
            <w:r>
              <w:rPr>
                <w:rFonts w:ascii="Arial" w:cs="Arial" w:eastAsia="Arial" w:hAnsi="Arial"/>
                <w:sz w:val="18"/>
                <w:szCs w:val="18"/>
                <w:color w:val="auto"/>
                <w:w w:val="98"/>
              </w:rPr>
              <w:t>PART I – FINANCIAL INFORMATION</w:t>
            </w:r>
          </w:p>
        </w:tc>
        <w:tc>
          <w:tcPr>
            <w:tcW w:w="3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7"/>
        </w:trPr>
        <w:tc>
          <w:tcPr>
            <w:tcW w:w="1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76"/>
        </w:trPr>
        <w:tc>
          <w:tcPr>
            <w:tcW w:w="1440" w:type="dxa"/>
            <w:vAlign w:val="bottom"/>
          </w:tcPr>
          <w:p>
            <w:pPr>
              <w:spacing w:after="0"/>
              <w:rPr>
                <w:sz w:val="15"/>
                <w:szCs w:val="15"/>
                <w:color w:val="auto"/>
              </w:rPr>
            </w:pPr>
          </w:p>
        </w:tc>
        <w:tc>
          <w:tcPr>
            <w:tcW w:w="1200" w:type="dxa"/>
            <w:vAlign w:val="bottom"/>
            <w:shd w:val="clear" w:color="auto" w:fill="CCEECC"/>
          </w:tcPr>
          <w:p>
            <w:pPr>
              <w:spacing w:after="0" w:line="176" w:lineRule="exact"/>
              <w:rPr>
                <w:sz w:val="20"/>
                <w:szCs w:val="20"/>
                <w:color w:val="auto"/>
              </w:rPr>
            </w:pPr>
            <w:r>
              <w:rPr>
                <w:rFonts w:ascii="Arial" w:cs="Arial" w:eastAsia="Arial" w:hAnsi="Arial"/>
                <w:sz w:val="18"/>
                <w:szCs w:val="18"/>
                <w:color w:val="auto"/>
              </w:rPr>
              <w:t>Item 1:</w:t>
            </w:r>
          </w:p>
        </w:tc>
        <w:tc>
          <w:tcPr>
            <w:tcW w:w="6620" w:type="dxa"/>
            <w:vAlign w:val="bottom"/>
            <w:gridSpan w:val="16"/>
            <w:shd w:val="clear" w:color="auto" w:fill="CCEECC"/>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40" w:type="dxa"/>
            <w:vAlign w:val="bottom"/>
            <w:shd w:val="clear" w:color="auto" w:fill="CCEECC"/>
          </w:tcPr>
          <w:p>
            <w:pPr>
              <w:jc w:val="center"/>
              <w:spacing w:after="0" w:line="176" w:lineRule="exact"/>
              <w:rPr>
                <w:sz w:val="20"/>
                <w:szCs w:val="20"/>
                <w:color w:val="auto"/>
              </w:rPr>
            </w:pPr>
            <w:r>
              <w:rPr>
                <w:rFonts w:ascii="Arial" w:cs="Arial" w:eastAsia="Arial" w:hAnsi="Arial"/>
                <w:sz w:val="18"/>
                <w:szCs w:val="18"/>
                <w:color w:val="auto"/>
                <w:w w:val="99"/>
              </w:rPr>
              <w:t>3</w:t>
            </w:r>
          </w:p>
        </w:tc>
        <w:tc>
          <w:tcPr>
            <w:tcW w:w="380" w:type="dxa"/>
            <w:vAlign w:val="bottom"/>
            <w:shd w:val="clear" w:color="auto" w:fill="CCEECC"/>
          </w:tcPr>
          <w:p>
            <w:pPr>
              <w:spacing w:after="0"/>
              <w:rPr>
                <w:sz w:val="15"/>
                <w:szCs w:val="15"/>
                <w:color w:val="auto"/>
              </w:rPr>
            </w:pPr>
          </w:p>
        </w:tc>
        <w:tc>
          <w:tcPr>
            <w:tcW w:w="1440" w:type="dxa"/>
            <w:vAlign w:val="bottom"/>
          </w:tcPr>
          <w:p>
            <w:pPr>
              <w:spacing w:after="0"/>
              <w:rPr>
                <w:sz w:val="15"/>
                <w:szCs w:val="15"/>
                <w:color w:val="auto"/>
              </w:rPr>
            </w:pPr>
          </w:p>
        </w:tc>
      </w:tr>
      <w:tr>
        <w:trPr>
          <w:trHeight w:val="21"/>
        </w:trPr>
        <w:tc>
          <w:tcPr>
            <w:tcW w:w="1440" w:type="dxa"/>
            <w:vAlign w:val="bottom"/>
          </w:tcPr>
          <w:p>
            <w:pPr>
              <w:spacing w:after="0" w:line="20" w:lineRule="exact"/>
              <w:rPr>
                <w:sz w:val="1"/>
                <w:szCs w:val="1"/>
                <w:color w:val="auto"/>
              </w:rPr>
            </w:pPr>
          </w:p>
        </w:tc>
        <w:tc>
          <w:tcPr>
            <w:tcW w:w="1200" w:type="dxa"/>
            <w:vAlign w:val="bottom"/>
            <w:tcBorders>
              <w:top w:val="single" w:sz="8" w:color="CCEECC"/>
            </w:tcBorders>
            <w:shd w:val="clear" w:color="auto" w:fill="CCEECC"/>
          </w:tcPr>
          <w:p>
            <w:pPr>
              <w:spacing w:after="0" w:line="20" w:lineRule="exact"/>
              <w:rPr>
                <w:sz w:val="1"/>
                <w:szCs w:val="1"/>
                <w:color w:val="auto"/>
              </w:rPr>
            </w:pPr>
          </w:p>
        </w:tc>
        <w:tc>
          <w:tcPr>
            <w:tcW w:w="600" w:type="dxa"/>
            <w:vAlign w:val="bottom"/>
            <w:tcBorders>
              <w:top w:val="single" w:sz="8" w:color="0000EE"/>
            </w:tcBorders>
            <w:shd w:val="clear" w:color="auto" w:fill="CCEECC"/>
          </w:tcPr>
          <w:p>
            <w:pPr>
              <w:spacing w:after="0" w:line="20" w:lineRule="exact"/>
              <w:rPr>
                <w:sz w:val="1"/>
                <w:szCs w:val="1"/>
                <w:color w:val="auto"/>
              </w:rPr>
            </w:pPr>
          </w:p>
        </w:tc>
        <w:tc>
          <w:tcPr>
            <w:tcW w:w="200" w:type="dxa"/>
            <w:vAlign w:val="bottom"/>
            <w:tcBorders>
              <w:top w:val="single" w:sz="8" w:color="0000EE"/>
            </w:tcBorders>
            <w:shd w:val="clear" w:color="auto" w:fill="CCEECC"/>
          </w:tcPr>
          <w:p>
            <w:pPr>
              <w:spacing w:after="0" w:line="20" w:lineRule="exact"/>
              <w:rPr>
                <w:sz w:val="1"/>
                <w:szCs w:val="1"/>
                <w:color w:val="auto"/>
              </w:rPr>
            </w:pPr>
          </w:p>
        </w:tc>
        <w:tc>
          <w:tcPr>
            <w:tcW w:w="100" w:type="dxa"/>
            <w:vAlign w:val="bottom"/>
            <w:tcBorders>
              <w:top w:val="single" w:sz="8" w:color="0000EE"/>
            </w:tcBorders>
            <w:shd w:val="clear" w:color="auto" w:fill="CCEECC"/>
          </w:tcPr>
          <w:p>
            <w:pPr>
              <w:spacing w:after="0" w:line="20" w:lineRule="exact"/>
              <w:rPr>
                <w:sz w:val="1"/>
                <w:szCs w:val="1"/>
                <w:color w:val="auto"/>
              </w:rPr>
            </w:pPr>
          </w:p>
        </w:tc>
        <w:tc>
          <w:tcPr>
            <w:tcW w:w="42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160" w:type="dxa"/>
            <w:vAlign w:val="bottom"/>
            <w:tcBorders>
              <w:top w:val="single" w:sz="8" w:color="0000EE"/>
            </w:tcBorders>
            <w:shd w:val="clear" w:color="auto" w:fill="CCEECC"/>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12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420" w:type="dxa"/>
            <w:vAlign w:val="bottom"/>
            <w:tcBorders>
              <w:top w:val="single" w:sz="8" w:color="CCEECC"/>
            </w:tcBorders>
            <w:shd w:val="clear" w:color="auto" w:fill="CCEECC"/>
          </w:tcPr>
          <w:p>
            <w:pPr>
              <w:spacing w:after="0" w:line="20" w:lineRule="exact"/>
              <w:rPr>
                <w:sz w:val="1"/>
                <w:szCs w:val="1"/>
                <w:color w:val="auto"/>
              </w:rPr>
            </w:pPr>
          </w:p>
        </w:tc>
        <w:tc>
          <w:tcPr>
            <w:tcW w:w="120" w:type="dxa"/>
            <w:vAlign w:val="bottom"/>
            <w:tcBorders>
              <w:top w:val="single" w:sz="8" w:color="CCEECC"/>
            </w:tcBorders>
            <w:shd w:val="clear" w:color="auto" w:fill="CCEECC"/>
          </w:tcPr>
          <w:p>
            <w:pPr>
              <w:spacing w:after="0" w:line="20" w:lineRule="exact"/>
              <w:rPr>
                <w:sz w:val="1"/>
                <w:szCs w:val="1"/>
                <w:color w:val="auto"/>
              </w:rPr>
            </w:pPr>
          </w:p>
        </w:tc>
        <w:tc>
          <w:tcPr>
            <w:tcW w:w="1720" w:type="dxa"/>
            <w:vAlign w:val="bottom"/>
            <w:tcBorders>
              <w:top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CCEECC"/>
            </w:tcBorders>
            <w:shd w:val="clear" w:color="auto" w:fill="CCEECC"/>
          </w:tcPr>
          <w:p>
            <w:pPr>
              <w:spacing w:after="0" w:line="20" w:lineRule="exact"/>
              <w:rPr>
                <w:sz w:val="1"/>
                <w:szCs w:val="1"/>
                <w:color w:val="auto"/>
              </w:rPr>
            </w:pPr>
          </w:p>
        </w:tc>
        <w:tc>
          <w:tcPr>
            <w:tcW w:w="200" w:type="dxa"/>
            <w:vAlign w:val="bottom"/>
            <w:tcBorders>
              <w:top w:val="single" w:sz="8" w:color="CCEECC"/>
            </w:tcBorders>
            <w:shd w:val="clear" w:color="auto" w:fill="CCEECC"/>
          </w:tcPr>
          <w:p>
            <w:pPr>
              <w:spacing w:after="0" w:line="20" w:lineRule="exact"/>
              <w:rPr>
                <w:sz w:val="1"/>
                <w:szCs w:val="1"/>
                <w:color w:val="auto"/>
              </w:rPr>
            </w:pPr>
          </w:p>
        </w:tc>
        <w:tc>
          <w:tcPr>
            <w:tcW w:w="1060" w:type="dxa"/>
            <w:vAlign w:val="bottom"/>
            <w:tcBorders>
              <w:top w:val="single" w:sz="8" w:color="CCEECC"/>
            </w:tcBorders>
            <w:shd w:val="clear" w:color="auto" w:fill="CCEECC"/>
          </w:tcPr>
          <w:p>
            <w:pPr>
              <w:spacing w:after="0" w:line="20" w:lineRule="exact"/>
              <w:rPr>
                <w:sz w:val="1"/>
                <w:szCs w:val="1"/>
                <w:color w:val="auto"/>
              </w:rPr>
            </w:pPr>
          </w:p>
        </w:tc>
        <w:tc>
          <w:tcPr>
            <w:tcW w:w="100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CCEECC"/>
            </w:tcBorders>
            <w:shd w:val="clear" w:color="auto" w:fill="CCEECC"/>
          </w:tcPr>
          <w:p>
            <w:pPr>
              <w:spacing w:after="0" w:line="20" w:lineRule="exact"/>
              <w:rPr>
                <w:sz w:val="1"/>
                <w:szCs w:val="1"/>
                <w:color w:val="auto"/>
              </w:rPr>
            </w:pPr>
          </w:p>
        </w:tc>
        <w:tc>
          <w:tcPr>
            <w:tcW w:w="380" w:type="dxa"/>
            <w:vAlign w:val="bottom"/>
            <w:tcBorders>
              <w:top w:val="single" w:sz="8" w:color="CCEECC"/>
            </w:tcBorders>
            <w:shd w:val="clear" w:color="auto" w:fill="CCEECC"/>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76"/>
        </w:trPr>
        <w:tc>
          <w:tcPr>
            <w:tcW w:w="1440" w:type="dxa"/>
            <w:vAlign w:val="bottom"/>
          </w:tcPr>
          <w:p>
            <w:pPr>
              <w:spacing w:after="0"/>
              <w:rPr>
                <w:sz w:val="15"/>
                <w:szCs w:val="15"/>
                <w:color w:val="auto"/>
              </w:rPr>
            </w:pPr>
          </w:p>
        </w:tc>
        <w:tc>
          <w:tcPr>
            <w:tcW w:w="120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6620" w:type="dxa"/>
            <w:vAlign w:val="bottom"/>
            <w:gridSpan w:val="16"/>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w:t>
              </w:r>
            </w:hyperlink>
          </w:p>
        </w:tc>
        <w:tc>
          <w:tcPr>
            <w:tcW w:w="34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Operations</w:t>
              </w:r>
            </w:hyperlink>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
        </w:trPr>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1200" w:type="dxa"/>
            <w:vAlign w:val="bottom"/>
            <w:shd w:val="clear" w:color="auto" w:fill="CCEECC"/>
          </w:tcPr>
          <w:p>
            <w:pPr>
              <w:spacing w:after="0" w:line="176" w:lineRule="exact"/>
              <w:rPr>
                <w:sz w:val="20"/>
                <w:szCs w:val="20"/>
                <w:color w:val="auto"/>
              </w:rPr>
            </w:pPr>
            <w:r>
              <w:rPr>
                <w:rFonts w:ascii="Arial" w:cs="Arial" w:eastAsia="Arial" w:hAnsi="Arial"/>
                <w:sz w:val="18"/>
                <w:szCs w:val="18"/>
                <w:color w:val="auto"/>
              </w:rPr>
              <w:t>Item 3:</w:t>
            </w:r>
          </w:p>
        </w:tc>
        <w:tc>
          <w:tcPr>
            <w:tcW w:w="6620" w:type="dxa"/>
            <w:vAlign w:val="bottom"/>
            <w:gridSpan w:val="16"/>
            <w:shd w:val="clear" w:color="auto" w:fill="CCEECC"/>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340" w:type="dxa"/>
            <w:vAlign w:val="bottom"/>
            <w:shd w:val="clear" w:color="auto" w:fill="CCEECC"/>
          </w:tcPr>
          <w:p>
            <w:pPr>
              <w:jc w:val="center"/>
              <w:spacing w:after="0" w:line="176" w:lineRule="exact"/>
              <w:rPr>
                <w:sz w:val="20"/>
                <w:szCs w:val="20"/>
                <w:color w:val="auto"/>
              </w:rPr>
            </w:pPr>
            <w:r>
              <w:rPr>
                <w:rFonts w:ascii="Arial" w:cs="Arial" w:eastAsia="Arial" w:hAnsi="Arial"/>
                <w:sz w:val="18"/>
                <w:szCs w:val="18"/>
                <w:color w:val="auto"/>
                <w:w w:val="99"/>
              </w:rPr>
              <w:t>9</w:t>
            </w:r>
          </w:p>
        </w:tc>
        <w:tc>
          <w:tcPr>
            <w:tcW w:w="380" w:type="dxa"/>
            <w:vAlign w:val="bottom"/>
            <w:shd w:val="clear" w:color="auto" w:fill="CCEECC"/>
          </w:tcPr>
          <w:p>
            <w:pPr>
              <w:spacing w:after="0"/>
              <w:rPr>
                <w:sz w:val="17"/>
                <w:szCs w:val="17"/>
                <w:color w:val="auto"/>
              </w:rPr>
            </w:pPr>
          </w:p>
        </w:tc>
        <w:tc>
          <w:tcPr>
            <w:tcW w:w="1440" w:type="dxa"/>
            <w:vAlign w:val="bottom"/>
          </w:tcPr>
          <w:p>
            <w:pPr>
              <w:spacing w:after="0"/>
              <w:rPr>
                <w:sz w:val="17"/>
                <w:szCs w:val="17"/>
                <w:color w:val="auto"/>
              </w:rPr>
            </w:pPr>
          </w:p>
        </w:tc>
      </w:tr>
      <w:tr>
        <w:trPr>
          <w:trHeight w:val="176"/>
        </w:trPr>
        <w:tc>
          <w:tcPr>
            <w:tcW w:w="1440" w:type="dxa"/>
            <w:vAlign w:val="bottom"/>
          </w:tcPr>
          <w:p>
            <w:pPr>
              <w:spacing w:after="0"/>
              <w:rPr>
                <w:sz w:val="15"/>
                <w:szCs w:val="15"/>
                <w:color w:val="auto"/>
              </w:rPr>
            </w:pPr>
          </w:p>
        </w:tc>
        <w:tc>
          <w:tcPr>
            <w:tcW w:w="1200" w:type="dxa"/>
            <w:vAlign w:val="bottom"/>
            <w:tcBorders>
              <w:top w:val="single" w:sz="8" w:color="CCEECC"/>
            </w:tcBorders>
          </w:tcPr>
          <w:p>
            <w:pPr>
              <w:spacing w:after="0" w:line="176" w:lineRule="exact"/>
              <w:rPr>
                <w:sz w:val="20"/>
                <w:szCs w:val="20"/>
                <w:color w:val="auto"/>
              </w:rPr>
            </w:pPr>
            <w:r>
              <w:rPr>
                <w:rFonts w:ascii="Arial" w:cs="Arial" w:eastAsia="Arial" w:hAnsi="Arial"/>
                <w:sz w:val="18"/>
                <w:szCs w:val="18"/>
                <w:color w:val="auto"/>
              </w:rPr>
              <w:t>Item 4:</w:t>
            </w:r>
          </w:p>
        </w:tc>
        <w:tc>
          <w:tcPr>
            <w:tcW w:w="436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2260" w:type="dxa"/>
            <w:vAlign w:val="bottom"/>
            <w:tcBorders>
              <w:top w:val="single" w:sz="8" w:color="CCEECC"/>
            </w:tcBorders>
            <w:gridSpan w:val="3"/>
          </w:tcPr>
          <w:p>
            <w:pPr>
              <w:spacing w:after="0"/>
              <w:rPr>
                <w:sz w:val="15"/>
                <w:szCs w:val="15"/>
                <w:color w:val="auto"/>
              </w:rPr>
            </w:pPr>
          </w:p>
        </w:tc>
        <w:tc>
          <w:tcPr>
            <w:tcW w:w="340" w:type="dxa"/>
            <w:vAlign w:val="bottom"/>
            <w:tcBorders>
              <w:top w:val="single" w:sz="8" w:color="CCEECC"/>
            </w:tcBorders>
          </w:tcPr>
          <w:p>
            <w:pPr>
              <w:jc w:val="center"/>
              <w:spacing w:after="0" w:line="176" w:lineRule="exact"/>
              <w:rPr>
                <w:sz w:val="20"/>
                <w:szCs w:val="20"/>
                <w:color w:val="auto"/>
              </w:rPr>
            </w:pPr>
            <w:r>
              <w:rPr>
                <w:rFonts w:ascii="Arial" w:cs="Arial" w:eastAsia="Arial" w:hAnsi="Arial"/>
                <w:sz w:val="18"/>
                <w:szCs w:val="18"/>
                <w:color w:val="auto"/>
                <w:w w:val="99"/>
              </w:rPr>
              <w:t>9</w:t>
            </w:r>
          </w:p>
        </w:tc>
        <w:tc>
          <w:tcPr>
            <w:tcW w:w="380" w:type="dxa"/>
            <w:vAlign w:val="bottom"/>
            <w:tcBorders>
              <w:top w:val="single" w:sz="8" w:color="CCEECC"/>
            </w:tcBorders>
          </w:tcPr>
          <w:p>
            <w:pPr>
              <w:spacing w:after="0"/>
              <w:rPr>
                <w:sz w:val="15"/>
                <w:szCs w:val="15"/>
                <w:color w:val="auto"/>
              </w:rPr>
            </w:pPr>
          </w:p>
        </w:tc>
        <w:tc>
          <w:tcPr>
            <w:tcW w:w="1440" w:type="dxa"/>
            <w:vAlign w:val="bottom"/>
          </w:tcPr>
          <w:p>
            <w:pPr>
              <w:spacing w:after="0"/>
              <w:rPr>
                <w:sz w:val="15"/>
                <w:szCs w:val="15"/>
                <w:color w:val="auto"/>
              </w:rPr>
            </w:pPr>
          </w:p>
        </w:tc>
      </w:tr>
      <w:tr>
        <w:trPr>
          <w:trHeight w:val="21"/>
        </w:trPr>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32"/>
        </w:trPr>
        <w:tc>
          <w:tcPr>
            <w:tcW w:w="1440" w:type="dxa"/>
            <w:vAlign w:val="bottom"/>
          </w:tcPr>
          <w:p>
            <w:pPr>
              <w:spacing w:after="0"/>
              <w:rPr>
                <w:sz w:val="24"/>
                <w:szCs w:val="24"/>
                <w:color w:val="auto"/>
              </w:rPr>
            </w:pPr>
          </w:p>
        </w:tc>
        <w:tc>
          <w:tcPr>
            <w:tcW w:w="1200" w:type="dxa"/>
            <w:vAlign w:val="bottom"/>
            <w:shd w:val="clear" w:color="auto" w:fill="CCEECC"/>
          </w:tcPr>
          <w:p>
            <w:pPr>
              <w:spacing w:after="0"/>
              <w:rPr>
                <w:sz w:val="24"/>
                <w:szCs w:val="24"/>
                <w:color w:val="auto"/>
              </w:rPr>
            </w:pPr>
          </w:p>
        </w:tc>
        <w:tc>
          <w:tcPr>
            <w:tcW w:w="600" w:type="dxa"/>
            <w:vAlign w:val="bottom"/>
            <w:shd w:val="clear" w:color="auto" w:fill="CCEECC"/>
          </w:tcPr>
          <w:p>
            <w:pPr>
              <w:spacing w:after="0"/>
              <w:rPr>
                <w:sz w:val="24"/>
                <w:szCs w:val="24"/>
                <w:color w:val="auto"/>
              </w:rPr>
            </w:pPr>
          </w:p>
        </w:tc>
        <w:tc>
          <w:tcPr>
            <w:tcW w:w="200" w:type="dxa"/>
            <w:vAlign w:val="bottom"/>
            <w:shd w:val="clear" w:color="auto" w:fill="CCEECC"/>
          </w:tcPr>
          <w:p>
            <w:pPr>
              <w:spacing w:after="0"/>
              <w:rPr>
                <w:sz w:val="24"/>
                <w:szCs w:val="24"/>
                <w:color w:val="auto"/>
              </w:rPr>
            </w:pPr>
          </w:p>
        </w:tc>
        <w:tc>
          <w:tcPr>
            <w:tcW w:w="100" w:type="dxa"/>
            <w:vAlign w:val="bottom"/>
            <w:shd w:val="clear" w:color="auto" w:fill="CCEECC"/>
          </w:tcPr>
          <w:p>
            <w:pPr>
              <w:spacing w:after="0"/>
              <w:rPr>
                <w:sz w:val="24"/>
                <w:szCs w:val="24"/>
                <w:color w:val="auto"/>
              </w:rPr>
            </w:pPr>
          </w:p>
        </w:tc>
        <w:tc>
          <w:tcPr>
            <w:tcW w:w="420" w:type="dxa"/>
            <w:vAlign w:val="bottom"/>
            <w:shd w:val="clear" w:color="auto" w:fill="CCEECC"/>
          </w:tcPr>
          <w:p>
            <w:pPr>
              <w:spacing w:after="0"/>
              <w:rPr>
                <w:sz w:val="24"/>
                <w:szCs w:val="24"/>
                <w:color w:val="auto"/>
              </w:rPr>
            </w:pPr>
          </w:p>
        </w:tc>
        <w:tc>
          <w:tcPr>
            <w:tcW w:w="20" w:type="dxa"/>
            <w:vAlign w:val="bottom"/>
            <w:shd w:val="clear" w:color="auto" w:fill="CCEECC"/>
          </w:tcPr>
          <w:p>
            <w:pPr>
              <w:spacing w:after="0"/>
              <w:rPr>
                <w:sz w:val="24"/>
                <w:szCs w:val="24"/>
                <w:color w:val="auto"/>
              </w:rPr>
            </w:pPr>
          </w:p>
        </w:tc>
        <w:tc>
          <w:tcPr>
            <w:tcW w:w="160" w:type="dxa"/>
            <w:vAlign w:val="bottom"/>
            <w:shd w:val="clear" w:color="auto" w:fill="CCEECC"/>
          </w:tcPr>
          <w:p>
            <w:pPr>
              <w:spacing w:after="0"/>
              <w:rPr>
                <w:sz w:val="24"/>
                <w:szCs w:val="24"/>
                <w:color w:val="auto"/>
              </w:rPr>
            </w:pPr>
          </w:p>
        </w:tc>
        <w:tc>
          <w:tcPr>
            <w:tcW w:w="80" w:type="dxa"/>
            <w:vAlign w:val="bottom"/>
            <w:shd w:val="clear" w:color="auto" w:fill="CCEECC"/>
          </w:tcPr>
          <w:p>
            <w:pPr>
              <w:spacing w:after="0"/>
              <w:rPr>
                <w:sz w:val="24"/>
                <w:szCs w:val="24"/>
                <w:color w:val="auto"/>
              </w:rPr>
            </w:pPr>
          </w:p>
        </w:tc>
        <w:tc>
          <w:tcPr>
            <w:tcW w:w="120" w:type="dxa"/>
            <w:vAlign w:val="bottom"/>
            <w:shd w:val="clear" w:color="auto" w:fill="CCEECC"/>
          </w:tcPr>
          <w:p>
            <w:pPr>
              <w:spacing w:after="0"/>
              <w:rPr>
                <w:sz w:val="24"/>
                <w:szCs w:val="24"/>
                <w:color w:val="auto"/>
              </w:rPr>
            </w:pPr>
          </w:p>
        </w:tc>
        <w:tc>
          <w:tcPr>
            <w:tcW w:w="4920" w:type="dxa"/>
            <w:vAlign w:val="bottom"/>
            <w:gridSpan w:val="8"/>
            <w:shd w:val="clear" w:color="auto" w:fill="CCEECC"/>
          </w:tcPr>
          <w:p>
            <w:pPr>
              <w:jc w:val="center"/>
              <w:ind w:right="2180"/>
              <w:spacing w:after="0"/>
              <w:rPr>
                <w:sz w:val="20"/>
                <w:szCs w:val="20"/>
                <w:color w:val="auto"/>
              </w:rPr>
            </w:pPr>
            <w:r>
              <w:rPr>
                <w:rFonts w:ascii="Arial" w:cs="Arial" w:eastAsia="Arial" w:hAnsi="Arial"/>
                <w:sz w:val="18"/>
                <w:szCs w:val="18"/>
                <w:color w:val="auto"/>
                <w:w w:val="95"/>
              </w:rPr>
              <w:t>PART II – OTHER INFORMATION</w:t>
            </w:r>
          </w:p>
        </w:tc>
        <w:tc>
          <w:tcPr>
            <w:tcW w:w="340" w:type="dxa"/>
            <w:vAlign w:val="bottom"/>
            <w:shd w:val="clear" w:color="auto" w:fill="CCEECC"/>
          </w:tcPr>
          <w:p>
            <w:pPr>
              <w:spacing w:after="0"/>
              <w:rPr>
                <w:sz w:val="24"/>
                <w:szCs w:val="24"/>
                <w:color w:val="auto"/>
              </w:rPr>
            </w:pPr>
          </w:p>
        </w:tc>
        <w:tc>
          <w:tcPr>
            <w:tcW w:w="380" w:type="dxa"/>
            <w:vAlign w:val="bottom"/>
            <w:shd w:val="clear" w:color="auto" w:fill="CCEECC"/>
          </w:tcPr>
          <w:p>
            <w:pPr>
              <w:spacing w:after="0"/>
              <w:rPr>
                <w:sz w:val="24"/>
                <w:szCs w:val="24"/>
                <w:color w:val="auto"/>
              </w:rPr>
            </w:pPr>
          </w:p>
        </w:tc>
        <w:tc>
          <w:tcPr>
            <w:tcW w:w="1440" w:type="dxa"/>
            <w:vAlign w:val="bottom"/>
          </w:tcPr>
          <w:p>
            <w:pPr>
              <w:spacing w:after="0"/>
              <w:rPr>
                <w:sz w:val="24"/>
                <w:szCs w:val="24"/>
                <w:color w:val="auto"/>
              </w:rPr>
            </w:pPr>
          </w:p>
        </w:tc>
      </w:tr>
      <w:tr>
        <w:trPr>
          <w:trHeight w:val="412"/>
        </w:trPr>
        <w:tc>
          <w:tcPr>
            <w:tcW w:w="1440" w:type="dxa"/>
            <w:vAlign w:val="bottom"/>
          </w:tcPr>
          <w:p>
            <w:pPr>
              <w:spacing w:after="0"/>
              <w:rPr>
                <w:sz w:val="24"/>
                <w:szCs w:val="24"/>
                <w:color w:val="auto"/>
              </w:rPr>
            </w:pPr>
          </w:p>
        </w:tc>
        <w:tc>
          <w:tcPr>
            <w:tcW w:w="120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shd w:val="clear" w:color="auto" w:fill="CCEECC"/>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5280" w:type="dxa"/>
            <w:vAlign w:val="bottom"/>
            <w:tcBorders>
              <w:bottom w:val="single" w:sz="8" w:color="CCEECC"/>
            </w:tcBorders>
            <w:gridSpan w:val="11"/>
            <w:shd w:val="clear" w:color="auto" w:fill="CCEECC"/>
          </w:tcPr>
          <w:p>
            <w:pPr>
              <w:spacing w:after="0"/>
              <w:rPr>
                <w:sz w:val="24"/>
                <w:szCs w:val="24"/>
                <w:color w:val="auto"/>
              </w:rPr>
            </w:pPr>
          </w:p>
        </w:tc>
        <w:tc>
          <w:tcPr>
            <w:tcW w:w="340" w:type="dxa"/>
            <w:vAlign w:val="bottom"/>
            <w:tcBorders>
              <w:bottom w:val="single" w:sz="8" w:color="CCEECC"/>
            </w:tcBorders>
            <w:shd w:val="clear" w:color="auto" w:fill="CCEECC"/>
          </w:tcPr>
          <w:p>
            <w:pPr>
              <w:jc w:val="center"/>
              <w:spacing w:after="0"/>
              <w:rPr>
                <w:sz w:val="20"/>
                <w:szCs w:val="20"/>
                <w:color w:val="auto"/>
              </w:rPr>
            </w:pPr>
            <w:r>
              <w:rPr>
                <w:rFonts w:ascii="Arial" w:cs="Arial" w:eastAsia="Arial" w:hAnsi="Arial"/>
                <w:sz w:val="18"/>
                <w:szCs w:val="18"/>
                <w:color w:val="auto"/>
                <w:w w:val="89"/>
              </w:rPr>
              <w:t>10</w:t>
            </w:r>
          </w:p>
        </w:tc>
        <w:tc>
          <w:tcPr>
            <w:tcW w:w="380" w:type="dxa"/>
            <w:vAlign w:val="bottom"/>
            <w:tcBorders>
              <w:bottom w:val="single" w:sz="8" w:color="CCEECC"/>
            </w:tcBorders>
            <w:shd w:val="clear" w:color="auto" w:fill="CCEECC"/>
          </w:tcPr>
          <w:p>
            <w:pPr>
              <w:spacing w:after="0"/>
              <w:rPr>
                <w:sz w:val="24"/>
                <w:szCs w:val="24"/>
                <w:color w:val="auto"/>
              </w:rPr>
            </w:pPr>
          </w:p>
        </w:tc>
        <w:tc>
          <w:tcPr>
            <w:tcW w:w="1440" w:type="dxa"/>
            <w:vAlign w:val="bottom"/>
          </w:tcPr>
          <w:p>
            <w:pPr>
              <w:spacing w:after="0"/>
              <w:rPr>
                <w:sz w:val="24"/>
                <w:szCs w:val="24"/>
                <w:color w:val="auto"/>
              </w:rPr>
            </w:pPr>
          </w:p>
        </w:tc>
      </w:tr>
      <w:tr>
        <w:trPr>
          <w:trHeight w:val="176"/>
        </w:trPr>
        <w:tc>
          <w:tcPr>
            <w:tcW w:w="1440" w:type="dxa"/>
            <w:vAlign w:val="bottom"/>
          </w:tcPr>
          <w:p>
            <w:pPr>
              <w:spacing w:after="0"/>
              <w:rPr>
                <w:sz w:val="15"/>
                <w:szCs w:val="15"/>
                <w:color w:val="auto"/>
              </w:rPr>
            </w:pPr>
          </w:p>
        </w:tc>
        <w:tc>
          <w:tcPr>
            <w:tcW w:w="120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6620" w:type="dxa"/>
            <w:vAlign w:val="bottom"/>
            <w:gridSpan w:val="16"/>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34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1"/>
        </w:trPr>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1200" w:type="dxa"/>
            <w:vAlign w:val="bottom"/>
            <w:tcBorders>
              <w:bottom w:val="single" w:sz="8" w:color="CCEECC"/>
            </w:tcBorders>
            <w:shd w:val="clear" w:color="auto" w:fill="CCEECC"/>
          </w:tcPr>
          <w:p>
            <w:pPr>
              <w:spacing w:after="0" w:line="17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shd w:val="clear" w:color="auto" w:fill="CCEECC"/>
          </w:tcPr>
          <w:p>
            <w:pPr>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Unregistered Sales of Equity Securities and Use of Proceeds</w:t>
              </w:r>
            </w:hyperlink>
          </w:p>
        </w:tc>
        <w:tc>
          <w:tcPr>
            <w:tcW w:w="2260" w:type="dxa"/>
            <w:vAlign w:val="bottom"/>
            <w:tcBorders>
              <w:bottom w:val="single" w:sz="8" w:color="CCEECC"/>
            </w:tcBorders>
            <w:gridSpan w:val="3"/>
            <w:shd w:val="clear" w:color="auto" w:fill="CCEECC"/>
          </w:tcPr>
          <w:p>
            <w:pPr>
              <w:spacing w:after="0"/>
              <w:rPr>
                <w:sz w:val="17"/>
                <w:szCs w:val="17"/>
                <w:color w:val="auto"/>
              </w:rPr>
            </w:pPr>
          </w:p>
        </w:tc>
        <w:tc>
          <w:tcPr>
            <w:tcW w:w="340" w:type="dxa"/>
            <w:vAlign w:val="bottom"/>
            <w:tcBorders>
              <w:bottom w:val="single" w:sz="8" w:color="CCEECC"/>
            </w:tcBorders>
            <w:shd w:val="clear" w:color="auto" w:fill="CCEECC"/>
          </w:tcPr>
          <w:p>
            <w:pPr>
              <w:jc w:val="center"/>
              <w:spacing w:after="0" w:line="176" w:lineRule="exact"/>
              <w:rPr>
                <w:sz w:val="20"/>
                <w:szCs w:val="20"/>
                <w:color w:val="auto"/>
              </w:rPr>
            </w:pPr>
            <w:r>
              <w:rPr>
                <w:rFonts w:ascii="Arial" w:cs="Arial" w:eastAsia="Arial" w:hAnsi="Arial"/>
                <w:sz w:val="18"/>
                <w:szCs w:val="18"/>
                <w:color w:val="auto"/>
                <w:w w:val="89"/>
              </w:rPr>
              <w:t>10</w:t>
            </w:r>
          </w:p>
        </w:tc>
        <w:tc>
          <w:tcPr>
            <w:tcW w:w="380" w:type="dxa"/>
            <w:vAlign w:val="bottom"/>
            <w:tcBorders>
              <w:bottom w:val="single" w:sz="8" w:color="CCEECC"/>
            </w:tcBorders>
            <w:shd w:val="clear" w:color="auto" w:fill="CCEECC"/>
          </w:tcPr>
          <w:p>
            <w:pPr>
              <w:spacing w:after="0"/>
              <w:rPr>
                <w:sz w:val="17"/>
                <w:szCs w:val="17"/>
                <w:color w:val="auto"/>
              </w:rPr>
            </w:pPr>
          </w:p>
        </w:tc>
        <w:tc>
          <w:tcPr>
            <w:tcW w:w="1440" w:type="dxa"/>
            <w:vAlign w:val="bottom"/>
          </w:tcPr>
          <w:p>
            <w:pPr>
              <w:spacing w:after="0"/>
              <w:rPr>
                <w:sz w:val="17"/>
                <w:szCs w:val="17"/>
                <w:color w:val="auto"/>
              </w:rPr>
            </w:pPr>
          </w:p>
        </w:tc>
      </w:tr>
      <w:tr>
        <w:trPr>
          <w:trHeight w:val="176"/>
        </w:trPr>
        <w:tc>
          <w:tcPr>
            <w:tcW w:w="1440" w:type="dxa"/>
            <w:vAlign w:val="bottom"/>
          </w:tcPr>
          <w:p>
            <w:pPr>
              <w:spacing w:after="0"/>
              <w:rPr>
                <w:sz w:val="15"/>
                <w:szCs w:val="15"/>
                <w:color w:val="auto"/>
              </w:rPr>
            </w:pPr>
          </w:p>
        </w:tc>
        <w:tc>
          <w:tcPr>
            <w:tcW w:w="120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6620" w:type="dxa"/>
            <w:vAlign w:val="bottom"/>
            <w:gridSpan w:val="16"/>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34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1"/>
        </w:trPr>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1200" w:type="dxa"/>
            <w:vAlign w:val="bottom"/>
            <w:shd w:val="clear" w:color="auto" w:fill="CCEECC"/>
          </w:tcPr>
          <w:p>
            <w:pPr>
              <w:spacing w:after="0" w:line="176" w:lineRule="exact"/>
              <w:rPr>
                <w:sz w:val="20"/>
                <w:szCs w:val="20"/>
                <w:color w:val="auto"/>
              </w:rPr>
            </w:pPr>
            <w:r>
              <w:rPr>
                <w:rFonts w:ascii="Arial" w:cs="Arial" w:eastAsia="Arial" w:hAnsi="Arial"/>
                <w:sz w:val="18"/>
                <w:szCs w:val="18"/>
                <w:color w:val="auto"/>
              </w:rPr>
              <w:t>Item 4:</w:t>
            </w:r>
          </w:p>
        </w:tc>
        <w:tc>
          <w:tcPr>
            <w:tcW w:w="6620" w:type="dxa"/>
            <w:vAlign w:val="bottom"/>
            <w:gridSpan w:val="16"/>
            <w:shd w:val="clear" w:color="auto" w:fill="CCEECC"/>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w:t>
              </w:r>
            </w:hyperlink>
          </w:p>
        </w:tc>
        <w:tc>
          <w:tcPr>
            <w:tcW w:w="340" w:type="dxa"/>
            <w:vAlign w:val="bottom"/>
            <w:shd w:val="clear" w:color="auto" w:fill="CCEECC"/>
          </w:tcPr>
          <w:p>
            <w:pPr>
              <w:jc w:val="center"/>
              <w:spacing w:after="0" w:line="176" w:lineRule="exact"/>
              <w:rPr>
                <w:sz w:val="20"/>
                <w:szCs w:val="20"/>
                <w:color w:val="auto"/>
              </w:rPr>
            </w:pPr>
            <w:r>
              <w:rPr>
                <w:rFonts w:ascii="Arial" w:cs="Arial" w:eastAsia="Arial" w:hAnsi="Arial"/>
                <w:sz w:val="18"/>
                <w:szCs w:val="18"/>
                <w:color w:val="auto"/>
                <w:w w:val="89"/>
              </w:rPr>
              <w:t>10</w:t>
            </w:r>
          </w:p>
        </w:tc>
        <w:tc>
          <w:tcPr>
            <w:tcW w:w="380" w:type="dxa"/>
            <w:vAlign w:val="bottom"/>
            <w:shd w:val="clear" w:color="auto" w:fill="CCEECC"/>
          </w:tcPr>
          <w:p>
            <w:pPr>
              <w:spacing w:after="0"/>
              <w:rPr>
                <w:sz w:val="17"/>
                <w:szCs w:val="17"/>
                <w:color w:val="auto"/>
              </w:rPr>
            </w:pPr>
          </w:p>
        </w:tc>
        <w:tc>
          <w:tcPr>
            <w:tcW w:w="1440" w:type="dxa"/>
            <w:vAlign w:val="bottom"/>
          </w:tcPr>
          <w:p>
            <w:pPr>
              <w:spacing w:after="0"/>
              <w:rPr>
                <w:sz w:val="17"/>
                <w:szCs w:val="17"/>
                <w:color w:val="auto"/>
              </w:rPr>
            </w:pPr>
          </w:p>
        </w:tc>
      </w:tr>
      <w:tr>
        <w:trPr>
          <w:trHeight w:val="176"/>
        </w:trPr>
        <w:tc>
          <w:tcPr>
            <w:tcW w:w="1440" w:type="dxa"/>
            <w:vAlign w:val="bottom"/>
          </w:tcPr>
          <w:p>
            <w:pPr>
              <w:spacing w:after="0"/>
              <w:rPr>
                <w:sz w:val="15"/>
                <w:szCs w:val="15"/>
                <w:color w:val="auto"/>
              </w:rPr>
            </w:pPr>
          </w:p>
        </w:tc>
        <w:tc>
          <w:tcPr>
            <w:tcW w:w="1200" w:type="dxa"/>
            <w:vAlign w:val="bottom"/>
            <w:tcBorders>
              <w:top w:val="single" w:sz="8" w:color="CCEECC"/>
            </w:tcBorders>
          </w:tcPr>
          <w:p>
            <w:pPr>
              <w:spacing w:after="0" w:line="176" w:lineRule="exact"/>
              <w:rPr>
                <w:sz w:val="20"/>
                <w:szCs w:val="20"/>
                <w:color w:val="auto"/>
              </w:rPr>
            </w:pPr>
            <w:r>
              <w:rPr>
                <w:rFonts w:ascii="Arial" w:cs="Arial" w:eastAsia="Arial" w:hAnsi="Arial"/>
                <w:sz w:val="18"/>
                <w:szCs w:val="18"/>
                <w:color w:val="auto"/>
              </w:rPr>
              <w:t>Item 5:</w:t>
            </w:r>
          </w:p>
        </w:tc>
        <w:tc>
          <w:tcPr>
            <w:tcW w:w="170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4920" w:type="dxa"/>
            <w:vAlign w:val="bottom"/>
            <w:tcBorders>
              <w:top w:val="single" w:sz="8" w:color="CCEECC"/>
            </w:tcBorders>
            <w:gridSpan w:val="8"/>
          </w:tcPr>
          <w:p>
            <w:pPr>
              <w:spacing w:after="0"/>
              <w:rPr>
                <w:sz w:val="15"/>
                <w:szCs w:val="15"/>
                <w:color w:val="auto"/>
              </w:rPr>
            </w:pPr>
          </w:p>
        </w:tc>
        <w:tc>
          <w:tcPr>
            <w:tcW w:w="340" w:type="dxa"/>
            <w:vAlign w:val="bottom"/>
            <w:tcBorders>
              <w:top w:val="single" w:sz="8" w:color="CCEECC"/>
            </w:tcBorders>
          </w:tcPr>
          <w:p>
            <w:pPr>
              <w:jc w:val="center"/>
              <w:spacing w:after="0" w:line="176" w:lineRule="exact"/>
              <w:rPr>
                <w:sz w:val="20"/>
                <w:szCs w:val="20"/>
                <w:color w:val="auto"/>
              </w:rPr>
            </w:pPr>
            <w:r>
              <w:rPr>
                <w:rFonts w:ascii="Arial" w:cs="Arial" w:eastAsia="Arial" w:hAnsi="Arial"/>
                <w:sz w:val="18"/>
                <w:szCs w:val="18"/>
                <w:color w:val="auto"/>
                <w:w w:val="89"/>
              </w:rPr>
              <w:t>10</w:t>
            </w:r>
          </w:p>
        </w:tc>
        <w:tc>
          <w:tcPr>
            <w:tcW w:w="380" w:type="dxa"/>
            <w:vAlign w:val="bottom"/>
            <w:tcBorders>
              <w:top w:val="single" w:sz="8" w:color="CCEECC"/>
            </w:tcBorders>
          </w:tcPr>
          <w:p>
            <w:pPr>
              <w:spacing w:after="0"/>
              <w:rPr>
                <w:sz w:val="15"/>
                <w:szCs w:val="15"/>
                <w:color w:val="auto"/>
              </w:rPr>
            </w:pPr>
          </w:p>
        </w:tc>
        <w:tc>
          <w:tcPr>
            <w:tcW w:w="1440" w:type="dxa"/>
            <w:vAlign w:val="bottom"/>
          </w:tcPr>
          <w:p>
            <w:pPr>
              <w:spacing w:after="0"/>
              <w:rPr>
                <w:sz w:val="15"/>
                <w:szCs w:val="15"/>
                <w:color w:val="auto"/>
              </w:rPr>
            </w:pPr>
          </w:p>
        </w:tc>
      </w:tr>
      <w:tr>
        <w:trPr>
          <w:trHeight w:val="21"/>
        </w:trPr>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1200" w:type="dxa"/>
            <w:vAlign w:val="bottom"/>
            <w:shd w:val="clear" w:color="auto" w:fill="CCEECC"/>
          </w:tcPr>
          <w:p>
            <w:pPr>
              <w:spacing w:after="0" w:line="176" w:lineRule="exact"/>
              <w:rPr>
                <w:sz w:val="20"/>
                <w:szCs w:val="20"/>
                <w:color w:val="auto"/>
              </w:rPr>
            </w:pPr>
            <w:r>
              <w:rPr>
                <w:rFonts w:ascii="Arial" w:cs="Arial" w:eastAsia="Arial" w:hAnsi="Arial"/>
                <w:sz w:val="18"/>
                <w:szCs w:val="18"/>
                <w:color w:val="auto"/>
              </w:rPr>
              <w:t>Item 6:</w:t>
            </w:r>
          </w:p>
        </w:tc>
        <w:tc>
          <w:tcPr>
            <w:tcW w:w="6620" w:type="dxa"/>
            <w:vAlign w:val="bottom"/>
            <w:gridSpan w:val="16"/>
            <w:shd w:val="clear" w:color="auto" w:fill="CCEECC"/>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340" w:type="dxa"/>
            <w:vAlign w:val="bottom"/>
            <w:shd w:val="clear" w:color="auto" w:fill="CCEECC"/>
          </w:tcPr>
          <w:p>
            <w:pPr>
              <w:jc w:val="center"/>
              <w:spacing w:after="0" w:line="176" w:lineRule="exact"/>
              <w:rPr>
                <w:sz w:val="20"/>
                <w:szCs w:val="20"/>
                <w:color w:val="auto"/>
              </w:rPr>
            </w:pPr>
            <w:r>
              <w:rPr>
                <w:rFonts w:ascii="Arial" w:cs="Arial" w:eastAsia="Arial" w:hAnsi="Arial"/>
                <w:sz w:val="18"/>
                <w:szCs w:val="18"/>
                <w:color w:val="auto"/>
                <w:w w:val="89"/>
              </w:rPr>
              <w:t>10</w:t>
            </w:r>
          </w:p>
        </w:tc>
        <w:tc>
          <w:tcPr>
            <w:tcW w:w="380" w:type="dxa"/>
            <w:vAlign w:val="bottom"/>
            <w:shd w:val="clear" w:color="auto" w:fill="CCEECC"/>
          </w:tcPr>
          <w:p>
            <w:pPr>
              <w:spacing w:after="0"/>
              <w:rPr>
                <w:sz w:val="17"/>
                <w:szCs w:val="17"/>
                <w:color w:val="auto"/>
              </w:rPr>
            </w:pPr>
          </w:p>
        </w:tc>
        <w:tc>
          <w:tcPr>
            <w:tcW w:w="1440" w:type="dxa"/>
            <w:vAlign w:val="bottom"/>
          </w:tcPr>
          <w:p>
            <w:pPr>
              <w:spacing w:after="0"/>
              <w:rPr>
                <w:sz w:val="17"/>
                <w:szCs w:val="17"/>
                <w:color w:val="auto"/>
              </w:rPr>
            </w:pPr>
          </w:p>
        </w:tc>
      </w:tr>
      <w:tr>
        <w:trPr>
          <w:trHeight w:val="615"/>
        </w:trPr>
        <w:tc>
          <w:tcPr>
            <w:tcW w:w="1440" w:type="dxa"/>
            <w:vAlign w:val="bottom"/>
            <w:tcBorders>
              <w:bottom w:val="single" w:sz="8" w:color="auto"/>
            </w:tcBorders>
          </w:tcPr>
          <w:p>
            <w:pPr>
              <w:spacing w:after="0"/>
              <w:rPr>
                <w:sz w:val="24"/>
                <w:szCs w:val="24"/>
                <w:color w:val="auto"/>
              </w:rPr>
            </w:pPr>
          </w:p>
        </w:tc>
        <w:tc>
          <w:tcPr>
            <w:tcW w:w="1200" w:type="dxa"/>
            <w:vAlign w:val="bottom"/>
            <w:tcBorders>
              <w:top w:val="single" w:sz="8" w:color="CCEECC"/>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440" w:type="dxa"/>
            <w:vAlign w:val="bottom"/>
            <w:tcBorders>
              <w:top w:val="single" w:sz="8" w:color="CCEECC"/>
              <w:bottom w:val="single" w:sz="8" w:color="auto"/>
            </w:tcBorders>
            <w:gridSpan w:val="11"/>
          </w:tcPr>
          <w:p>
            <w:pPr>
              <w:jc w:val="center"/>
              <w:ind w:left="1410"/>
              <w:spacing w:after="0"/>
              <w:rPr>
                <w:sz w:val="20"/>
                <w:szCs w:val="20"/>
                <w:color w:val="auto"/>
              </w:rPr>
            </w:pPr>
            <w:r>
              <w:rPr>
                <w:rFonts w:ascii="Arial" w:cs="Arial" w:eastAsia="Arial" w:hAnsi="Arial"/>
                <w:sz w:val="18"/>
                <w:szCs w:val="18"/>
                <w:color w:val="auto"/>
                <w:w w:val="99"/>
              </w:rPr>
              <w:t>2</w:t>
            </w:r>
          </w:p>
        </w:tc>
        <w:tc>
          <w:tcPr>
            <w:tcW w:w="320" w:type="dxa"/>
            <w:vAlign w:val="bottom"/>
            <w:tcBorders>
              <w:top w:val="single" w:sz="8" w:color="CCEECC"/>
              <w:bottom w:val="single" w:sz="8" w:color="auto"/>
            </w:tcBorders>
          </w:tcPr>
          <w:p>
            <w:pPr>
              <w:spacing w:after="0"/>
              <w:rPr>
                <w:sz w:val="24"/>
                <w:szCs w:val="24"/>
                <w:color w:val="auto"/>
              </w:rPr>
            </w:pPr>
          </w:p>
        </w:tc>
        <w:tc>
          <w:tcPr>
            <w:tcW w:w="200" w:type="dxa"/>
            <w:vAlign w:val="bottom"/>
            <w:tcBorders>
              <w:top w:val="single" w:sz="8" w:color="CCEECC"/>
              <w:bottom w:val="single" w:sz="8" w:color="auto"/>
            </w:tcBorders>
          </w:tcPr>
          <w:p>
            <w:pPr>
              <w:spacing w:after="0"/>
              <w:rPr>
                <w:sz w:val="24"/>
                <w:szCs w:val="24"/>
                <w:color w:val="auto"/>
              </w:rPr>
            </w:pPr>
          </w:p>
        </w:tc>
        <w:tc>
          <w:tcPr>
            <w:tcW w:w="1060" w:type="dxa"/>
            <w:vAlign w:val="bottom"/>
            <w:tcBorders>
              <w:top w:val="single" w:sz="8" w:color="CCEECC"/>
              <w:bottom w:val="single" w:sz="8" w:color="auto"/>
            </w:tcBorders>
          </w:tcPr>
          <w:p>
            <w:pPr>
              <w:spacing w:after="0"/>
              <w:rPr>
                <w:sz w:val="24"/>
                <w:szCs w:val="24"/>
                <w:color w:val="auto"/>
              </w:rPr>
            </w:pPr>
          </w:p>
        </w:tc>
        <w:tc>
          <w:tcPr>
            <w:tcW w:w="1000" w:type="dxa"/>
            <w:vAlign w:val="bottom"/>
            <w:tcBorders>
              <w:top w:val="single" w:sz="8" w:color="CCEECC"/>
              <w:bottom w:val="single" w:sz="8" w:color="auto"/>
            </w:tcBorders>
          </w:tcPr>
          <w:p>
            <w:pPr>
              <w:spacing w:after="0"/>
              <w:rPr>
                <w:sz w:val="24"/>
                <w:szCs w:val="24"/>
                <w:color w:val="auto"/>
              </w:rPr>
            </w:pPr>
          </w:p>
        </w:tc>
        <w:tc>
          <w:tcPr>
            <w:tcW w:w="340" w:type="dxa"/>
            <w:vAlign w:val="bottom"/>
            <w:tcBorders>
              <w:top w:val="single" w:sz="8" w:color="CCEECC"/>
              <w:bottom w:val="single" w:sz="8" w:color="auto"/>
            </w:tcBorders>
          </w:tcPr>
          <w:p>
            <w:pPr>
              <w:spacing w:after="0"/>
              <w:rPr>
                <w:sz w:val="24"/>
                <w:szCs w:val="24"/>
                <w:color w:val="auto"/>
              </w:rPr>
            </w:pPr>
          </w:p>
        </w:tc>
        <w:tc>
          <w:tcPr>
            <w:tcW w:w="380" w:type="dxa"/>
            <w:vAlign w:val="bottom"/>
            <w:tcBorders>
              <w:top w:val="single" w:sz="8" w:color="CCEECC"/>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-1911985</wp:posOffset>
            </wp:positionV>
            <wp:extent cx="5428615"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28615" cy="54864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-3361055</wp:posOffset>
            </wp:positionV>
            <wp:extent cx="2023745"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745" cy="45466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F-1</w:t>
      </w:r>
      <w:r>
        <w:rPr>
          <w:sz w:val="20"/>
          <w:szCs w:val="20"/>
          <w:color w:val="auto"/>
        </w:rPr>
        <w:tab/>
      </w:r>
      <w:hyperlink w:anchor="page4">
        <w:r>
          <w:rPr>
            <w:rFonts w:ascii="Arial" w:cs="Arial" w:eastAsia="Arial" w:hAnsi="Arial"/>
            <w:sz w:val="16"/>
            <w:szCs w:val="16"/>
            <w:u w:val="single" w:color="auto"/>
            <w:color w:val="0000EE"/>
          </w:rPr>
          <w:t>Consolidated Balance Sheets as of March 31, 2012 and December 31, 2011;</w:t>
        </w:r>
      </w:hyperlink>
    </w:p>
    <w:p>
      <w:pPr>
        <w:spacing w:after="0" w:line="23"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F-2</w:t>
      </w:r>
      <w:r>
        <w:rPr>
          <w:sz w:val="20"/>
          <w:szCs w:val="20"/>
          <w:color w:val="auto"/>
        </w:rPr>
        <w:tab/>
      </w:r>
      <w:hyperlink w:anchor="page5">
        <w:r>
          <w:rPr>
            <w:rFonts w:ascii="Arial" w:cs="Arial" w:eastAsia="Arial" w:hAnsi="Arial"/>
            <w:sz w:val="16"/>
            <w:szCs w:val="16"/>
            <w:u w:val="single" w:color="auto"/>
            <w:color w:val="0000EE"/>
          </w:rPr>
          <w:t>Consolidated Statements of Operations for the three months ended March 31, 2012 and 2011;</w:t>
        </w:r>
      </w:hyperlink>
    </w:p>
    <w:p>
      <w:pPr>
        <w:spacing w:after="0" w:line="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F-3</w:t>
      </w:r>
      <w:r>
        <w:rPr>
          <w:sz w:val="20"/>
          <w:szCs w:val="20"/>
          <w:color w:val="auto"/>
        </w:rPr>
        <w:tab/>
      </w:r>
      <w:hyperlink w:anchor="page6">
        <w:r>
          <w:rPr>
            <w:rFonts w:ascii="Arial" w:cs="Arial" w:eastAsia="Arial" w:hAnsi="Arial"/>
            <w:sz w:val="16"/>
            <w:szCs w:val="16"/>
            <w:u w:val="single" w:color="auto"/>
            <w:color w:val="0000EE"/>
          </w:rPr>
          <w:t>Consolidated Statements of Cash Flow for the three months ended March 31, 2012 and 2011;</w:t>
        </w:r>
      </w:hyperlink>
    </w:p>
    <w:p>
      <w:pPr>
        <w:spacing w:after="0" w:line="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F-4</w:t>
      </w:r>
      <w:r>
        <w:rPr>
          <w:sz w:val="20"/>
          <w:szCs w:val="20"/>
          <w:color w:val="auto"/>
        </w:rPr>
        <w:tab/>
      </w:r>
      <w:hyperlink w:anchor="page7">
        <w:r>
          <w:rPr>
            <w:rFonts w:ascii="Arial" w:cs="Arial" w:eastAsia="Arial" w:hAnsi="Arial"/>
            <w:sz w:val="16"/>
            <w:szCs w:val="16"/>
            <w:u w:val="single" w:color="auto"/>
            <w:color w:val="0000EE"/>
          </w:rPr>
          <w:t>Notes to Consolidated Financial Statements.</w:t>
        </w:r>
      </w:hyperlink>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March 31, 2012 are not necessarily indicative of the results that can be expected for the full year.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2012 AND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5440" w:type="dxa"/>
            <w:vAlign w:val="bottom"/>
          </w:tcPr>
          <w:p>
            <w:pPr>
              <w:ind w:left="238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8"/>
                <w:szCs w:val="18"/>
                <w:color w:val="auto"/>
              </w:rPr>
              <w:t>March 31,</w:t>
            </w:r>
          </w:p>
        </w:tc>
        <w:tc>
          <w:tcPr>
            <w:tcW w:w="8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w w:val="88"/>
              </w:rPr>
              <w:t>December 31,</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440" w:type="dxa"/>
            <w:vAlign w:val="bottom"/>
            <w:tcBorders>
              <w:bottom w:val="single" w:sz="8" w:color="CCEE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40" w:type="dxa"/>
            <w:vAlign w:val="bottom"/>
            <w:shd w:val="clear" w:color="auto" w:fill="CCEECC"/>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0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4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797,503</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959,166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116,458</w:t>
            </w:r>
          </w:p>
        </w:tc>
        <w:tc>
          <w:tcPr>
            <w:tcW w:w="1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471,870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114,000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119,032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4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9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1,027,961</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auto"/>
              <w:bottom w:val="single" w:sz="8" w:color="auto"/>
            </w:tcBorders>
            <w:shd w:val="clear" w:color="auto" w:fill="CCEECC"/>
          </w:tcPr>
          <w:p>
            <w:pPr>
              <w:spacing w:after="0"/>
              <w:rPr>
                <w:sz w:val="18"/>
                <w:szCs w:val="18"/>
                <w:color w:val="auto"/>
              </w:rPr>
            </w:pPr>
          </w:p>
        </w:tc>
        <w:tc>
          <w:tcPr>
            <w:tcW w:w="110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1,550,068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5440" w:type="dxa"/>
            <w:vAlign w:val="bottom"/>
            <w:shd w:val="clear" w:color="auto" w:fill="CCEECC"/>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24,055</w:t>
            </w:r>
          </w:p>
        </w:tc>
        <w:tc>
          <w:tcPr>
            <w:tcW w:w="16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11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23,931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440" w:type="dxa"/>
            <w:vAlign w:val="bottom"/>
            <w:shd w:val="clear" w:color="auto" w:fill="CCEECC"/>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0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40" w:type="dxa"/>
            <w:vAlign w:val="bottom"/>
          </w:tcPr>
          <w:p>
            <w:pPr>
              <w:ind w:left="320"/>
              <w:spacing w:after="0"/>
              <w:rPr>
                <w:sz w:val="20"/>
                <w:szCs w:val="20"/>
                <w:color w:val="auto"/>
              </w:rPr>
            </w:pPr>
            <w:r>
              <w:rPr>
                <w:rFonts w:ascii="Arial" w:cs="Arial" w:eastAsia="Arial" w:hAnsi="Arial"/>
                <w:sz w:val="18"/>
                <w:szCs w:val="18"/>
                <w:color w:val="auto"/>
              </w:rPr>
              <w:t>Patent rights, net</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834,265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847,941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Website development costs, net</w:t>
            </w:r>
          </w:p>
        </w:tc>
        <w:tc>
          <w:tcPr>
            <w:tcW w:w="16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466,686</w:t>
            </w:r>
          </w:p>
        </w:tc>
        <w:tc>
          <w:tcPr>
            <w:tcW w:w="1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465,498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320"/>
              <w:spacing w:after="0"/>
              <w:rPr>
                <w:sz w:val="20"/>
                <w:szCs w:val="20"/>
                <w:color w:val="auto"/>
              </w:rPr>
            </w:pPr>
            <w:r>
              <w:rPr>
                <w:rFonts w:ascii="Arial" w:cs="Arial" w:eastAsia="Arial" w:hAnsi="Arial"/>
                <w:sz w:val="18"/>
                <w:szCs w:val="18"/>
                <w:color w:val="auto"/>
              </w:rPr>
              <w:t>Security deposit</w:t>
            </w:r>
          </w:p>
        </w:tc>
        <w:tc>
          <w:tcPr>
            <w:tcW w:w="1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4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9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1,306,000</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auto"/>
              <w:bottom w:val="single" w:sz="8" w:color="auto"/>
            </w:tcBorders>
            <w:shd w:val="clear" w:color="auto" w:fill="CCEECC"/>
          </w:tcPr>
          <w:p>
            <w:pPr>
              <w:spacing w:after="0"/>
              <w:rPr>
                <w:sz w:val="18"/>
                <w:szCs w:val="18"/>
                <w:color w:val="auto"/>
              </w:rPr>
            </w:pPr>
          </w:p>
        </w:tc>
        <w:tc>
          <w:tcPr>
            <w:tcW w:w="110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1,318,488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20" w:type="dxa"/>
            <w:vAlign w:val="bottom"/>
            <w:vMerge w:val="continue"/>
          </w:tcPr>
          <w:p>
            <w:pPr>
              <w:spacing w:after="0"/>
              <w:rPr>
                <w:sz w:val="21"/>
                <w:szCs w:val="21"/>
                <w:color w:val="auto"/>
              </w:rPr>
            </w:pPr>
          </w:p>
        </w:tc>
        <w:tc>
          <w:tcPr>
            <w:tcW w:w="544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C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2,358,016</w:t>
            </w:r>
          </w:p>
        </w:tc>
        <w:tc>
          <w:tcPr>
            <w:tcW w:w="60" w:type="dxa"/>
            <w:vAlign w:val="bottom"/>
            <w:tcBorders>
              <w:bottom w:val="single" w:sz="8" w:color="CCEECC"/>
            </w:tcBorders>
            <w:shd w:val="clear" w:color="auto" w:fill="CCEECC"/>
          </w:tcPr>
          <w:p>
            <w:pPr>
              <w:spacing w:after="0"/>
              <w:rPr>
                <w:sz w:val="21"/>
                <w:szCs w:val="21"/>
                <w:color w:val="auto"/>
              </w:rPr>
            </w:pPr>
          </w:p>
        </w:tc>
        <w:tc>
          <w:tcPr>
            <w:tcW w:w="160" w:type="dxa"/>
            <w:vAlign w:val="bottom"/>
            <w:tcBorders>
              <w:bottom w:val="single" w:sz="8" w:color="CCEECC"/>
            </w:tcBorders>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2,892,487</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40" w:type="dxa"/>
            <w:vAlign w:val="bottom"/>
            <w:shd w:val="clear" w:color="auto" w:fill="CCEECC"/>
          </w:tcPr>
          <w:p>
            <w:pPr>
              <w:ind w:left="76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0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440" w:type="dxa"/>
            <w:vAlign w:val="bottom"/>
            <w:shd w:val="clear" w:color="auto" w:fill="CCEEC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0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40" w:type="dxa"/>
            <w:vAlign w:val="bottom"/>
          </w:tcPr>
          <w:p>
            <w:pPr>
              <w:ind w:left="320"/>
              <w:spacing w:after="0"/>
              <w:rPr>
                <w:sz w:val="20"/>
                <w:szCs w:val="20"/>
                <w:color w:val="auto"/>
              </w:rPr>
            </w:pPr>
            <w:r>
              <w:rPr>
                <w:rFonts w:ascii="Arial" w:cs="Arial" w:eastAsia="Arial" w:hAnsi="Arial"/>
                <w:sz w:val="18"/>
                <w:szCs w:val="18"/>
                <w:color w:val="auto"/>
              </w:rPr>
              <w:t>Accounts payable - trade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176,051</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336,712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payable - related party</w:t>
            </w:r>
          </w:p>
        </w:tc>
        <w:tc>
          <w:tcPr>
            <w:tcW w:w="16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570,000</w:t>
            </w:r>
          </w:p>
        </w:tc>
        <w:tc>
          <w:tcPr>
            <w:tcW w:w="1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570,000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4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203,153</w:t>
            </w:r>
          </w:p>
        </w:tc>
        <w:tc>
          <w:tcPr>
            <w:tcW w:w="16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11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330,605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40" w:type="dxa"/>
            <w:vAlign w:val="bottom"/>
            <w:tcBorders>
              <w:bottom w:val="single" w:sz="8" w:color="CCEECC"/>
            </w:tcBorders>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949,526</w:t>
            </w:r>
          </w:p>
        </w:tc>
        <w:tc>
          <w:tcPr>
            <w:tcW w:w="60" w:type="dxa"/>
            <w:vAlign w:val="bottom"/>
            <w:tcBorders>
              <w:bottom w:val="single" w:sz="8" w:color="CCEECC"/>
            </w:tcBorders>
          </w:tcPr>
          <w:p>
            <w:pPr>
              <w:spacing w:after="0"/>
              <w:rPr>
                <w:sz w:val="18"/>
                <w:szCs w:val="18"/>
                <w:color w:val="auto"/>
              </w:rPr>
            </w:pPr>
          </w:p>
        </w:tc>
        <w:tc>
          <w:tcPr>
            <w:tcW w:w="160" w:type="dxa"/>
            <w:vAlign w:val="bottom"/>
            <w:tcBorders>
              <w:bottom w:val="single" w:sz="8" w:color="CCEEC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1,303,317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4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0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5440" w:type="dxa"/>
            <w:vAlign w:val="bottom"/>
            <w:shd w:val="clear" w:color="auto" w:fill="CCEECC"/>
          </w:tcPr>
          <w:p>
            <w:pPr>
              <w:ind w:left="320"/>
              <w:spacing w:after="0" w:line="201" w:lineRule="exact"/>
              <w:rPr>
                <w:sz w:val="20"/>
                <w:szCs w:val="20"/>
                <w:color w:val="auto"/>
              </w:rPr>
            </w:pPr>
            <w:r>
              <w:rPr>
                <w:rFonts w:ascii="Arial" w:cs="Arial" w:eastAsia="Arial" w:hAnsi="Arial"/>
                <w:sz w:val="18"/>
                <w:szCs w:val="18"/>
                <w:color w:val="auto"/>
                <w:w w:val="98"/>
              </w:rPr>
              <w:t>Common stock, $.001 par value, 500,000,000 shares authorized,</w:t>
            </w:r>
          </w:p>
        </w:tc>
        <w:tc>
          <w:tcPr>
            <w:tcW w:w="16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1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4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14,192,496 shares issued and outstanding</w:t>
            </w:r>
          </w:p>
        </w:tc>
        <w:tc>
          <w:tcPr>
            <w:tcW w:w="160" w:type="dxa"/>
            <w:vAlign w:val="bottom"/>
            <w:shd w:val="clear" w:color="auto" w:fill="CCEECC"/>
          </w:tcPr>
          <w:p>
            <w:pPr>
              <w:spacing w:after="0"/>
              <w:rPr>
                <w:sz w:val="20"/>
                <w:szCs w:val="20"/>
                <w:color w:val="auto"/>
              </w:rPr>
            </w:pPr>
          </w:p>
        </w:tc>
        <w:tc>
          <w:tcPr>
            <w:tcW w:w="10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14,192</w:t>
            </w:r>
          </w:p>
        </w:tc>
        <w:tc>
          <w:tcPr>
            <w:tcW w:w="1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1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14,192</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5440" w:type="dxa"/>
            <w:vAlign w:val="bottom"/>
          </w:tcPr>
          <w:p>
            <w:pPr>
              <w:ind w:left="320"/>
              <w:spacing w:after="0" w:line="201" w:lineRule="exact"/>
              <w:rPr>
                <w:sz w:val="20"/>
                <w:szCs w:val="20"/>
                <w:color w:val="auto"/>
              </w:rPr>
            </w:pPr>
            <w:r>
              <w:rPr>
                <w:rFonts w:ascii="Arial" w:cs="Arial" w:eastAsia="Arial" w:hAnsi="Arial"/>
                <w:sz w:val="18"/>
                <w:szCs w:val="18"/>
                <w:color w:val="auto"/>
              </w:rPr>
              <w:t>Preferred stock, $.001 par value, 10,000,000 shares authorized,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440" w:type="dxa"/>
            <w:vAlign w:val="bottom"/>
          </w:tcPr>
          <w:p>
            <w:pPr>
              <w:ind w:left="320"/>
              <w:spacing w:after="0"/>
              <w:rPr>
                <w:sz w:val="20"/>
                <w:szCs w:val="20"/>
                <w:color w:val="auto"/>
              </w:rPr>
            </w:pPr>
            <w:r>
              <w:rPr>
                <w:rFonts w:ascii="Arial" w:cs="Arial" w:eastAsia="Arial" w:hAnsi="Arial"/>
                <w:sz w:val="18"/>
                <w:szCs w:val="18"/>
                <w:color w:val="auto"/>
              </w:rPr>
              <w:t>65 shares issued and outstanding</w:t>
            </w:r>
          </w:p>
        </w:tc>
        <w:tc>
          <w:tcPr>
            <w:tcW w:w="1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 warrants</w:t>
            </w:r>
          </w:p>
        </w:tc>
        <w:tc>
          <w:tcPr>
            <w:tcW w:w="16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20,826,934</w:t>
            </w:r>
          </w:p>
        </w:tc>
        <w:tc>
          <w:tcPr>
            <w:tcW w:w="1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20,826,934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40" w:type="dxa"/>
            <w:vAlign w:val="bottom"/>
          </w:tcPr>
          <w:p>
            <w:pPr>
              <w:ind w:left="32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5,245,612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5,125,558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9"/>
              </w:rPr>
              <w:t>(24,678,248)</w:t>
            </w:r>
          </w:p>
        </w:tc>
        <w:tc>
          <w:tcPr>
            <w:tcW w:w="16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11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(24,377,514)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4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1,408,490</w:t>
            </w:r>
          </w:p>
        </w:tc>
        <w:tc>
          <w:tcPr>
            <w:tcW w:w="60" w:type="dxa"/>
            <w:vAlign w:val="bottom"/>
            <w:tcBorders>
              <w:bottom w:val="single" w:sz="8" w:color="CCEECC"/>
            </w:tcBorders>
          </w:tcPr>
          <w:p>
            <w:pPr>
              <w:spacing w:after="0"/>
              <w:rPr>
                <w:sz w:val="18"/>
                <w:szCs w:val="18"/>
                <w:color w:val="auto"/>
              </w:rPr>
            </w:pPr>
          </w:p>
        </w:tc>
        <w:tc>
          <w:tcPr>
            <w:tcW w:w="160" w:type="dxa"/>
            <w:vAlign w:val="bottom"/>
            <w:tcBorders>
              <w:bottom w:val="single" w:sz="8" w:color="CCEEC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1,589,170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4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0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20" w:type="dxa"/>
            <w:vAlign w:val="bottom"/>
            <w:vMerge w:val="continue"/>
          </w:tcPr>
          <w:p>
            <w:pPr>
              <w:spacing w:after="0"/>
              <w:rPr>
                <w:sz w:val="21"/>
                <w:szCs w:val="21"/>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2,358,016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2,892,487</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6800" w:type="dxa"/>
            <w:vAlign w:val="bottom"/>
            <w:gridSpan w:val="5"/>
          </w:tcPr>
          <w:p>
            <w:pPr>
              <w:ind w:left="1360"/>
              <w:spacing w:after="0"/>
              <w:rPr>
                <w:sz w:val="20"/>
                <w:szCs w:val="20"/>
                <w:color w:val="auto"/>
              </w:rPr>
            </w:pPr>
            <w:r>
              <w:rPr>
                <w:rFonts w:ascii="Arial" w:cs="Arial" w:eastAsia="Arial" w:hAnsi="Arial"/>
                <w:sz w:val="18"/>
                <w:szCs w:val="18"/>
                <w:color w:val="auto"/>
                <w:w w:val="91"/>
              </w:rPr>
              <w:t>The accompanying notes are an integral part of these financial statements.</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72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ind w:left="3860"/>
              <w:spacing w:after="0"/>
              <w:rPr>
                <w:sz w:val="20"/>
                <w:szCs w:val="20"/>
                <w:color w:val="auto"/>
              </w:rPr>
            </w:pPr>
            <w:r>
              <w:rPr>
                <w:rFonts w:ascii="Arial" w:cs="Arial" w:eastAsia="Arial" w:hAnsi="Arial"/>
                <w:sz w:val="18"/>
                <w:szCs w:val="18"/>
                <w:color w:val="auto"/>
              </w:rPr>
              <w:t>F-1</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right"/>
        <w:ind w:right="177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FOR THE THREE MONTHS ENDED MARCH 31, 2012 AND 2011</w:t>
      </w:r>
    </w:p>
    <w:p>
      <w:pPr>
        <w:sectPr>
          <w:pgSz w:w="11900" w:h="16838" w:orient="portrait"/>
          <w:cols w:equalWidth="0" w:num="1">
            <w:col w:w="10219"/>
          </w:cols>
          <w:pgMar w:left="240" w:top="2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REVENUE</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146050"/>
                    </a:xfrm>
                    <a:prstGeom prst="rect">
                      <a:avLst/>
                    </a:prstGeom>
                    <a:noFill/>
                  </pic:spPr>
                </pic:pic>
              </a:graphicData>
            </a:graphic>
          </wp:anchor>
        </w:drawing>
      </w:r>
    </w:p>
    <w:p>
      <w:pPr>
        <w:spacing w:after="0" w:line="218"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-121920</wp:posOffset>
            </wp:positionV>
            <wp:extent cx="3618865"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146050"/>
                    </a:xfrm>
                    <a:prstGeom prst="rect">
                      <a:avLst/>
                    </a:prstGeom>
                    <a:noFill/>
                  </pic:spPr>
                </pic:pic>
              </a:graphicData>
            </a:graphic>
          </wp:anchor>
        </w:drawing>
      </w:r>
    </w:p>
    <w:p>
      <w:pPr>
        <w:spacing w:after="0" w:line="2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-121920</wp:posOffset>
            </wp:positionV>
            <wp:extent cx="361886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361886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146050"/>
                    </a:xfrm>
                    <a:prstGeom prst="rect">
                      <a:avLst/>
                    </a:prstGeom>
                    <a:noFill/>
                  </pic:spPr>
                </pic:pic>
              </a:graphicData>
            </a:graphic>
          </wp:anchor>
        </w:drawing>
      </w:r>
    </w:p>
    <w:p>
      <w:pPr>
        <w:spacing w:after="0" w:line="218"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23495</wp:posOffset>
            </wp:positionV>
            <wp:extent cx="361886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146050"/>
                    </a:xfrm>
                    <a:prstGeom prst="rect">
                      <a:avLst/>
                    </a:prstGeom>
                    <a:noFill/>
                  </pic:spPr>
                </pic:pic>
              </a:graphicData>
            </a:graphic>
          </wp:anchor>
        </w:drawing>
      </w:r>
    </w:p>
    <w:p>
      <w:pPr>
        <w:spacing w:after="0" w:line="2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23495</wp:posOffset>
            </wp:positionV>
            <wp:extent cx="361886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146050"/>
                    </a:xfrm>
                    <a:prstGeom prst="rect">
                      <a:avLst/>
                    </a:prstGeom>
                    <a:noFill/>
                  </pic:spPr>
                </pic:pic>
              </a:graphicData>
            </a:graphic>
          </wp:anchor>
        </w:drawing>
      </w:r>
    </w:p>
    <w:p>
      <w:pPr>
        <w:spacing w:after="0" w:line="2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Other income</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146050"/>
                    </a:xfrm>
                    <a:prstGeom prst="rect">
                      <a:avLst/>
                    </a:prstGeom>
                    <a:noFill/>
                  </pic:spPr>
                </pic:pic>
              </a:graphicData>
            </a:graphic>
          </wp:anchor>
        </w:drawing>
      </w:r>
    </w:p>
    <w:p>
      <w:pPr>
        <w:spacing w:after="0" w:line="218"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TOTAL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-121920</wp:posOffset>
            </wp:positionV>
            <wp:extent cx="361886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283210"/>
                    </a:xfrm>
                    <a:prstGeom prst="rect">
                      <a:avLst/>
                    </a:prstGeom>
                    <a:noFill/>
                  </pic:spPr>
                </pic:pic>
              </a:graphicData>
            </a:graphic>
          </wp:anchor>
        </w:drawing>
      </w:r>
    </w:p>
    <w:p>
      <w:pPr>
        <w:spacing w:after="0" w:line="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(EXPENSE)</w:t>
      </w:r>
    </w:p>
    <w:p>
      <w:pPr>
        <w:spacing w:after="0" w:line="238" w:lineRule="exact"/>
        <w:rPr>
          <w:sz w:val="20"/>
          <w:szCs w:val="20"/>
          <w:color w:val="auto"/>
        </w:rPr>
      </w:pPr>
    </w:p>
    <w:p>
      <w:pPr>
        <w:ind w:left="2860"/>
        <w:spacing w:after="0" w:line="277" w:lineRule="auto"/>
        <w:rPr>
          <w:sz w:val="20"/>
          <w:szCs w:val="20"/>
          <w:color w:val="auto"/>
        </w:rPr>
      </w:pPr>
      <w:r>
        <w:rPr>
          <w:rFonts w:ascii="Arial" w:cs="Arial" w:eastAsia="Arial" w:hAnsi="Arial"/>
          <w:sz w:val="18"/>
          <w:szCs w:val="18"/>
          <w:color w:val="auto"/>
        </w:rPr>
        <w:t>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-293370</wp:posOffset>
            </wp:positionV>
            <wp:extent cx="3618865"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274320"/>
                    </a:xfrm>
                    <a:prstGeom prst="rect">
                      <a:avLst/>
                    </a:prstGeom>
                    <a:noFill/>
                  </pic:spPr>
                </pic:pic>
              </a:graphicData>
            </a:graphic>
          </wp:anchor>
        </w:drawing>
      </w:r>
    </w:p>
    <w:p>
      <w:pPr>
        <w:spacing w:after="0" w:line="150" w:lineRule="exact"/>
        <w:rPr>
          <w:sz w:val="20"/>
          <w:szCs w:val="20"/>
          <w:color w:val="auto"/>
        </w:rPr>
      </w:pPr>
    </w:p>
    <w:p>
      <w:pPr>
        <w:jc w:val="center"/>
        <w:ind w:left="2240"/>
        <w:spacing w:after="0"/>
        <w:rPr>
          <w:sz w:val="20"/>
          <w:szCs w:val="20"/>
          <w:color w:val="auto"/>
        </w:rPr>
      </w:pPr>
      <w:r>
        <w:rPr>
          <w:rFonts w:ascii="Arial" w:cs="Arial" w:eastAsia="Arial" w:hAnsi="Arial"/>
          <w:sz w:val="17"/>
          <w:szCs w:val="17"/>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-114300</wp:posOffset>
            </wp:positionV>
            <wp:extent cx="361886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146050"/>
                    </a:xfrm>
                    <a:prstGeom prst="rect">
                      <a:avLst/>
                    </a:prstGeom>
                    <a:noFill/>
                  </pic:spPr>
                </pic:pic>
              </a:graphicData>
            </a:graphic>
          </wp:anchor>
        </w:drawing>
      </w:r>
    </w:p>
    <w:p>
      <w:pPr>
        <w:spacing w:after="0" w:line="244"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-121920</wp:posOffset>
            </wp:positionV>
            <wp:extent cx="361886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163195"/>
                    </a:xfrm>
                    <a:prstGeom prst="rect">
                      <a:avLst/>
                    </a:prstGeom>
                    <a:noFill/>
                  </pic:spPr>
                </pic:pic>
              </a:graphicData>
            </a:graphic>
          </wp:anchor>
        </w:drawing>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WEIGHTED AVERAGE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-121920</wp:posOffset>
            </wp:positionV>
            <wp:extent cx="3618865"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437515"/>
                    </a:xfrm>
                    <a:prstGeom prst="rect">
                      <a:avLst/>
                    </a:prstGeom>
                    <a:noFill/>
                  </pic:spPr>
                </pic:pic>
              </a:graphicData>
            </a:graphic>
          </wp:anchor>
        </w:drawing>
      </w:r>
    </w:p>
    <w:p>
      <w:pPr>
        <w:spacing w:after="0" w:line="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OUTSTANDING: BASIC AND DILUTED</w:t>
      </w:r>
    </w:p>
    <w:p>
      <w:pPr>
        <w:spacing w:after="0" w:line="290"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NET LOSS PER SHARE: BASIC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-121920</wp:posOffset>
            </wp:positionV>
            <wp:extent cx="3618865"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300355"/>
                    </a:xfrm>
                    <a:prstGeom prst="rect">
                      <a:avLst/>
                    </a:prstGeom>
                    <a:noFill/>
                  </pic:spPr>
                </pic:pic>
              </a:graphicData>
            </a:graphic>
          </wp:anchor>
        </w:drawing>
      </w:r>
    </w:p>
    <w:p>
      <w:pPr>
        <w:spacing w:after="0" w:line="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9" w:type="dxa"/>
        <w:tblCellMar>
          <w:top w:w="0" w:type="dxa"/>
          <w:left w:w="0" w:type="dxa"/>
          <w:bottom w:w="0" w:type="dxa"/>
          <w:right w:w="0" w:type="dxa"/>
        </w:tblCellMar>
      </w:tblPr>
      <w:tr>
        <w:trPr>
          <w:trHeight w:val="216"/>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For the three</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For the three</w:t>
            </w:r>
          </w:p>
        </w:tc>
      </w:tr>
      <w:tr>
        <w:trPr>
          <w:trHeight w:val="216"/>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months</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months</w:t>
            </w:r>
          </w:p>
        </w:tc>
      </w:tr>
      <w:tr>
        <w:trPr>
          <w:trHeight w:val="216"/>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ended</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ended</w:t>
            </w:r>
          </w:p>
        </w:tc>
      </w:tr>
      <w:tr>
        <w:trPr>
          <w:trHeight w:val="216"/>
        </w:trPr>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March 31,</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March 31,</w:t>
            </w: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2011</w:t>
            </w:r>
          </w:p>
        </w:tc>
      </w:tr>
      <w:tr>
        <w:trPr>
          <w:trHeight w:val="230"/>
        </w:trPr>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(Restated)</w:t>
            </w:r>
          </w:p>
        </w:tc>
      </w:tr>
    </w:tbl>
    <w:p>
      <w:pPr>
        <w:spacing w:after="0" w:line="215" w:lineRule="exact"/>
        <w:rPr>
          <w:sz w:val="20"/>
          <w:szCs w:val="20"/>
          <w:color w:val="auto"/>
        </w:rPr>
      </w:pPr>
    </w:p>
    <w:p>
      <w:pPr>
        <w:ind w:left="329" w:hanging="329"/>
        <w:spacing w:after="0"/>
        <w:tabs>
          <w:tab w:leader="none" w:pos="329"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329,403  $   393,843</w:t>
      </w:r>
    </w:p>
    <w:p>
      <w:pPr>
        <w:spacing w:after="0" w:line="252" w:lineRule="exact"/>
        <w:rPr>
          <w:rFonts w:ascii="Arial" w:cs="Arial" w:eastAsia="Arial" w:hAnsi="Arial"/>
          <w:sz w:val="18"/>
          <w:szCs w:val="18"/>
          <w:u w:val="single" w:color="auto"/>
          <w:color w:val="auto"/>
        </w:rPr>
      </w:pPr>
    </w:p>
    <w:p>
      <w:pPr>
        <w:ind w:left="329"/>
        <w:spacing w:after="0"/>
        <w:rPr>
          <w:rFonts w:ascii="Arial" w:cs="Arial" w:eastAsia="Arial" w:hAnsi="Arial"/>
          <w:sz w:val="18"/>
          <w:szCs w:val="18"/>
          <w:u w:val="single" w:color="auto"/>
          <w:color w:val="auto"/>
        </w:rPr>
      </w:pPr>
      <w:r>
        <w:rPr>
          <w:rFonts w:ascii="Arial" w:cs="Arial" w:eastAsia="Arial" w:hAnsi="Arial"/>
          <w:sz w:val="18"/>
          <w:szCs w:val="18"/>
          <w:color w:val="auto"/>
        </w:rPr>
        <w:t>329,403</w:t>
      </w:r>
      <w:r>
        <w:rPr>
          <w:rFonts w:ascii="Arial" w:cs="Arial" w:eastAsia="Arial" w:hAnsi="Arial"/>
          <w:sz w:val="16"/>
          <w:szCs w:val="16"/>
          <w:color w:val="auto"/>
        </w:rPr>
        <w:t>393,843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260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9" w:type="dxa"/>
        <w:tblCellMar>
          <w:top w:w="0" w:type="dxa"/>
          <w:left w:w="0" w:type="dxa"/>
          <w:bottom w:w="0" w:type="dxa"/>
          <w:right w:w="0" w:type="dxa"/>
        </w:tblCellMar>
      </w:tblPr>
      <w:tr>
        <w:trPr>
          <w:trHeight w:val="230"/>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630,322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634,281</w:t>
            </w:r>
          </w:p>
        </w:tc>
        <w:tc>
          <w:tcPr>
            <w:tcW w:w="40" w:type="dxa"/>
            <w:vAlign w:val="bottom"/>
          </w:tcPr>
          <w:p>
            <w:pPr>
              <w:spacing w:after="0"/>
              <w:rPr>
                <w:sz w:val="20"/>
                <w:szCs w:val="20"/>
                <w:color w:val="auto"/>
              </w:rPr>
            </w:pPr>
          </w:p>
        </w:tc>
      </w:tr>
      <w:tr>
        <w:trPr>
          <w:trHeight w:val="439"/>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630,322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634,281</w:t>
            </w:r>
          </w:p>
        </w:tc>
        <w:tc>
          <w:tcPr>
            <w:tcW w:w="40" w:type="dxa"/>
            <w:vAlign w:val="bottom"/>
          </w:tcPr>
          <w:p>
            <w:pPr>
              <w:spacing w:after="0"/>
              <w:rPr>
                <w:sz w:val="24"/>
                <w:szCs w:val="24"/>
                <w:color w:val="auto"/>
              </w:rPr>
            </w:pPr>
          </w:p>
        </w:tc>
      </w:tr>
      <w:tr>
        <w:trPr>
          <w:trHeight w:val="439"/>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(300,919)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(240,438)</w:t>
            </w:r>
          </w:p>
        </w:tc>
      </w:tr>
      <w:tr>
        <w:trPr>
          <w:trHeight w:val="627"/>
        </w:trPr>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440</w:t>
            </w:r>
          </w:p>
        </w:tc>
        <w:tc>
          <w:tcPr>
            <w:tcW w:w="40" w:type="dxa"/>
            <w:vAlign w:val="bottom"/>
          </w:tcPr>
          <w:p>
            <w:pPr>
              <w:spacing w:after="0"/>
              <w:rPr>
                <w:sz w:val="24"/>
                <w:szCs w:val="24"/>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4"/>
        </w:trPr>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(140,000)</w:t>
            </w:r>
          </w:p>
        </w:tc>
      </w:tr>
      <w:tr>
        <w:trPr>
          <w:trHeight w:val="20"/>
        </w:trPr>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655"/>
        </w:trPr>
        <w:tc>
          <w:tcPr>
            <w:tcW w:w="900" w:type="dxa"/>
            <w:vAlign w:val="bottom"/>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(139,494)</w:t>
            </w:r>
          </w:p>
        </w:tc>
      </w:tr>
      <w:tr>
        <w:trPr>
          <w:trHeight w:val="20"/>
        </w:trPr>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642"/>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(300,734)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(379,932)</w:t>
            </w:r>
          </w:p>
        </w:tc>
      </w:tr>
      <w:tr>
        <w:trPr>
          <w:trHeight w:val="446"/>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r>
      <w:tr>
        <w:trPr>
          <w:trHeight w:val="453"/>
        </w:trPr>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w w:val="97"/>
              </w:rPr>
              <w:t>$  (300,734)  $</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(379,932)</w:t>
            </w: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9"/>
        <w:spacing w:after="0"/>
        <w:tabs>
          <w:tab w:leader="none" w:pos="1149" w:val="left"/>
        </w:tabs>
        <w:rPr>
          <w:sz w:val="20"/>
          <w:szCs w:val="20"/>
          <w:color w:val="auto"/>
        </w:rPr>
      </w:pPr>
      <w:r>
        <w:rPr>
          <w:rFonts w:ascii="Arial" w:cs="Arial" w:eastAsia="Arial" w:hAnsi="Arial"/>
          <w:sz w:val="17"/>
          <w:szCs w:val="17"/>
          <w:u w:val="single" w:color="auto"/>
          <w:color w:val="auto"/>
          <w:shd w:val="clear" w:color="auto" w:fill="CCEECC"/>
        </w:rPr>
        <w:t>14,192,496</w:t>
      </w:r>
      <w:r>
        <w:rPr>
          <w:sz w:val="20"/>
          <w:szCs w:val="20"/>
          <w:color w:val="auto"/>
        </w:rPr>
        <w:tab/>
      </w:r>
      <w:r>
        <w:rPr>
          <w:rFonts w:ascii="Arial" w:cs="Arial" w:eastAsia="Arial" w:hAnsi="Arial"/>
          <w:sz w:val="17"/>
          <w:szCs w:val="17"/>
          <w:u w:val="single" w:color="auto"/>
          <w:color w:val="auto"/>
          <w:shd w:val="clear" w:color="auto" w:fill="CCEECC"/>
        </w:rPr>
        <w:t>13,628,067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1260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9" w:type="dxa"/>
        <w:tblCellMar>
          <w:top w:w="0" w:type="dxa"/>
          <w:left w:w="0" w:type="dxa"/>
          <w:bottom w:w="0" w:type="dxa"/>
          <w:right w:w="0" w:type="dxa"/>
        </w:tblCellMar>
      </w:tblPr>
      <w:tr>
        <w:trPr>
          <w:trHeight w:val="257"/>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(0.02)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(0.03)</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00" w:space="311"/>
            <w:col w:w="3708"/>
          </w:cols>
          <w:pgMar w:left="240" w:top="233" w:right="1440" w:bottom="1440" w:gutter="0" w:footer="0" w:header="0"/>
          <w:type w:val="continuous"/>
        </w:sectPr>
      </w:pPr>
    </w:p>
    <w:p>
      <w:pPr>
        <w:spacing w:after="0" w:line="2" w:lineRule="exact"/>
        <w:rPr>
          <w:sz w:val="20"/>
          <w:szCs w:val="20"/>
          <w:color w:val="auto"/>
        </w:rPr>
      </w:pPr>
    </w:p>
    <w:p>
      <w:pPr>
        <w:jc w:val="center"/>
        <w:ind w:right="-130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8"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FOR THE THREE MONTHS ENDED MARCH 31, 2012 AND 2011</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For the three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For the three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months ended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color w:val="auto"/>
                <w:w w:val="84"/>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Borders>
              <w:bottom w:val="single" w:sz="8" w:color="CCEECC"/>
            </w:tcBorders>
          </w:tcPr>
          <w:p>
            <w:pPr>
              <w:spacing w:after="0"/>
              <w:rPr>
                <w:sz w:val="20"/>
                <w:szCs w:val="20"/>
                <w:color w:val="auto"/>
              </w:rPr>
            </w:pPr>
          </w:p>
        </w:tc>
        <w:tc>
          <w:tcPr>
            <w:tcW w:w="22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3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2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Net loss for the period</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(300,734)</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(379,932)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CC"/>
          </w:tcPr>
          <w:p>
            <w:pPr>
              <w:spacing w:after="0"/>
              <w:rPr>
                <w:sz w:val="20"/>
                <w:szCs w:val="20"/>
                <w:color w:val="auto"/>
              </w:rPr>
            </w:pPr>
            <w:r>
              <w:rPr>
                <w:rFonts w:ascii="Arial" w:cs="Arial" w:eastAsia="Arial" w:hAnsi="Arial"/>
                <w:sz w:val="18"/>
                <w:szCs w:val="18"/>
                <w:color w:val="auto"/>
                <w:w w:val="96"/>
              </w:rPr>
              <w:t>Adjustments to reconcile net loss to net cash used by operating activities:</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3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2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3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120,054</w:t>
            </w:r>
          </w:p>
        </w:tc>
        <w:tc>
          <w:tcPr>
            <w:tcW w:w="1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2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Amortization of debt discount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CC"/>
          </w:tcPr>
          <w:p>
            <w:pPr>
              <w:spacing w:after="0"/>
              <w:rPr>
                <w:sz w:val="20"/>
                <w:szCs w:val="20"/>
                <w:color w:val="auto"/>
              </w:rPr>
            </w:pPr>
            <w:r>
              <w:rPr>
                <w:rFonts w:ascii="Arial" w:cs="Arial" w:eastAsia="Arial" w:hAnsi="Arial"/>
                <w:sz w:val="18"/>
                <w:szCs w:val="18"/>
                <w:color w:val="auto"/>
              </w:rPr>
              <w:t>Changes in:</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3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2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355,412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3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5,033</w:t>
            </w:r>
          </w:p>
        </w:tc>
        <w:tc>
          <w:tcPr>
            <w:tcW w:w="1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2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61,467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(159,640)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3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2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(66,700)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4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(127,452)</w:t>
            </w:r>
          </w:p>
        </w:tc>
        <w:tc>
          <w:tcPr>
            <w:tcW w:w="16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3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(50,270)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NET CASH USED BY OPERATING ACTIVITIES</w:t>
            </w:r>
          </w:p>
        </w:tc>
        <w:tc>
          <w:tcPr>
            <w:tcW w:w="220" w:type="dxa"/>
            <w:vAlign w:val="bottom"/>
            <w:tcBorders>
              <w:bottom w:val="single" w:sz="8" w:color="CCEE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(128,004</w:t>
            </w:r>
          </w:p>
        </w:tc>
        <w:tc>
          <w:tcPr>
            <w:tcW w:w="10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(91,561</w:t>
            </w:r>
          </w:p>
        </w:tc>
        <w:tc>
          <w:tcPr>
            <w:tcW w:w="8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3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2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(1,424)</w:t>
            </w:r>
          </w:p>
        </w:tc>
        <w:tc>
          <w:tcPr>
            <w:tcW w:w="1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2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Website site development costs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(32,235)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(37,610)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NET CASH USED BY INVESTING ACTIVITIES</w:t>
            </w:r>
          </w:p>
        </w:tc>
        <w:tc>
          <w:tcPr>
            <w:tcW w:w="22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tcBorders>
            <w:shd w:val="clear" w:color="auto" w:fill="CCEECC"/>
          </w:tcPr>
          <w:p>
            <w:pPr>
              <w:spacing w:after="0"/>
              <w:rPr>
                <w:sz w:val="18"/>
                <w:szCs w:val="18"/>
                <w:color w:val="auto"/>
              </w:rPr>
            </w:pPr>
          </w:p>
        </w:tc>
        <w:tc>
          <w:tcPr>
            <w:tcW w:w="13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(33,659)</w:t>
            </w:r>
          </w:p>
        </w:tc>
        <w:tc>
          <w:tcPr>
            <w:tcW w:w="10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tcBorders>
            <w:shd w:val="clear" w:color="auto" w:fill="CCEECC"/>
          </w:tcPr>
          <w:p>
            <w:pPr>
              <w:spacing w:after="0"/>
              <w:rPr>
                <w:sz w:val="18"/>
                <w:szCs w:val="18"/>
                <w:color w:val="auto"/>
              </w:rPr>
            </w:pPr>
          </w:p>
        </w:tc>
        <w:tc>
          <w:tcPr>
            <w:tcW w:w="12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(37,610)</w:t>
            </w: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CC"/>
          </w:tcPr>
          <w:p>
            <w:pPr>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(161,663)</w:t>
            </w:r>
          </w:p>
        </w:tc>
        <w:tc>
          <w:tcPr>
            <w:tcW w:w="1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3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(129,171)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20" w:type="dxa"/>
            <w:vAlign w:val="bottom"/>
            <w:shd w:val="clear" w:color="auto" w:fill="CCEECC"/>
          </w:tcPr>
          <w:p>
            <w:pPr>
              <w:spacing w:after="0"/>
              <w:rPr>
                <w:sz w:val="20"/>
                <w:szCs w:val="20"/>
                <w:color w:val="auto"/>
              </w:rPr>
            </w:pPr>
            <w:r>
              <w:rPr>
                <w:rFonts w:ascii="Arial" w:cs="Arial" w:eastAsia="Arial" w:hAnsi="Arial"/>
                <w:sz w:val="18"/>
                <w:szCs w:val="18"/>
                <w:color w:val="auto"/>
              </w:rPr>
              <w:t>CASH AND CASH EQUIVALENTS - BEGINNING OF PERIOD</w:t>
            </w:r>
          </w:p>
        </w:tc>
        <w:tc>
          <w:tcPr>
            <w:tcW w:w="220" w:type="dxa"/>
            <w:vAlign w:val="bottom"/>
            <w:shd w:val="clear" w:color="auto" w:fill="CCEECC"/>
          </w:tcPr>
          <w:p>
            <w:pPr>
              <w:spacing w:after="0"/>
              <w:rPr>
                <w:sz w:val="19"/>
                <w:szCs w:val="19"/>
                <w:color w:val="auto"/>
              </w:rPr>
            </w:pPr>
          </w:p>
        </w:tc>
        <w:tc>
          <w:tcPr>
            <w:tcW w:w="180" w:type="dxa"/>
            <w:vAlign w:val="bottom"/>
            <w:tcBorders>
              <w:bottom w:val="single" w:sz="8" w:color="auto"/>
            </w:tcBorders>
            <w:shd w:val="clear" w:color="auto" w:fill="CCEECC"/>
          </w:tcPr>
          <w:p>
            <w:pPr>
              <w:spacing w:after="0"/>
              <w:rPr>
                <w:sz w:val="19"/>
                <w:szCs w:val="19"/>
                <w:color w:val="auto"/>
              </w:rPr>
            </w:pPr>
          </w:p>
        </w:tc>
        <w:tc>
          <w:tcPr>
            <w:tcW w:w="13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959,166</w:t>
            </w:r>
          </w:p>
        </w:tc>
        <w:tc>
          <w:tcPr>
            <w:tcW w:w="10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180" w:type="dxa"/>
            <w:vAlign w:val="bottom"/>
            <w:tcBorders>
              <w:bottom w:val="single" w:sz="8" w:color="auto"/>
            </w:tcBorders>
            <w:shd w:val="clear" w:color="auto" w:fill="CCEECC"/>
          </w:tcPr>
          <w:p>
            <w:pPr>
              <w:spacing w:after="0"/>
              <w:rPr>
                <w:sz w:val="19"/>
                <w:szCs w:val="19"/>
                <w:color w:val="auto"/>
              </w:rPr>
            </w:pPr>
          </w:p>
        </w:tc>
        <w:tc>
          <w:tcPr>
            <w:tcW w:w="12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1,278,094</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4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797,503</w:t>
            </w:r>
          </w:p>
        </w:tc>
        <w:tc>
          <w:tcPr>
            <w:tcW w:w="100" w:type="dxa"/>
            <w:vAlign w:val="bottom"/>
            <w:shd w:val="clear" w:color="auto" w:fill="CCEECC"/>
          </w:tcPr>
          <w:p>
            <w:pPr>
              <w:spacing w:after="0"/>
              <w:rPr>
                <w:sz w:val="21"/>
                <w:szCs w:val="21"/>
                <w:color w:val="auto"/>
              </w:rPr>
            </w:pPr>
          </w:p>
        </w:tc>
        <w:tc>
          <w:tcPr>
            <w:tcW w:w="34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1,148,923</w:t>
            </w:r>
          </w:p>
        </w:tc>
        <w:tc>
          <w:tcPr>
            <w:tcW w:w="8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3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2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Cash paid for interest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tcBorders>
              <w:top w:val="single" w:sz="8" w:color="CCEECC"/>
              <w:bottom w:val="single" w:sz="8" w:color="CCEECC"/>
            </w:tcBorders>
            <w:shd w:val="clear" w:color="auto" w:fill="CCEECC"/>
          </w:tcPr>
          <w:p>
            <w:pPr>
              <w:ind w:left="320"/>
              <w:spacing w:after="0" w:line="190" w:lineRule="exact"/>
              <w:rPr>
                <w:sz w:val="20"/>
                <w:szCs w:val="20"/>
                <w:color w:val="auto"/>
              </w:rPr>
            </w:pPr>
            <w:r>
              <w:rPr>
                <w:rFonts w:ascii="Arial" w:cs="Arial" w:eastAsia="Arial" w:hAnsi="Arial"/>
                <w:sz w:val="18"/>
                <w:szCs w:val="18"/>
                <w:color w:val="auto"/>
              </w:rPr>
              <w:t>Cash paid for income taxes</w:t>
            </w:r>
          </w:p>
        </w:tc>
        <w:tc>
          <w:tcPr>
            <w:tcW w:w="220" w:type="dxa"/>
            <w:vAlign w:val="bottom"/>
            <w:tcBorders>
              <w:top w:val="single" w:sz="8" w:color="CCEECC"/>
              <w:bottom w:val="single" w:sz="8" w:color="CCEECC"/>
            </w:tcBorders>
            <w:shd w:val="clear" w:color="auto" w:fill="CCEECC"/>
          </w:tcPr>
          <w:p>
            <w:pPr>
              <w:spacing w:after="0"/>
              <w:rPr>
                <w:sz w:val="17"/>
                <w:szCs w:val="17"/>
                <w:color w:val="auto"/>
              </w:rPr>
            </w:pPr>
          </w:p>
        </w:tc>
        <w:tc>
          <w:tcPr>
            <w:tcW w:w="180" w:type="dxa"/>
            <w:vAlign w:val="bottom"/>
            <w:tcBorders>
              <w:top w:val="single" w:sz="8" w:color="auto"/>
              <w:bottom w:val="single" w:sz="8" w:color="auto"/>
            </w:tcBorders>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CC"/>
              <w:bottom w:val="single" w:sz="8" w:color="CCEECC"/>
            </w:tcBorders>
            <w:shd w:val="clear" w:color="auto" w:fill="CCEECC"/>
          </w:tcPr>
          <w:p>
            <w:pPr>
              <w:spacing w:after="0"/>
              <w:rPr>
                <w:sz w:val="17"/>
                <w:szCs w:val="17"/>
                <w:color w:val="auto"/>
              </w:rPr>
            </w:pPr>
          </w:p>
        </w:tc>
        <w:tc>
          <w:tcPr>
            <w:tcW w:w="160" w:type="dxa"/>
            <w:vAlign w:val="bottom"/>
            <w:tcBorders>
              <w:top w:val="single" w:sz="8" w:color="CCEECC"/>
              <w:bottom w:val="single" w:sz="8" w:color="CCEECC"/>
            </w:tcBorders>
            <w:shd w:val="clear" w:color="auto" w:fill="CCEECC"/>
          </w:tcPr>
          <w:p>
            <w:pPr>
              <w:spacing w:after="0"/>
              <w:rPr>
                <w:sz w:val="17"/>
                <w:szCs w:val="17"/>
                <w:color w:val="auto"/>
              </w:rPr>
            </w:pPr>
          </w:p>
        </w:tc>
        <w:tc>
          <w:tcPr>
            <w:tcW w:w="180" w:type="dxa"/>
            <w:vAlign w:val="bottom"/>
            <w:tcBorders>
              <w:top w:val="single" w:sz="8" w:color="auto"/>
              <w:bottom w:val="single" w:sz="8" w:color="auto"/>
            </w:tcBorders>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vMerge w:val="restart"/>
          </w:tcPr>
          <w:p>
            <w:pPr>
              <w:spacing w:after="0" w:line="191" w:lineRule="exact"/>
              <w:rPr>
                <w:sz w:val="20"/>
                <w:szCs w:val="20"/>
                <w:color w:val="auto"/>
              </w:rPr>
            </w:pPr>
            <w:r>
              <w:rPr>
                <w:rFonts w:ascii="Arial" w:cs="Arial" w:eastAsia="Arial" w:hAnsi="Arial"/>
                <w:sz w:val="18"/>
                <w:szCs w:val="18"/>
                <w:b w:val="1"/>
                <w:bCs w:val="1"/>
                <w:color w:val="auto"/>
              </w:rPr>
              <w:t>SUPPLEMENTAL DISCLOSURE OF NONCASH INVESTING AND</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shd w:val="clear" w:color="auto" w:fill="CCEECC"/>
          </w:tcPr>
          <w:p>
            <w:pPr>
              <w:ind w:left="320"/>
              <w:spacing w:after="0"/>
              <w:rPr>
                <w:sz w:val="20"/>
                <w:szCs w:val="20"/>
                <w:color w:val="auto"/>
              </w:rPr>
            </w:pPr>
            <w:r>
              <w:rPr>
                <w:rFonts w:ascii="Arial" w:cs="Arial" w:eastAsia="Arial" w:hAnsi="Arial"/>
                <w:sz w:val="18"/>
                <w:szCs w:val="18"/>
                <w:color w:val="auto"/>
                <w:w w:val="97"/>
              </w:rPr>
              <w:t>Common stock issued to satisfy dividends related to preferred stock</w:t>
            </w:r>
          </w:p>
        </w:tc>
        <w:tc>
          <w:tcPr>
            <w:tcW w:w="4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CC"/>
          </w:tcPr>
          <w:p>
            <w:pPr>
              <w:spacing w:after="0"/>
              <w:rPr>
                <w:sz w:val="21"/>
                <w:szCs w:val="21"/>
                <w:color w:val="auto"/>
              </w:rPr>
            </w:pPr>
          </w:p>
        </w:tc>
        <w:tc>
          <w:tcPr>
            <w:tcW w:w="34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year ended December 31, 2011.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Certain accounts and financial statement captions in the prior periods have been reclassified to conform to the current period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fair value of cash, accounts receivable, prepaid expenses, accounts payable, accounts payable – related party, accrued expenses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capital assets are being depreciated over their estimated useful lives, three to seven years using the straight-line method of depreciation for book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revenue is recognized when it is earned. Revenues are generated either through the Company’s website activities, in which we earn revenue from advertising and lead generation activities, or from our SampleMD activities, which include offering setup within the systems and our offers, coupons, and vouchers that enable our customers to save money on medical products and services. The Company’s processes are monitored by third parties who collect revenues from clients on a per activity basis and report and forward the revenue to the Company’s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March 31, 2012 and 2011, respectively, since their effect is anti-dilutive.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as of March 31, 2012 and December 31, 2011: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auto"/>
            </w:tcBorders>
          </w:tcPr>
          <w:p>
            <w:pPr>
              <w:spacing w:after="0"/>
              <w:rPr>
                <w:sz w:val="20"/>
                <w:szCs w:val="20"/>
                <w:color w:val="auto"/>
              </w:rPr>
            </w:pPr>
          </w:p>
        </w:tc>
      </w:tr>
      <w:tr>
        <w:trPr>
          <w:trHeight w:val="210"/>
        </w:trPr>
        <w:tc>
          <w:tcPr>
            <w:tcW w:w="24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Insurance</w:t>
            </w: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5,147</w:t>
            </w: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5,937</w:t>
            </w:r>
          </w:p>
        </w:tc>
      </w:tr>
      <w:tr>
        <w:trPr>
          <w:trHeight w:val="216"/>
        </w:trPr>
        <w:tc>
          <w:tcPr>
            <w:tcW w:w="2400" w:type="dxa"/>
            <w:vAlign w:val="bottom"/>
          </w:tcPr>
          <w:p>
            <w:pPr>
              <w:ind w:left="100"/>
              <w:spacing w:after="0"/>
              <w:rPr>
                <w:sz w:val="20"/>
                <w:szCs w:val="20"/>
                <w:color w:val="auto"/>
              </w:rPr>
            </w:pPr>
            <w:r>
              <w:rPr>
                <w:rFonts w:ascii="Arial" w:cs="Arial" w:eastAsia="Arial" w:hAnsi="Arial"/>
                <w:sz w:val="18"/>
                <w:szCs w:val="18"/>
                <w:color w:val="auto"/>
              </w:rPr>
              <w:t>Website maintenance</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8,750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17,500</w:t>
            </w:r>
          </w:p>
        </w:tc>
      </w:tr>
      <w:tr>
        <w:trPr>
          <w:trHeight w:val="216"/>
        </w:trPr>
        <w:tc>
          <w:tcPr>
            <w:tcW w:w="24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Rent</w:t>
            </w:r>
          </w:p>
        </w:tc>
        <w:tc>
          <w:tcPr>
            <w:tcW w:w="22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400" w:type="dxa"/>
            <w:vAlign w:val="bottom"/>
          </w:tcPr>
          <w:p>
            <w:pPr>
              <w:ind w:left="100"/>
              <w:spacing w:after="0"/>
              <w:rPr>
                <w:sz w:val="20"/>
                <w:szCs w:val="20"/>
                <w:color w:val="auto"/>
              </w:rPr>
            </w:pPr>
            <w:r>
              <w:rPr>
                <w:rFonts w:ascii="Arial" w:cs="Arial" w:eastAsia="Arial" w:hAnsi="Arial"/>
                <w:sz w:val="18"/>
                <w:szCs w:val="18"/>
                <w:color w:val="auto"/>
              </w:rPr>
              <w:t>Consulting</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84,318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91,811</w:t>
            </w:r>
          </w:p>
        </w:tc>
      </w:tr>
      <w:tr>
        <w:trPr>
          <w:trHeight w:val="216"/>
        </w:trPr>
        <w:tc>
          <w:tcPr>
            <w:tcW w:w="24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Employee advances</w:t>
            </w:r>
          </w:p>
        </w:tc>
        <w:tc>
          <w:tcPr>
            <w:tcW w:w="22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7,646</w:t>
            </w: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694</w:t>
            </w:r>
          </w:p>
        </w:tc>
      </w:tr>
      <w:tr>
        <w:trPr>
          <w:trHeight w:val="230"/>
        </w:trPr>
        <w:tc>
          <w:tcPr>
            <w:tcW w:w="2400" w:type="dxa"/>
            <w:vAlign w:val="bottom"/>
          </w:tcPr>
          <w:p>
            <w:pPr>
              <w:ind w:left="100"/>
              <w:spacing w:after="0"/>
              <w:rPr>
                <w:sz w:val="20"/>
                <w:szCs w:val="20"/>
                <w:color w:val="auto"/>
              </w:rPr>
            </w:pPr>
            <w:r>
              <w:rPr>
                <w:rFonts w:ascii="Arial" w:cs="Arial" w:eastAsia="Arial" w:hAnsi="Arial"/>
                <w:sz w:val="18"/>
                <w:szCs w:val="18"/>
                <w:color w:val="auto"/>
              </w:rPr>
              <w:t>Advertising</w:t>
            </w:r>
          </w:p>
        </w:tc>
        <w:tc>
          <w:tcPr>
            <w:tcW w:w="2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3,090</w:t>
            </w:r>
          </w:p>
        </w:tc>
      </w:tr>
      <w:tr>
        <w:trPr>
          <w:trHeight w:val="223"/>
        </w:trPr>
        <w:tc>
          <w:tcPr>
            <w:tcW w:w="2400" w:type="dxa"/>
            <w:vAlign w:val="bottom"/>
            <w:tcBorders>
              <w:top w:val="single" w:sz="8" w:color="CCEECC"/>
              <w:bottom w:val="single" w:sz="8" w:color="CCEECC"/>
            </w:tcBorders>
            <w:shd w:val="clear" w:color="auto" w:fill="CCEECC"/>
          </w:tcPr>
          <w:p>
            <w:pPr>
              <w:ind w:left="100"/>
              <w:spacing w:after="0"/>
              <w:rPr>
                <w:sz w:val="20"/>
                <w:szCs w:val="20"/>
                <w:color w:val="auto"/>
              </w:rPr>
            </w:pPr>
            <w:r>
              <w:rPr>
                <w:rFonts w:ascii="Arial" w:cs="Arial" w:eastAsia="Arial" w:hAnsi="Arial"/>
                <w:sz w:val="18"/>
                <w:szCs w:val="18"/>
                <w:color w:val="auto"/>
              </w:rPr>
              <w:t>Total prepaid expenses</w:t>
            </w:r>
          </w:p>
        </w:tc>
        <w:tc>
          <w:tcPr>
            <w:tcW w:w="220" w:type="dxa"/>
            <w:vAlign w:val="bottom"/>
            <w:tcBorders>
              <w:top w:val="single" w:sz="8" w:color="auto"/>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114,000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119,032</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 as of March 31, 2012 and December 31, 2011: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auto"/>
            </w:tcBorders>
          </w:tcPr>
          <w:p>
            <w:pPr>
              <w:spacing w:after="0"/>
              <w:rPr>
                <w:sz w:val="20"/>
                <w:szCs w:val="20"/>
                <w:color w:val="auto"/>
              </w:rPr>
            </w:pPr>
          </w:p>
        </w:tc>
      </w:tr>
      <w:tr>
        <w:trPr>
          <w:trHeight w:val="210"/>
        </w:trPr>
        <w:tc>
          <w:tcPr>
            <w:tcW w:w="23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21,554</w:t>
            </w: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20,130</w:t>
            </w:r>
          </w:p>
        </w:tc>
      </w:tr>
      <w:tr>
        <w:trPr>
          <w:trHeight w:val="230"/>
        </w:trPr>
        <w:tc>
          <w:tcPr>
            <w:tcW w:w="2380" w:type="dxa"/>
            <w:vAlign w:val="bottom"/>
          </w:tcPr>
          <w:p>
            <w:pPr>
              <w:ind w:left="10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11,088</w:t>
            </w:r>
          </w:p>
        </w:tc>
      </w:tr>
      <w:tr>
        <w:trPr>
          <w:trHeight w:val="210"/>
        </w:trPr>
        <w:tc>
          <w:tcPr>
            <w:tcW w:w="2380" w:type="dxa"/>
            <w:vAlign w:val="bottom"/>
            <w:tcBorders>
              <w:top w:val="single" w:sz="8" w:color="CCEECC"/>
            </w:tcBorders>
            <w:shd w:val="clear" w:color="auto" w:fill="CCEECC"/>
          </w:tcPr>
          <w:p>
            <w:pPr>
              <w:ind w:left="28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tcBorders>
            <w:shd w:val="clear" w:color="auto" w:fill="CCEECC"/>
          </w:tcPr>
          <w:p>
            <w:pPr>
              <w:spacing w:after="0"/>
              <w:rPr>
                <w:sz w:val="18"/>
                <w:szCs w:val="18"/>
                <w:color w:val="auto"/>
              </w:rPr>
            </w:pPr>
          </w:p>
        </w:tc>
        <w:tc>
          <w:tcPr>
            <w:tcW w:w="7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32,642</w:t>
            </w:r>
          </w:p>
        </w:tc>
        <w:tc>
          <w:tcPr>
            <w:tcW w:w="6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tcBorders>
            <w:shd w:val="clear" w:color="auto" w:fill="CCEECC"/>
          </w:tcPr>
          <w:p>
            <w:pPr>
              <w:spacing w:after="0"/>
              <w:rPr>
                <w:sz w:val="18"/>
                <w:szCs w:val="18"/>
                <w:color w:val="auto"/>
              </w:rPr>
            </w:pPr>
          </w:p>
        </w:tc>
        <w:tc>
          <w:tcPr>
            <w:tcW w:w="7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31,218</w:t>
            </w:r>
          </w:p>
        </w:tc>
        <w:tc>
          <w:tcPr>
            <w:tcW w:w="80" w:type="dxa"/>
            <w:vAlign w:val="bottom"/>
            <w:tcBorders>
              <w:top w:val="single" w:sz="8" w:color="CCEECC"/>
            </w:tcBorders>
            <w:shd w:val="clear" w:color="auto" w:fill="CCEECC"/>
          </w:tcPr>
          <w:p>
            <w:pPr>
              <w:spacing w:after="0"/>
              <w:rPr>
                <w:sz w:val="18"/>
                <w:szCs w:val="18"/>
                <w:color w:val="auto"/>
              </w:rPr>
            </w:pPr>
          </w:p>
        </w:tc>
      </w:tr>
      <w:tr>
        <w:trPr>
          <w:trHeight w:val="230"/>
        </w:trPr>
        <w:tc>
          <w:tcPr>
            <w:tcW w:w="2380" w:type="dxa"/>
            <w:vAlign w:val="bottom"/>
          </w:tcPr>
          <w:p>
            <w:pPr>
              <w:ind w:left="100"/>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(7,287)</w:t>
            </w:r>
          </w:p>
        </w:tc>
      </w:tr>
      <w:tr>
        <w:trPr>
          <w:trHeight w:val="223"/>
        </w:trPr>
        <w:tc>
          <w:tcPr>
            <w:tcW w:w="2380" w:type="dxa"/>
            <w:vAlign w:val="bottom"/>
            <w:tcBorders>
              <w:top w:val="single" w:sz="8" w:color="CCEECC"/>
              <w:bottom w:val="single" w:sz="8" w:color="CCEECC"/>
            </w:tcBorders>
            <w:shd w:val="clear" w:color="auto" w:fill="CCEECC"/>
          </w:tcPr>
          <w:p>
            <w:pPr>
              <w:ind w:left="240"/>
              <w:spacing w:after="0"/>
              <w:rPr>
                <w:sz w:val="20"/>
                <w:szCs w:val="20"/>
                <w:color w:val="auto"/>
              </w:rPr>
            </w:pPr>
            <w:r>
              <w:rPr>
                <w:rFonts w:ascii="Arial" w:cs="Arial" w:eastAsia="Arial" w:hAnsi="Arial"/>
                <w:sz w:val="18"/>
                <w:szCs w:val="18"/>
                <w:color w:val="auto"/>
                <w:w w:val="93"/>
              </w:rPr>
              <w:t>Property and equipment, net</w:t>
            </w: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24,055</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23,931</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$1,300 and $452 for the three months ended March 31, 2012 and 2011,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 WEBSITE DEVELOPMENT COSTS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developing their website and web-based products, which consisted of the following as of March 31, 2012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Borders>
              <w:bottom w:val="single" w:sz="8" w:color="CCEECC"/>
            </w:tcBorders>
          </w:tcPr>
          <w:p>
            <w:pPr>
              <w:spacing w:after="0"/>
              <w:rPr>
                <w:sz w:val="20"/>
                <w:szCs w:val="20"/>
                <w:color w:val="auto"/>
              </w:rPr>
            </w:pPr>
          </w:p>
        </w:tc>
        <w:tc>
          <w:tcPr>
            <w:tcW w:w="200" w:type="dxa"/>
            <w:vAlign w:val="bottom"/>
            <w:tcBorders>
              <w:bottom w:val="single" w:sz="8" w:color="CCEE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210"/>
        </w:trPr>
        <w:tc>
          <w:tcPr>
            <w:tcW w:w="28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OptimizeRx web development</w:t>
            </w:r>
          </w:p>
        </w:tc>
        <w:tc>
          <w:tcPr>
            <w:tcW w:w="200" w:type="dxa"/>
            <w:vAlign w:val="bottom"/>
            <w:shd w:val="clear" w:color="auto" w:fill="CCEECC"/>
          </w:tcPr>
          <w:p>
            <w:pPr>
              <w:spacing w:after="0"/>
              <w:rPr>
                <w:sz w:val="18"/>
                <w:szCs w:val="18"/>
                <w:color w:val="auto"/>
              </w:rPr>
            </w:pPr>
          </w:p>
        </w:tc>
        <w:tc>
          <w:tcPr>
            <w:tcW w:w="28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154,133</w:t>
            </w:r>
          </w:p>
        </w:tc>
        <w:tc>
          <w:tcPr>
            <w:tcW w:w="120" w:type="dxa"/>
            <w:vAlign w:val="bottom"/>
            <w:shd w:val="clear" w:color="auto" w:fill="CCEECC"/>
          </w:tcPr>
          <w:p>
            <w:pPr>
              <w:spacing w:after="0"/>
              <w:rPr>
                <w:sz w:val="18"/>
                <w:szCs w:val="18"/>
                <w:color w:val="auto"/>
              </w:rPr>
            </w:pPr>
          </w:p>
        </w:tc>
        <w:tc>
          <w:tcPr>
            <w:tcW w:w="280" w:type="dxa"/>
            <w:vAlign w:val="bottom"/>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154,133</w:t>
            </w:r>
          </w:p>
        </w:tc>
        <w:tc>
          <w:tcPr>
            <w:tcW w:w="40" w:type="dxa"/>
            <w:vAlign w:val="bottom"/>
            <w:shd w:val="clear" w:color="auto" w:fill="CCEECC"/>
          </w:tcPr>
          <w:p>
            <w:pPr>
              <w:spacing w:after="0"/>
              <w:rPr>
                <w:sz w:val="18"/>
                <w:szCs w:val="18"/>
                <w:color w:val="auto"/>
              </w:rPr>
            </w:pPr>
          </w:p>
        </w:tc>
      </w:tr>
      <w:tr>
        <w:trPr>
          <w:trHeight w:val="230"/>
        </w:trPr>
        <w:tc>
          <w:tcPr>
            <w:tcW w:w="2800" w:type="dxa"/>
            <w:vAlign w:val="bottom"/>
          </w:tcPr>
          <w:p>
            <w:pPr>
              <w:ind w:left="100"/>
              <w:spacing w:after="0"/>
              <w:rPr>
                <w:sz w:val="20"/>
                <w:szCs w:val="20"/>
                <w:color w:val="auto"/>
              </w:rPr>
            </w:pPr>
            <w:r>
              <w:rPr>
                <w:rFonts w:ascii="Arial" w:cs="Arial" w:eastAsia="Arial" w:hAnsi="Arial"/>
                <w:sz w:val="18"/>
                <w:szCs w:val="18"/>
                <w:color w:val="auto"/>
              </w:rPr>
              <w:t>SampleMD web development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586,112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553,877</w:t>
            </w:r>
          </w:p>
        </w:tc>
        <w:tc>
          <w:tcPr>
            <w:tcW w:w="40" w:type="dxa"/>
            <w:vAlign w:val="bottom"/>
          </w:tcPr>
          <w:p>
            <w:pPr>
              <w:spacing w:after="0"/>
              <w:rPr>
                <w:sz w:val="19"/>
                <w:szCs w:val="19"/>
                <w:color w:val="auto"/>
              </w:rPr>
            </w:pPr>
          </w:p>
        </w:tc>
      </w:tr>
      <w:tr>
        <w:trPr>
          <w:trHeight w:val="210"/>
        </w:trPr>
        <w:tc>
          <w:tcPr>
            <w:tcW w:w="2800" w:type="dxa"/>
            <w:vAlign w:val="bottom"/>
            <w:tcBorders>
              <w:top w:val="single" w:sz="8" w:color="CCEECC"/>
            </w:tcBorders>
            <w:shd w:val="clear" w:color="auto" w:fill="CCEECC"/>
          </w:tcPr>
          <w:p>
            <w:pPr>
              <w:ind w:left="240"/>
              <w:spacing w:after="0"/>
              <w:rPr>
                <w:sz w:val="20"/>
                <w:szCs w:val="20"/>
                <w:color w:val="auto"/>
              </w:rPr>
            </w:pPr>
            <w:r>
              <w:rPr>
                <w:rFonts w:ascii="Arial" w:cs="Arial" w:eastAsia="Arial" w:hAnsi="Arial"/>
                <w:sz w:val="18"/>
                <w:szCs w:val="18"/>
                <w:color w:val="auto"/>
                <w:w w:val="96"/>
              </w:rPr>
              <w:t>Subtotal, web development costs</w:t>
            </w:r>
          </w:p>
        </w:tc>
        <w:tc>
          <w:tcPr>
            <w:tcW w:w="20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tcBorders>
            <w:shd w:val="clear" w:color="auto" w:fill="CCEECC"/>
          </w:tcPr>
          <w:p>
            <w:pPr>
              <w:spacing w:after="0"/>
              <w:rPr>
                <w:sz w:val="18"/>
                <w:szCs w:val="18"/>
                <w:color w:val="auto"/>
              </w:rPr>
            </w:pPr>
          </w:p>
        </w:tc>
        <w:tc>
          <w:tcPr>
            <w:tcW w:w="9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740,245</w:t>
            </w:r>
          </w:p>
        </w:tc>
        <w:tc>
          <w:tcPr>
            <w:tcW w:w="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tcBorders>
            <w:shd w:val="clear" w:color="auto" w:fill="CCEECC"/>
          </w:tcPr>
          <w:p>
            <w:pPr>
              <w:spacing w:after="0"/>
              <w:rPr>
                <w:sz w:val="18"/>
                <w:szCs w:val="18"/>
                <w:color w:val="auto"/>
              </w:rPr>
            </w:pPr>
          </w:p>
        </w:tc>
        <w:tc>
          <w:tcPr>
            <w:tcW w:w="9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708,010</w:t>
            </w:r>
          </w:p>
        </w:tc>
        <w:tc>
          <w:tcPr>
            <w:tcW w:w="2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r>
      <w:tr>
        <w:trPr>
          <w:trHeight w:val="216"/>
        </w:trPr>
        <w:tc>
          <w:tcPr>
            <w:tcW w:w="2800" w:type="dxa"/>
            <w:vAlign w:val="bottom"/>
          </w:tcPr>
          <w:p>
            <w:pPr>
              <w:ind w:left="100"/>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(214,476)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(183,429)</w:t>
            </w:r>
          </w:p>
        </w:tc>
      </w:tr>
      <w:tr>
        <w:trPr>
          <w:trHeight w:val="230"/>
        </w:trPr>
        <w:tc>
          <w:tcPr>
            <w:tcW w:w="28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Impairment</w:t>
            </w:r>
          </w:p>
        </w:tc>
        <w:tc>
          <w:tcPr>
            <w:tcW w:w="20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(59,083)</w:t>
            </w:r>
          </w:p>
        </w:tc>
        <w:tc>
          <w:tcPr>
            <w:tcW w:w="12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00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(59,083)</w:t>
            </w:r>
          </w:p>
        </w:tc>
      </w:tr>
      <w:tr>
        <w:trPr>
          <w:trHeight w:val="223"/>
        </w:trPr>
        <w:tc>
          <w:tcPr>
            <w:tcW w:w="2800" w:type="dxa"/>
            <w:vAlign w:val="bottom"/>
          </w:tcPr>
          <w:p>
            <w:pPr>
              <w:ind w:left="240"/>
              <w:spacing w:after="0"/>
              <w:rPr>
                <w:sz w:val="20"/>
                <w:szCs w:val="20"/>
                <w:color w:val="auto"/>
              </w:rPr>
            </w:pPr>
            <w:r>
              <w:rPr>
                <w:rFonts w:ascii="Arial" w:cs="Arial" w:eastAsia="Arial" w:hAnsi="Arial"/>
                <w:sz w:val="18"/>
                <w:szCs w:val="18"/>
                <w:color w:val="auto"/>
              </w:rPr>
              <w:t>Web development costs, net</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466,686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465,498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began amortizing the OptimizeRx website costs, using the straight-line method over the estimated useful life of 5 years, once it was put into service in December of 2007. During the year ended December 31, 2009, the Company began a new web-based project and the related programming and development costs have been capitalized for the SampleMD website. The project was completed in mid-December 2010 and no amortization was recorded in 2010. Amortization began on the straight-line method in January 2011 over the period of five years. Although the Project was completed in mid-December, the Company continues to enhance and upgrade the website. Monthly payments for these upgrades and enhancements have been capitalized and amortization was started by quarter in 2011 and continues in 2012. The Company determined that the original OptimizeRx website was no longer useful so the remaining unamortized balance of $59,083 was impaired as of December 31, 2010.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$31,047 and $15,920 for the three months ended March 31, 2012 and 2011,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RIGHTS AND INTANGIBLE ASSETS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RIGHTS AND INTANGIBLE ASSETS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purchasing the SampleMD patent, which consisted of the following as of March 31, 2012 and December 31, 2011:</w:t>
      </w:r>
    </w:p>
    <w:p>
      <w:pPr>
        <w:sectPr>
          <w:pgSz w:w="11900" w:h="16838" w:orient="portrait"/>
          <w:cols w:equalWidth="0" w:num="1">
            <w:col w:w="11420"/>
          </w:cols>
          <w:pgMar w:left="240" w:top="233" w:right="239" w:bottom="1440" w:gutter="0" w:footer="0" w:header="0"/>
        </w:sectPr>
      </w:pPr>
    </w:p>
    <w:p>
      <w:pPr>
        <w:spacing w:after="0" w:line="383" w:lineRule="exact"/>
        <w:rPr>
          <w:sz w:val="20"/>
          <w:szCs w:val="20"/>
          <w:color w:val="auto"/>
        </w:rPr>
      </w:pPr>
    </w:p>
    <w:p>
      <w:pPr>
        <w:ind w:left="100"/>
        <w:spacing w:after="0"/>
        <w:tabs>
          <w:tab w:leader="none" w:pos="3000" w:val="left"/>
        </w:tabs>
        <w:rPr>
          <w:sz w:val="20"/>
          <w:szCs w:val="20"/>
          <w:color w:val="auto"/>
        </w:rPr>
      </w:pPr>
      <w:r>
        <w:rPr>
          <w:rFonts w:ascii="Arial" w:cs="Arial" w:eastAsia="Arial" w:hAnsi="Arial"/>
          <w:sz w:val="18"/>
          <w:szCs w:val="18"/>
          <w:color w:val="auto"/>
        </w:rPr>
        <w:t>Patent rights and intangible assets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1886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14605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Accumulated amortization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Patent rights and intangible assets, net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61886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490"/>
              <w:spacing w:after="0"/>
              <w:rPr>
                <w:sz w:val="20"/>
                <w:szCs w:val="20"/>
                <w:color w:val="auto"/>
              </w:rPr>
            </w:pPr>
            <w:r>
              <w:rPr>
                <w:rFonts w:ascii="Arial" w:cs="Arial" w:eastAsia="Arial" w:hAnsi="Arial"/>
                <w:sz w:val="18"/>
                <w:szCs w:val="18"/>
                <w:color w:val="auto"/>
                <w:w w:val="84"/>
              </w:rPr>
              <w:t>2012</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auto"/>
            </w:tcBorders>
          </w:tcPr>
          <w:p>
            <w:pPr>
              <w:spacing w:after="0"/>
              <w:rPr>
                <w:sz w:val="20"/>
                <w:szCs w:val="20"/>
                <w:color w:val="auto"/>
              </w:rPr>
            </w:pPr>
          </w:p>
        </w:tc>
      </w:tr>
      <w:tr>
        <w:trPr>
          <w:trHeight w:val="195"/>
        </w:trPr>
        <w:tc>
          <w:tcPr>
            <w:tcW w:w="9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930,000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930,000</w:t>
            </w:r>
          </w:p>
        </w:tc>
        <w:tc>
          <w:tcPr>
            <w:tcW w:w="60" w:type="dxa"/>
            <w:vAlign w:val="bottom"/>
          </w:tcPr>
          <w:p>
            <w:pPr>
              <w:spacing w:after="0"/>
              <w:rPr>
                <w:sz w:val="16"/>
                <w:szCs w:val="16"/>
                <w:color w:val="auto"/>
              </w:rPr>
            </w:pPr>
          </w:p>
        </w:tc>
      </w:tr>
      <w:tr>
        <w:trPr>
          <w:trHeight w:val="244"/>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(95,735)</w:t>
            </w:r>
          </w:p>
        </w:tc>
        <w:tc>
          <w:tcPr>
            <w:tcW w:w="2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(82,059)</w:t>
            </w:r>
          </w:p>
        </w:tc>
      </w:tr>
      <w:tr>
        <w:trPr>
          <w:trHeight w:val="223"/>
        </w:trPr>
        <w:tc>
          <w:tcPr>
            <w:tcW w:w="940" w:type="dxa"/>
            <w:vAlign w:val="bottom"/>
          </w:tcPr>
          <w:p>
            <w:pPr>
              <w:jc w:val="right"/>
              <w:ind w:right="90"/>
              <w:spacing w:after="0"/>
              <w:rPr>
                <w:sz w:val="20"/>
                <w:szCs w:val="20"/>
                <w:color w:val="auto"/>
              </w:rPr>
            </w:pPr>
            <w:r>
              <w:rPr>
                <w:rFonts w:ascii="Arial" w:cs="Arial" w:eastAsia="Arial" w:hAnsi="Arial"/>
                <w:sz w:val="18"/>
                <w:szCs w:val="18"/>
                <w:color w:val="auto"/>
              </w:rPr>
              <w:t>834,265</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847,941</w:t>
            </w:r>
          </w:p>
        </w:tc>
        <w:tc>
          <w:tcPr>
            <w:tcW w:w="6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-8255</wp:posOffset>
            </wp:positionV>
            <wp:extent cx="7715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380"/>
            <w:col w:w="7940"/>
          </w:cols>
          <w:pgMar w:left="240" w:top="233"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Company began amortizing the patent, using the straight-line method over the estimated useful life of 17 years, once it was put into service in July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$13,676 and $13,677 for the three months ended March 31, 2012 and 2011,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7 – ACCRUED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as of March 31, 2012 and December 31, 2011: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2100" w:type="dxa"/>
            <w:vAlign w:val="bottom"/>
            <w:tcBorders>
              <w:top w:val="single" w:sz="8" w:color="CCEECC"/>
            </w:tcBorders>
            <w:shd w:val="clear" w:color="auto" w:fill="CCEECC"/>
          </w:tcPr>
          <w:p>
            <w:pPr>
              <w:ind w:left="100"/>
              <w:spacing w:after="0"/>
              <w:rPr>
                <w:sz w:val="20"/>
                <w:szCs w:val="20"/>
                <w:color w:val="auto"/>
              </w:rPr>
            </w:pPr>
            <w:r>
              <w:rPr>
                <w:rFonts w:ascii="Arial" w:cs="Arial" w:eastAsia="Arial" w:hAnsi="Arial"/>
                <w:sz w:val="18"/>
                <w:szCs w:val="18"/>
                <w:color w:val="auto"/>
              </w:rPr>
              <w:t>Accrued payroll taxes</w:t>
            </w:r>
          </w:p>
        </w:tc>
        <w:tc>
          <w:tcPr>
            <w:tcW w:w="300" w:type="dxa"/>
            <w:vAlign w:val="bottom"/>
            <w:tcBorders>
              <w:top w:val="single" w:sz="8" w:color="CCEECC"/>
            </w:tcBorders>
            <w:shd w:val="clear" w:color="auto" w:fill="CCEECC"/>
          </w:tcPr>
          <w:p>
            <w:pPr>
              <w:spacing w:after="0"/>
              <w:rPr>
                <w:sz w:val="18"/>
                <w:szCs w:val="18"/>
                <w:color w:val="auto"/>
              </w:rPr>
            </w:pPr>
          </w:p>
        </w:tc>
        <w:tc>
          <w:tcPr>
            <w:tcW w:w="700" w:type="dxa"/>
            <w:vAlign w:val="bottom"/>
            <w:tcBorders>
              <w:top w:val="single" w:sz="8" w:color="auto"/>
            </w:tcBorders>
            <w:shd w:val="clear" w:color="auto" w:fill="CCEECC"/>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gridSpan w:val="2"/>
            <w:shd w:val="clear" w:color="auto" w:fill="CCEECC"/>
          </w:tcPr>
          <w:p>
            <w:pPr>
              <w:jc w:val="right"/>
              <w:ind w:right="60"/>
              <w:spacing w:after="0"/>
              <w:rPr>
                <w:sz w:val="20"/>
                <w:szCs w:val="20"/>
                <w:color w:val="auto"/>
              </w:rPr>
            </w:pPr>
            <w:r>
              <w:rPr>
                <w:rFonts w:ascii="Arial" w:cs="Arial" w:eastAsia="Arial" w:hAnsi="Arial"/>
                <w:sz w:val="18"/>
                <w:szCs w:val="18"/>
                <w:color w:val="auto"/>
                <w:w w:val="86"/>
              </w:rPr>
              <w:t>322</w:t>
            </w:r>
          </w:p>
        </w:tc>
        <w:tc>
          <w:tcPr>
            <w:tcW w:w="8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tcBorders>
              <w:top w:val="single" w:sz="8" w:color="auto"/>
            </w:tcBorders>
            <w:shd w:val="clear" w:color="auto" w:fill="CCEECC"/>
          </w:tcPr>
          <w:p>
            <w:pPr>
              <w:spacing w:after="0"/>
              <w:rPr>
                <w:sz w:val="18"/>
                <w:szCs w:val="18"/>
                <w:color w:val="auto"/>
              </w:rPr>
            </w:pPr>
          </w:p>
        </w:tc>
      </w:tr>
      <w:tr>
        <w:trPr>
          <w:trHeight w:val="216"/>
        </w:trPr>
        <w:tc>
          <w:tcPr>
            <w:tcW w:w="2100" w:type="dxa"/>
            <w:vAlign w:val="bottom"/>
          </w:tcPr>
          <w:p>
            <w:pPr>
              <w:ind w:left="100"/>
              <w:spacing w:after="0"/>
              <w:rPr>
                <w:sz w:val="20"/>
                <w:szCs w:val="20"/>
                <w:color w:val="auto"/>
              </w:rPr>
            </w:pPr>
            <w:r>
              <w:rPr>
                <w:rFonts w:ascii="Arial" w:cs="Arial" w:eastAsia="Arial" w:hAnsi="Arial"/>
                <w:sz w:val="18"/>
                <w:szCs w:val="18"/>
                <w:color w:val="auto"/>
              </w:rPr>
              <w:t>Accrued bonuses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40" w:type="dxa"/>
            <w:vAlign w:val="bottom"/>
          </w:tcPr>
          <w:p>
            <w:pPr>
              <w:spacing w:after="0"/>
              <w:rPr>
                <w:sz w:val="18"/>
                <w:szCs w:val="18"/>
                <w:color w:val="auto"/>
              </w:rPr>
            </w:pPr>
          </w:p>
        </w:tc>
      </w:tr>
      <w:tr>
        <w:trPr>
          <w:trHeight w:val="230"/>
        </w:trPr>
        <w:tc>
          <w:tcPr>
            <w:tcW w:w="21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Accrued audit fees</w:t>
            </w:r>
          </w:p>
        </w:tc>
        <w:tc>
          <w:tcPr>
            <w:tcW w:w="300" w:type="dxa"/>
            <w:vAlign w:val="bottom"/>
            <w:shd w:val="clear" w:color="auto" w:fill="CCEECC"/>
          </w:tcPr>
          <w:p>
            <w:pPr>
              <w:spacing w:after="0"/>
              <w:rPr>
                <w:sz w:val="19"/>
                <w:szCs w:val="19"/>
                <w:color w:val="auto"/>
              </w:rPr>
            </w:pPr>
          </w:p>
        </w:tc>
        <w:tc>
          <w:tcPr>
            <w:tcW w:w="700" w:type="dxa"/>
            <w:vAlign w:val="bottom"/>
            <w:shd w:val="clear" w:color="auto" w:fill="CCEECC"/>
          </w:tcPr>
          <w:p>
            <w:pPr>
              <w:spacing w:after="0"/>
              <w:rPr>
                <w:sz w:val="19"/>
                <w:szCs w:val="19"/>
                <w:color w:val="auto"/>
              </w:rPr>
            </w:pPr>
          </w:p>
        </w:tc>
        <w:tc>
          <w:tcPr>
            <w:tcW w:w="3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6,000</w:t>
            </w:r>
          </w:p>
        </w:tc>
        <w:tc>
          <w:tcPr>
            <w:tcW w:w="40" w:type="dxa"/>
            <w:vAlign w:val="bottom"/>
            <w:shd w:val="clear" w:color="auto" w:fill="CCEECC"/>
          </w:tcPr>
          <w:p>
            <w:pPr>
              <w:spacing w:after="0"/>
              <w:rPr>
                <w:sz w:val="19"/>
                <w:szCs w:val="19"/>
                <w:color w:val="auto"/>
              </w:rPr>
            </w:pPr>
          </w:p>
        </w:tc>
      </w:tr>
      <w:tr>
        <w:trPr>
          <w:trHeight w:val="223"/>
        </w:trPr>
        <w:tc>
          <w:tcPr>
            <w:tcW w:w="2100" w:type="dxa"/>
            <w:vAlign w:val="bottom"/>
          </w:tcPr>
          <w:p>
            <w:pPr>
              <w:ind w:left="140"/>
              <w:spacing w:after="0"/>
              <w:rPr>
                <w:sz w:val="20"/>
                <w:szCs w:val="20"/>
                <w:color w:val="auto"/>
              </w:rPr>
            </w:pPr>
            <w:r>
              <w:rPr>
                <w:rFonts w:ascii="Arial" w:cs="Arial" w:eastAsia="Arial" w:hAnsi="Arial"/>
                <w:sz w:val="18"/>
                <w:szCs w:val="18"/>
                <w:color w:val="auto"/>
              </w:rPr>
              <w:t>Total accrued expenses</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8 – DEFERRED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signed several contracts with customers for coupon redemptions on their website. The payments are not taken into revenue until the end user redeems the coupon. The redemptions are tracked via their website and revenues are recorded as the coupons are redeemed. Additionally, customer setup contracts that have been paid in full are deferred until the Company has completed the obligations of the contacts. Deferred revenue was $203,153 and $330,605 as of March 31, 2012 and December 31, 2011,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9 – NOTE PAYABLE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5, 2010, the Company issued a secured promissory note of $1,000,000 to an investor. The note accrues interest at 6% per annum, compounded on April and October each year and will be paid at the earliest of September 12, 2012 or earlier at the Company’s option. No principal or interest payments are required until the maturity date. Accrued interest was $15,000 as of December 31, 2010. The terms of the note also granted 1,000,000 stock warrants and 1,000,000 contingent stock warrants in connection with the financing. The non-contingent warrants were valued at $1,007,992 with $1,000,000 recorded as debt discount and $7,992 recorded as interest expense in the December 31, 2010 year. The Company analyzed the assumptions associated with the contingent warrants and determined that the performance objectives were not likely to occur in 2011. Therefore, no value was recorded for the contingent warrants. The debt discount derived from the warrant valuation of $1,000,000 was being amortized over the life of the loan using the straight-line method and charged to interest expense.</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September 16, 2011, the Company entered into a Termination Agreement, in conjunction with a Securities Purchase Agreement with another investor. Under the Termination Agreement, the Company paid off the $1,000,000 promissory note, plus all accrued interest to date. Upon payment of the note, the contingent stock warrants obligation was terminated and the remaining debt discount from the warrant valuation was expensed. See Note 12.</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 has 500,000,000 shares of $.001 par value common stock authorized as of March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14,192,496 common shares issued and outstanding at March 31, 2012 and December 31, 2011, respectively.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30, 2011, the Company entered into a settlement agreement with Midtown Partners. Under the settlement agreement, the Company will pay Midtown Partners $57,500 and grant 100,000 shares of its common stock. The cost of the settlement has been recorded as equity issuance costs. As a result of the settlement, the litigation in the Eastern District of Michigan was dismissed.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2011, the Company issued 475,820 shares of common stock to satisfy $500,000 of preferred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1,500,000 shares of common stock and bear a 10% cumulative dividend. In addition, there was a warrant issued to purchase 2,000,000 shares of common stock at an exercise price of $3 for a period of seven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1,500,000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On March 25, 2011, the Company’s Board declared and issued 75,758 common shares for its semi-annual dividend payment. On September 21, 2011, the Company's Board declared and issued 66,988 common shares for its semi-annual dividend payment.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 2010, the Company issued 25,000 stock options to an employee with a vesting period of one year and an exercise price of $1.21. The options were valued on the grant date using the Black-Scholes option-pricing model with the following assumptions: dividend yield of 0%, expected volatility of 241%, risk-free interest rate of 1.26% and expected life of 60 months. The Company recognized share-based compensation expense of $6,203 during the year ended December 31, 2010 with the remaining balance of $18,610 to be recognized in 2011. $6,203 has been recognized in the year ended September December 31, 2011.</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27, 2011, the Company issued 100,000 stock options to an individual at an exercise price of $0.73. The options were valued on the grant date using the Black-Scholes option-pricing model with the following assumptions: dividend yield of 0%, expected volatility of 221%, risk-free interest rate of 2.06% and expected life of 60 months. The agreement is for a period of six months. The Company recognized expenses of $83,992 during the year ended December 31, 2011.</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31, 2011, the Company issued 285,000 stock options to 3 employees at an exercise price of $1.00. The options were valued on the grant date using the Black-Scholes option-pricing model with the following assumptions: dividend yield of 0%, expected volatility of 218%, risk-free interest rate of 1.68% and expected life of 60 months. The total value of the options was $320,585. The options vest over one year. The Company recognized share-based compensation expense of $187,005 during the year ended December 31, 2011. The remaining balance will be recognized over the following five months of 2012.</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there was a warrant issued to purchase 1,000,000 shares of common stock at an exercise price of $3 for a period of seven years. In addition, 15 preferred shares were issued to an investor for $1,500,000. The 15 shares are convertible to 1,500,000 shares of common stock and bear a 10% cumulative dividend. Based on the fair values of the preferred stock and common stock warrants on the issue date, $855,460 was allocated to preferred stock and $644,540 was allocated to the common stock warrants. See Note 11.</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December 31, 2011, the Company issued 20,000 stock options to 2 employees at an exercise price of $1.00. The options were valued on the grant date using the Black-Scholes option-pricing model with the following assumptions: dividend yield of 0%, expected volatility of 204-205%, risk-free interest rate of 0.88-0.93% and expected life of 60 months. The total value of the options was $19,270. The options vest over one year. The Company recognized share-based compensation expense of $2,480 during the year ended December 31, 2011 and $4,818 during the quarter ended March 31, 2012. The remaining balance will be recognized over the current year.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21, 2011, the Company issued 100,000 stock options to an individual at an exercise price of $0.73. The options were valued on the grant date using the Black-Scholes option-pricing model with the following assumptions: dividend yield of 0%, expected volatility of 205%, risk-free interest rate of 0.92% and expected life of 60 months. The Company recognized expenses of $8,346 during the year ended December 31, 2011 and $25,039 during the quarter ended March 31, 2012. The remaining balance will be recognized over the current year.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March 31, 2012, the Company issued 50,000 stock options to 4 non-employees at an exercise price of $0.89. The options were valued on the grant date using the Black-Scholes option-pricing model with the following assumptions: dividend yield of 0%, expected volatility of 198%, risk-free interest rate of 0.65% and expected life of 48 months. The total value of the options was $35,091. The options vest over 4 months. The Company recognized share-based compensation expense of $17,546 during the quarter ended March 31, 2012. The remaining balance has been recorded as a prepaid expense and will be recognized over the following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a lease for new office space on December 1, 2011 at an approximate rent of $5,000 per month. The new offices are in Rochester, Michigan. The lease is for three years with an option to renew for an additional two years at approximately $5,200 per month with six months advance notice to exercise the 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Minimum annual rent is as follows for the initial term of the lease: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shd w:val="clear" w:color="auto" w:fill="CCEECC"/>
          </w:tcPr>
          <w:p>
            <w:pPr>
              <w:jc w:val="right"/>
              <w:ind w:right="130"/>
              <w:spacing w:after="0"/>
              <w:rPr>
                <w:sz w:val="20"/>
                <w:szCs w:val="20"/>
                <w:color w:val="auto"/>
              </w:rPr>
            </w:pPr>
            <w:r>
              <w:rPr>
                <w:rFonts w:ascii="Arial" w:cs="Arial" w:eastAsia="Arial" w:hAnsi="Arial"/>
                <w:sz w:val="18"/>
                <w:szCs w:val="18"/>
                <w:color w:val="auto"/>
                <w:w w:val="92"/>
              </w:rPr>
              <w:t>Year ended December 31,</w:t>
            </w:r>
          </w:p>
        </w:tc>
        <w:tc>
          <w:tcPr>
            <w:tcW w:w="2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7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r>
      <w:tr>
        <w:trPr>
          <w:trHeight w:val="230"/>
        </w:trPr>
        <w:tc>
          <w:tcPr>
            <w:tcW w:w="2200" w:type="dxa"/>
            <w:vAlign w:val="bottom"/>
            <w:shd w:val="clear" w:color="auto" w:fill="CCEECC"/>
          </w:tcPr>
          <w:p>
            <w:pPr>
              <w:jc w:val="right"/>
              <w:ind w:right="130"/>
              <w:spacing w:after="0"/>
              <w:rPr>
                <w:sz w:val="20"/>
                <w:szCs w:val="20"/>
                <w:color w:val="auto"/>
              </w:rPr>
            </w:pPr>
            <w:r>
              <w:rPr>
                <w:rFonts w:ascii="Arial" w:cs="Arial" w:eastAsia="Arial" w:hAnsi="Arial"/>
                <w:sz w:val="18"/>
                <w:szCs w:val="18"/>
                <w:color w:val="auto"/>
              </w:rPr>
              <w:t>2012</w:t>
            </w:r>
          </w:p>
        </w:tc>
        <w:tc>
          <w:tcPr>
            <w:tcW w:w="460" w:type="dxa"/>
            <w:vAlign w:val="bottom"/>
            <w:gridSpan w:val="2"/>
            <w:shd w:val="clear" w:color="auto" w:fill="CCEECC"/>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60,591</w:t>
            </w:r>
          </w:p>
        </w:tc>
      </w:tr>
      <w:tr>
        <w:trPr>
          <w:trHeight w:val="216"/>
        </w:trPr>
        <w:tc>
          <w:tcPr>
            <w:tcW w:w="2200" w:type="dxa"/>
            <w:vAlign w:val="bottom"/>
          </w:tcPr>
          <w:p>
            <w:pPr>
              <w:jc w:val="right"/>
              <w:ind w:right="13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60,591</w:t>
            </w:r>
          </w:p>
        </w:tc>
      </w:tr>
      <w:tr>
        <w:trPr>
          <w:trHeight w:val="216"/>
        </w:trPr>
        <w:tc>
          <w:tcPr>
            <w:tcW w:w="2200" w:type="dxa"/>
            <w:vAlign w:val="bottom"/>
            <w:shd w:val="clear" w:color="auto" w:fill="CCEECC"/>
          </w:tcPr>
          <w:p>
            <w:pPr>
              <w:jc w:val="right"/>
              <w:ind w:right="130"/>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7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55,542</w:t>
            </w:r>
          </w:p>
        </w:tc>
      </w:tr>
      <w:tr>
        <w:trPr>
          <w:trHeight w:val="230"/>
        </w:trPr>
        <w:tc>
          <w:tcPr>
            <w:tcW w:w="2200" w:type="dxa"/>
            <w:vAlign w:val="bottom"/>
          </w:tcPr>
          <w:p>
            <w:pPr>
              <w:jc w:val="right"/>
              <w:ind w:right="13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23"/>
        </w:trPr>
        <w:tc>
          <w:tcPr>
            <w:tcW w:w="2200" w:type="dxa"/>
            <w:vAlign w:val="bottom"/>
            <w:tcBorders>
              <w:top w:val="single" w:sz="8" w:color="CCEECC"/>
              <w:bottom w:val="single" w:sz="8" w:color="CCEECC"/>
            </w:tcBorders>
            <w:shd w:val="clear" w:color="auto" w:fill="CCEECC"/>
          </w:tcPr>
          <w:p>
            <w:pPr>
              <w:jc w:val="right"/>
              <w:ind w:right="130"/>
              <w:spacing w:after="0"/>
              <w:rPr>
                <w:sz w:val="20"/>
                <w:szCs w:val="20"/>
                <w:color w:val="auto"/>
              </w:rPr>
            </w:pPr>
            <w:r>
              <w:rPr>
                <w:rFonts w:ascii="Arial" w:cs="Arial" w:eastAsia="Arial" w:hAnsi="Arial"/>
                <w:sz w:val="18"/>
                <w:szCs w:val="18"/>
                <w:color w:val="auto"/>
              </w:rPr>
              <w:t>Total lease commitment</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auto"/>
              <w:bottom w:val="single" w:sz="8" w:color="auto"/>
            </w:tcBorders>
            <w:shd w:val="clear" w:color="auto" w:fill="CCEEC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176,724</w:t>
            </w:r>
          </w:p>
        </w:tc>
        <w:tc>
          <w:tcPr>
            <w:tcW w:w="4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14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15 – MAJOR CUSTOMERS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had four major customers that accounted for 74% and two major customers that accounted for 76% of the Company’s revenues for the three months ended March 31, 2012 and 2011, respectively. The Company expects to continue to maintain these relationships with the customers.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16 – INCOME TAXES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three months ended March 31, 2012, the Company incurred a net loss of approximately $301,000 and therefore has no tax liability. The Company began operations in 2007 and has previous net operating loss carry-forwards of $13,479,000 through December 31, 2011. The cumulative loss of $13,780,000 will be carried forward and can be used through the year 2032 to offset future taxable income. In the future, the cumulative net operating loss carry-forward for income tax purposes may differ from the cumulative financial statement loss due to timing differences between book and tax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three months ended March 31, 2012 and 2011: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Borders>
              <w:bottom w:val="single" w:sz="8" w:color="CCEECC"/>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182"/>
        </w:trPr>
        <w:tc>
          <w:tcPr>
            <w:tcW w:w="2940" w:type="dxa"/>
            <w:vAlign w:val="bottom"/>
            <w:shd w:val="clear" w:color="auto" w:fill="CCEECC"/>
          </w:tcPr>
          <w:p>
            <w:pPr>
              <w:spacing w:after="0" w:line="182" w:lineRule="exact"/>
              <w:rPr>
                <w:sz w:val="20"/>
                <w:szCs w:val="20"/>
                <w:color w:val="auto"/>
              </w:rPr>
            </w:pPr>
            <w:r>
              <w:rPr>
                <w:rFonts w:ascii="Arial" w:cs="Arial" w:eastAsia="Arial" w:hAnsi="Arial"/>
                <w:sz w:val="18"/>
                <w:szCs w:val="18"/>
                <w:color w:val="auto"/>
                <w:w w:val="95"/>
              </w:rPr>
              <w:t>Federal income tax benefit attributable</w:t>
            </w:r>
          </w:p>
        </w:tc>
        <w:tc>
          <w:tcPr>
            <w:tcW w:w="60" w:type="dxa"/>
            <w:vAlign w:val="bottom"/>
            <w:shd w:val="clear" w:color="auto" w:fill="CCEECC"/>
          </w:tcPr>
          <w:p>
            <w:pPr>
              <w:spacing w:after="0"/>
              <w:rPr>
                <w:sz w:val="15"/>
                <w:szCs w:val="15"/>
                <w:color w:val="auto"/>
              </w:rPr>
            </w:pPr>
          </w:p>
        </w:tc>
        <w:tc>
          <w:tcPr>
            <w:tcW w:w="280" w:type="dxa"/>
            <w:vAlign w:val="bottom"/>
            <w:shd w:val="clear" w:color="auto" w:fill="CCEECC"/>
          </w:tcPr>
          <w:p>
            <w:pPr>
              <w:spacing w:after="0"/>
              <w:rPr>
                <w:sz w:val="15"/>
                <w:szCs w:val="15"/>
                <w:color w:val="auto"/>
              </w:rPr>
            </w:pPr>
          </w:p>
        </w:tc>
        <w:tc>
          <w:tcPr>
            <w:tcW w:w="96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120" w:type="dxa"/>
            <w:vAlign w:val="bottom"/>
            <w:shd w:val="clear" w:color="auto" w:fill="CCEECC"/>
          </w:tcPr>
          <w:p>
            <w:pPr>
              <w:spacing w:after="0"/>
              <w:rPr>
                <w:sz w:val="15"/>
                <w:szCs w:val="15"/>
                <w:color w:val="auto"/>
              </w:rPr>
            </w:pPr>
          </w:p>
        </w:tc>
        <w:tc>
          <w:tcPr>
            <w:tcW w:w="280" w:type="dxa"/>
            <w:vAlign w:val="bottom"/>
            <w:shd w:val="clear" w:color="auto" w:fill="CCEECC"/>
          </w:tcPr>
          <w:p>
            <w:pPr>
              <w:spacing w:after="0"/>
              <w:rPr>
                <w:sz w:val="15"/>
                <w:szCs w:val="15"/>
                <w:color w:val="auto"/>
              </w:rPr>
            </w:pPr>
          </w:p>
        </w:tc>
        <w:tc>
          <w:tcPr>
            <w:tcW w:w="940" w:type="dxa"/>
            <w:vAlign w:val="bottom"/>
            <w:shd w:val="clear" w:color="auto" w:fill="CCEECC"/>
          </w:tcPr>
          <w:p>
            <w:pPr>
              <w:spacing w:after="0"/>
              <w:rPr>
                <w:sz w:val="15"/>
                <w:szCs w:val="15"/>
                <w:color w:val="auto"/>
              </w:rPr>
            </w:pPr>
          </w:p>
        </w:tc>
        <w:tc>
          <w:tcPr>
            <w:tcW w:w="2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r>
      <w:tr>
        <w:trPr>
          <w:trHeight w:val="230"/>
        </w:trPr>
        <w:tc>
          <w:tcPr>
            <w:tcW w:w="2940" w:type="dxa"/>
            <w:vAlign w:val="bottom"/>
            <w:shd w:val="clear" w:color="auto" w:fill="CCEECC"/>
          </w:tcPr>
          <w:p>
            <w:pPr>
              <w:spacing w:after="0"/>
              <w:rPr>
                <w:sz w:val="20"/>
                <w:szCs w:val="20"/>
                <w:color w:val="auto"/>
              </w:rPr>
            </w:pPr>
            <w:r>
              <w:rPr>
                <w:rFonts w:ascii="Arial" w:cs="Arial" w:eastAsia="Arial" w:hAnsi="Arial"/>
                <w:sz w:val="18"/>
                <w:szCs w:val="18"/>
                <w:color w:val="auto"/>
              </w:rPr>
              <w:t>to:</w:t>
            </w:r>
          </w:p>
        </w:tc>
        <w:tc>
          <w:tcPr>
            <w:tcW w:w="6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9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9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r>
      <w:tr>
        <w:trPr>
          <w:trHeight w:val="216"/>
        </w:trPr>
        <w:tc>
          <w:tcPr>
            <w:tcW w:w="2940" w:type="dxa"/>
            <w:vAlign w:val="bottom"/>
          </w:tcPr>
          <w:p>
            <w:pPr>
              <w:ind w:left="60"/>
              <w:spacing w:after="0"/>
              <w:rPr>
                <w:sz w:val="20"/>
                <w:szCs w:val="20"/>
                <w:color w:val="auto"/>
              </w:rPr>
            </w:pPr>
            <w:r>
              <w:rPr>
                <w:rFonts w:ascii="Arial" w:cs="Arial" w:eastAsia="Arial" w:hAnsi="Arial"/>
                <w:sz w:val="18"/>
                <w:szCs w:val="18"/>
                <w:color w:val="auto"/>
              </w:rPr>
              <w:t>Current operations</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102,000</w:t>
            </w:r>
          </w:p>
        </w:tc>
        <w:tc>
          <w:tcPr>
            <w:tcW w:w="1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129,000</w:t>
            </w:r>
          </w:p>
        </w:tc>
        <w:tc>
          <w:tcPr>
            <w:tcW w:w="40" w:type="dxa"/>
            <w:vAlign w:val="bottom"/>
          </w:tcPr>
          <w:p>
            <w:pPr>
              <w:spacing w:after="0"/>
              <w:rPr>
                <w:sz w:val="18"/>
                <w:szCs w:val="18"/>
                <w:color w:val="auto"/>
              </w:rPr>
            </w:pPr>
          </w:p>
        </w:tc>
      </w:tr>
      <w:tr>
        <w:trPr>
          <w:trHeight w:val="230"/>
        </w:trPr>
        <w:tc>
          <w:tcPr>
            <w:tcW w:w="2940" w:type="dxa"/>
            <w:vAlign w:val="bottom"/>
            <w:shd w:val="clear" w:color="auto" w:fill="CCEECC"/>
          </w:tcPr>
          <w:p>
            <w:pPr>
              <w:ind w:left="40"/>
              <w:spacing w:after="0"/>
              <w:rPr>
                <w:sz w:val="20"/>
                <w:szCs w:val="20"/>
                <w:color w:val="auto"/>
              </w:rPr>
            </w:pPr>
            <w:r>
              <w:rPr>
                <w:rFonts w:ascii="Arial" w:cs="Arial" w:eastAsia="Arial" w:hAnsi="Arial"/>
                <w:sz w:val="18"/>
                <w:szCs w:val="18"/>
                <w:color w:val="auto"/>
              </w:rPr>
              <w:t>Valuation allowance</w:t>
            </w:r>
          </w:p>
        </w:tc>
        <w:tc>
          <w:tcPr>
            <w:tcW w:w="6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(102,000)</w:t>
            </w:r>
          </w:p>
        </w:tc>
        <w:tc>
          <w:tcPr>
            <w:tcW w:w="12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00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(129,000)</w:t>
            </w:r>
          </w:p>
        </w:tc>
      </w:tr>
      <w:tr>
        <w:trPr>
          <w:trHeight w:val="223"/>
        </w:trPr>
        <w:tc>
          <w:tcPr>
            <w:tcW w:w="2940" w:type="dxa"/>
            <w:vAlign w:val="bottom"/>
          </w:tcPr>
          <w:p>
            <w:pPr>
              <w:ind w:left="240"/>
              <w:spacing w:after="0"/>
              <w:rPr>
                <w:sz w:val="20"/>
                <w:szCs w:val="20"/>
                <w:color w:val="auto"/>
              </w:rPr>
            </w:pPr>
            <w:r>
              <w:rPr>
                <w:rFonts w:ascii="Arial" w:cs="Arial" w:eastAsia="Arial" w:hAnsi="Arial"/>
                <w:sz w:val="18"/>
                <w:szCs w:val="18"/>
                <w:color w:val="auto"/>
                <w:w w:val="94"/>
              </w:rPr>
              <w:t>Net provision for federal income tax</w:t>
            </w: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tax effect at the expected rate of 34% of significant items comprising our net deferred tax amount is as follows as of March 31, 2012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Borders>
              <w:bottom w:val="single" w:sz="8" w:color="CCEECC"/>
            </w:tcBorders>
          </w:tcPr>
          <w:p>
            <w:pPr>
              <w:spacing w:after="0"/>
              <w:rPr>
                <w:sz w:val="20"/>
                <w:szCs w:val="20"/>
                <w:color w:val="auto"/>
              </w:rPr>
            </w:pPr>
          </w:p>
        </w:tc>
        <w:tc>
          <w:tcPr>
            <w:tcW w:w="300" w:type="dxa"/>
            <w:vAlign w:val="bottom"/>
            <w:tcBorders>
              <w:bottom w:val="single" w:sz="8" w:color="CCEE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210"/>
        </w:trPr>
        <w:tc>
          <w:tcPr>
            <w:tcW w:w="2700" w:type="dxa"/>
            <w:vAlign w:val="bottom"/>
            <w:shd w:val="clear" w:color="auto" w:fill="CCEECC"/>
          </w:tcPr>
          <w:p>
            <w:pPr>
              <w:spacing w:after="0"/>
              <w:rPr>
                <w:sz w:val="20"/>
                <w:szCs w:val="20"/>
                <w:color w:val="auto"/>
              </w:rPr>
            </w:pPr>
            <w:r>
              <w:rPr>
                <w:rFonts w:ascii="Arial" w:cs="Arial" w:eastAsia="Arial" w:hAnsi="Arial"/>
                <w:sz w:val="18"/>
                <w:szCs w:val="18"/>
                <w:color w:val="auto"/>
              </w:rPr>
              <w:t>Deferred tax asset attributable to:</w:t>
            </w:r>
          </w:p>
        </w:tc>
        <w:tc>
          <w:tcPr>
            <w:tcW w:w="3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9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9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r>
      <w:tr>
        <w:trPr>
          <w:trHeight w:val="216"/>
        </w:trPr>
        <w:tc>
          <w:tcPr>
            <w:tcW w:w="2700" w:type="dxa"/>
            <w:vAlign w:val="bottom"/>
          </w:tcPr>
          <w:p>
            <w:pPr>
              <w:ind w:left="60"/>
              <w:spacing w:after="0"/>
              <w:rPr>
                <w:sz w:val="20"/>
                <w:szCs w:val="20"/>
                <w:color w:val="auto"/>
              </w:rPr>
            </w:pPr>
            <w:r>
              <w:rPr>
                <w:rFonts w:ascii="Arial" w:cs="Arial" w:eastAsia="Arial" w:hAnsi="Arial"/>
                <w:sz w:val="18"/>
                <w:szCs w:val="18"/>
                <w:color w:val="auto"/>
              </w:rPr>
              <w:t>Net operating loss carryover</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4,685,000</w:t>
            </w:r>
          </w:p>
        </w:tc>
        <w:tc>
          <w:tcPr>
            <w:tcW w:w="1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4,583,000</w:t>
            </w:r>
          </w:p>
        </w:tc>
        <w:tc>
          <w:tcPr>
            <w:tcW w:w="40" w:type="dxa"/>
            <w:vAlign w:val="bottom"/>
          </w:tcPr>
          <w:p>
            <w:pPr>
              <w:spacing w:after="0"/>
              <w:rPr>
                <w:sz w:val="18"/>
                <w:szCs w:val="18"/>
                <w:color w:val="auto"/>
              </w:rPr>
            </w:pPr>
          </w:p>
        </w:tc>
      </w:tr>
      <w:tr>
        <w:trPr>
          <w:trHeight w:val="230"/>
        </w:trPr>
        <w:tc>
          <w:tcPr>
            <w:tcW w:w="2700" w:type="dxa"/>
            <w:vAlign w:val="bottom"/>
            <w:shd w:val="clear" w:color="auto" w:fill="CCEECC"/>
          </w:tcPr>
          <w:p>
            <w:pPr>
              <w:ind w:left="40"/>
              <w:spacing w:after="0"/>
              <w:rPr>
                <w:sz w:val="20"/>
                <w:szCs w:val="20"/>
                <w:color w:val="auto"/>
              </w:rPr>
            </w:pPr>
            <w:r>
              <w:rPr>
                <w:rFonts w:ascii="Arial" w:cs="Arial" w:eastAsia="Arial" w:hAnsi="Arial"/>
                <w:sz w:val="18"/>
                <w:szCs w:val="18"/>
                <w:color w:val="auto"/>
              </w:rPr>
              <w:t>Valuation allowance</w:t>
            </w:r>
          </w:p>
        </w:tc>
        <w:tc>
          <w:tcPr>
            <w:tcW w:w="30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(4,685,000)</w:t>
            </w:r>
          </w:p>
        </w:tc>
        <w:tc>
          <w:tcPr>
            <w:tcW w:w="12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02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(4,583,000)</w:t>
            </w:r>
          </w:p>
        </w:tc>
      </w:tr>
      <w:tr>
        <w:trPr>
          <w:trHeight w:val="223"/>
        </w:trPr>
        <w:tc>
          <w:tcPr>
            <w:tcW w:w="2700" w:type="dxa"/>
            <w:vAlign w:val="bottom"/>
          </w:tcPr>
          <w:p>
            <w:pPr>
              <w:ind w:left="240"/>
              <w:spacing w:after="0"/>
              <w:rPr>
                <w:sz w:val="20"/>
                <w:szCs w:val="20"/>
                <w:color w:val="auto"/>
              </w:rPr>
            </w:pPr>
            <w:r>
              <w:rPr>
                <w:rFonts w:ascii="Arial" w:cs="Arial" w:eastAsia="Arial" w:hAnsi="Arial"/>
                <w:sz w:val="18"/>
                <w:szCs w:val="18"/>
                <w:color w:val="auto"/>
              </w:rPr>
              <w:t>Net deferred tax asset</w:t>
            </w: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change in ownership provisions of the Tax Reform Act of 1986, net operating loss carry forwards of approximately $13,780,000 for Federal income tax reporting purposes are subject to annual limitations. Should a change in ownership occur, net operating loss carry forwards may be limited as to use in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17 –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consisted of the following for the three months ended March 31, 2012 and 2011,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2011</w:t>
            </w:r>
          </w:p>
        </w:tc>
        <w:tc>
          <w:tcPr>
            <w:tcW w:w="40" w:type="dxa"/>
            <w:vAlign w:val="bottom"/>
          </w:tcPr>
          <w:p>
            <w:pPr>
              <w:spacing w:after="0"/>
              <w:rPr>
                <w:sz w:val="18"/>
                <w:szCs w:val="18"/>
                <w:color w:val="auto"/>
              </w:rPr>
            </w:pPr>
          </w:p>
        </w:tc>
      </w:tr>
      <w:tr>
        <w:trPr>
          <w:trHeight w:val="230"/>
        </w:trPr>
        <w:tc>
          <w:tcPr>
            <w:tcW w:w="3040" w:type="dxa"/>
            <w:vAlign w:val="bottom"/>
            <w:tcBorders>
              <w:bottom w:val="single" w:sz="8" w:color="CCEE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(restated)</w:t>
            </w:r>
          </w:p>
        </w:tc>
      </w:tr>
      <w:tr>
        <w:trPr>
          <w:trHeight w:val="210"/>
        </w:trPr>
        <w:tc>
          <w:tcPr>
            <w:tcW w:w="30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Advertising</w:t>
            </w:r>
          </w:p>
        </w:tc>
        <w:tc>
          <w:tcPr>
            <w:tcW w:w="260" w:type="dxa"/>
            <w:vAlign w:val="bottom"/>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11,270</w:t>
            </w:r>
          </w:p>
        </w:tc>
        <w:tc>
          <w:tcPr>
            <w:tcW w:w="10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187,265</w:t>
            </w:r>
          </w:p>
        </w:tc>
        <w:tc>
          <w:tcPr>
            <w:tcW w:w="40" w:type="dxa"/>
            <w:vAlign w:val="bottom"/>
            <w:shd w:val="clear" w:color="auto" w:fill="CCEECC"/>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38,003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106,214</w:t>
            </w:r>
          </w:p>
        </w:tc>
        <w:tc>
          <w:tcPr>
            <w:tcW w:w="40" w:type="dxa"/>
            <w:vAlign w:val="bottom"/>
          </w:tcPr>
          <w:p>
            <w:pPr>
              <w:spacing w:after="0"/>
              <w:rPr>
                <w:sz w:val="18"/>
                <w:szCs w:val="18"/>
                <w:color w:val="auto"/>
              </w:rPr>
            </w:pPr>
          </w:p>
        </w:tc>
      </w:tr>
      <w:tr>
        <w:trPr>
          <w:trHeight w:val="216"/>
        </w:trPr>
        <w:tc>
          <w:tcPr>
            <w:tcW w:w="30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Consulting</w:t>
            </w:r>
          </w:p>
        </w:tc>
        <w:tc>
          <w:tcPr>
            <w:tcW w:w="26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6,615</w:t>
            </w:r>
          </w:p>
        </w:tc>
        <w:tc>
          <w:tcPr>
            <w:tcW w:w="1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46,775</w:t>
            </w:r>
          </w:p>
        </w:tc>
      </w:tr>
      <w:tr>
        <w:trPr>
          <w:trHeight w:val="216"/>
        </w:trPr>
        <w:tc>
          <w:tcPr>
            <w:tcW w:w="3040" w:type="dxa"/>
            <w:vAlign w:val="bottom"/>
          </w:tcPr>
          <w:p>
            <w:pPr>
              <w:ind w:left="100"/>
              <w:spacing w:after="0"/>
              <w:rPr>
                <w:sz w:val="20"/>
                <w:szCs w:val="20"/>
                <w:color w:val="auto"/>
              </w:rPr>
            </w:pPr>
            <w:r>
              <w:rPr>
                <w:rFonts w:ascii="Arial" w:cs="Arial" w:eastAsia="Arial" w:hAnsi="Arial"/>
                <w:sz w:val="18"/>
                <w:szCs w:val="18"/>
                <w:color w:val="auto"/>
              </w:rPr>
              <w:t>Salaries, wages and benefits</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306,895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173,714</w:t>
            </w:r>
          </w:p>
        </w:tc>
        <w:tc>
          <w:tcPr>
            <w:tcW w:w="40" w:type="dxa"/>
            <w:vAlign w:val="bottom"/>
          </w:tcPr>
          <w:p>
            <w:pPr>
              <w:spacing w:after="0"/>
              <w:rPr>
                <w:sz w:val="18"/>
                <w:szCs w:val="18"/>
                <w:color w:val="auto"/>
              </w:rPr>
            </w:pPr>
          </w:p>
        </w:tc>
      </w:tr>
      <w:tr>
        <w:trPr>
          <w:trHeight w:val="216"/>
        </w:trPr>
        <w:tc>
          <w:tcPr>
            <w:tcW w:w="30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Rent</w:t>
            </w:r>
          </w:p>
        </w:tc>
        <w:tc>
          <w:tcPr>
            <w:tcW w:w="26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16,918</w:t>
            </w:r>
          </w:p>
        </w:tc>
        <w:tc>
          <w:tcPr>
            <w:tcW w:w="1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7,500</w:t>
            </w:r>
          </w:p>
        </w:tc>
        <w:tc>
          <w:tcPr>
            <w:tcW w:w="40" w:type="dxa"/>
            <w:vAlign w:val="bottom"/>
            <w:shd w:val="clear" w:color="auto" w:fill="CCEECC"/>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30,050</w:t>
            </w:r>
          </w:p>
        </w:tc>
      </w:tr>
      <w:tr>
        <w:trPr>
          <w:trHeight w:val="216"/>
        </w:trPr>
        <w:tc>
          <w:tcPr>
            <w:tcW w:w="30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127,548</w:t>
            </w:r>
          </w:p>
        </w:tc>
        <w:tc>
          <w:tcPr>
            <w:tcW w:w="1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0</w:t>
            </w:r>
          </w:p>
        </w:tc>
      </w:tr>
      <w:tr>
        <w:trPr>
          <w:trHeight w:val="230"/>
        </w:trPr>
        <w:tc>
          <w:tcPr>
            <w:tcW w:w="304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77,050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82,763</w:t>
            </w:r>
          </w:p>
        </w:tc>
      </w:tr>
      <w:tr>
        <w:trPr>
          <w:trHeight w:val="223"/>
        </w:trPr>
        <w:tc>
          <w:tcPr>
            <w:tcW w:w="3040" w:type="dxa"/>
            <w:vAlign w:val="bottom"/>
            <w:tcBorders>
              <w:top w:val="single" w:sz="8" w:color="CCEECC"/>
              <w:bottom w:val="single" w:sz="8" w:color="CCEECC"/>
            </w:tcBorders>
            <w:shd w:val="clear" w:color="auto" w:fill="CCEECC"/>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630,322</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634,281</w:t>
            </w:r>
          </w:p>
        </w:tc>
        <w:tc>
          <w:tcPr>
            <w:tcW w:w="4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18 – 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sustained substantial losses since inception.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view of this matter, the ability of the Company to continue as a going concern is dependent upon growth of revenues and the ability of the Company to raise additional capital. Management believes that its successful ability to raise capital and increases in revenues will provide the opportunity for the Company to continue as a going concern.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19 – RESTATEMENT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restated its Consolidated Statement of Operations and its Consolidated Statement of Cash Flows for the three months ended March 31, 2011 to correct an error in its accounting. The Company did not originally accrue expenses related to advertising, marketing and employee bonuses during that period.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vMerge w:val="restart"/>
          </w:tcPr>
          <w:p>
            <w:pPr>
              <w:ind w:left="100"/>
              <w:spacing w:after="0"/>
              <w:rPr>
                <w:sz w:val="20"/>
                <w:szCs w:val="20"/>
                <w:color w:val="auto"/>
              </w:rPr>
            </w:pPr>
            <w:r>
              <w:rPr>
                <w:rFonts w:ascii="Arial" w:cs="Arial" w:eastAsia="Arial" w:hAnsi="Arial"/>
                <w:sz w:val="18"/>
                <w:szCs w:val="18"/>
                <w:color w:val="auto"/>
              </w:rPr>
              <w:t>Financial Statement</w:t>
            </w:r>
          </w:p>
        </w:tc>
        <w:tc>
          <w:tcPr>
            <w:tcW w:w="3200" w:type="dxa"/>
            <w:vAlign w:val="bottom"/>
            <w:vMerge w:val="restart"/>
          </w:tcPr>
          <w:p>
            <w:pPr>
              <w:ind w:left="120"/>
              <w:spacing w:after="0"/>
              <w:rPr>
                <w:sz w:val="20"/>
                <w:szCs w:val="20"/>
                <w:color w:val="auto"/>
              </w:rPr>
            </w:pPr>
            <w:r>
              <w:rPr>
                <w:rFonts w:ascii="Arial" w:cs="Arial" w:eastAsia="Arial" w:hAnsi="Arial"/>
                <w:sz w:val="18"/>
                <w:szCs w:val="18"/>
                <w:color w:val="auto"/>
              </w:rPr>
              <w:t>Line Item</w:t>
            </w:r>
          </w:p>
        </w:tc>
        <w:tc>
          <w:tcPr>
            <w:tcW w:w="2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Three months ended March 31, 2011</w:t>
            </w:r>
          </w:p>
        </w:tc>
        <w:tc>
          <w:tcPr>
            <w:tcW w:w="0" w:type="dxa"/>
            <w:vAlign w:val="bottom"/>
          </w:tcPr>
          <w:p>
            <w:pPr>
              <w:spacing w:after="0"/>
              <w:rPr>
                <w:sz w:val="1"/>
                <w:szCs w:val="1"/>
                <w:color w:val="auto"/>
              </w:rPr>
            </w:pPr>
          </w:p>
        </w:tc>
      </w:tr>
      <w:tr>
        <w:trPr>
          <w:trHeight w:val="210"/>
        </w:trPr>
        <w:tc>
          <w:tcPr>
            <w:tcW w:w="1960" w:type="dxa"/>
            <w:vAlign w:val="bottom"/>
            <w:tcBorders>
              <w:bottom w:val="single" w:sz="8" w:color="CCEECC"/>
            </w:tcBorders>
            <w:vMerge w:val="continue"/>
          </w:tcPr>
          <w:p>
            <w:pPr>
              <w:spacing w:after="0"/>
              <w:rPr>
                <w:sz w:val="18"/>
                <w:szCs w:val="18"/>
                <w:color w:val="auto"/>
              </w:rPr>
            </w:pPr>
          </w:p>
        </w:tc>
        <w:tc>
          <w:tcPr>
            <w:tcW w:w="3200" w:type="dxa"/>
            <w:vAlign w:val="bottom"/>
            <w:tcBorders>
              <w:bottom w:val="single" w:sz="8" w:color="CCEECC"/>
            </w:tcBorders>
            <w:vMerge w:val="continue"/>
          </w:tcPr>
          <w:p>
            <w:pPr>
              <w:spacing w:after="0"/>
              <w:rPr>
                <w:sz w:val="18"/>
                <w:szCs w:val="18"/>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Corrected</w:t>
            </w: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Previously Stated</w:t>
            </w:r>
          </w:p>
        </w:tc>
        <w:tc>
          <w:tcPr>
            <w:tcW w:w="0" w:type="dxa"/>
            <w:vAlign w:val="bottom"/>
          </w:tcPr>
          <w:p>
            <w:pPr>
              <w:spacing w:after="0"/>
              <w:rPr>
                <w:sz w:val="1"/>
                <w:szCs w:val="1"/>
                <w:color w:val="auto"/>
              </w:rPr>
            </w:pPr>
          </w:p>
        </w:tc>
      </w:tr>
      <w:tr>
        <w:trPr>
          <w:trHeight w:val="210"/>
        </w:trPr>
        <w:tc>
          <w:tcPr>
            <w:tcW w:w="1960" w:type="dxa"/>
            <w:vAlign w:val="bottom"/>
            <w:shd w:val="clear" w:color="auto" w:fill="CCEECC"/>
          </w:tcPr>
          <w:p>
            <w:pPr>
              <w:ind w:left="100"/>
              <w:spacing w:after="0"/>
              <w:rPr>
                <w:sz w:val="20"/>
                <w:szCs w:val="20"/>
                <w:color w:val="auto"/>
              </w:rPr>
            </w:pPr>
            <w:r>
              <w:rPr>
                <w:rFonts w:ascii="Arial" w:cs="Arial" w:eastAsia="Arial" w:hAnsi="Arial"/>
                <w:sz w:val="18"/>
                <w:szCs w:val="18"/>
                <w:color w:val="auto"/>
              </w:rPr>
              <w:t>Income statement</w:t>
            </w:r>
          </w:p>
        </w:tc>
        <w:tc>
          <w:tcPr>
            <w:tcW w:w="3200" w:type="dxa"/>
            <w:vAlign w:val="bottom"/>
            <w:shd w:val="clear" w:color="auto" w:fill="CCEECC"/>
          </w:tcPr>
          <w:p>
            <w:pPr>
              <w:ind w:left="120"/>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rPr>
              <w:t>634,281</w:t>
            </w:r>
          </w:p>
        </w:tc>
        <w:tc>
          <w:tcPr>
            <w:tcW w:w="1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469,281</w:t>
            </w:r>
          </w:p>
        </w:tc>
        <w:tc>
          <w:tcPr>
            <w:tcW w:w="0" w:type="dxa"/>
            <w:vAlign w:val="bottom"/>
          </w:tcPr>
          <w:p>
            <w:pPr>
              <w:spacing w:after="0"/>
              <w:rPr>
                <w:sz w:val="1"/>
                <w:szCs w:val="1"/>
                <w:color w:val="auto"/>
              </w:rPr>
            </w:pPr>
          </w:p>
        </w:tc>
      </w:tr>
      <w:tr>
        <w:trPr>
          <w:trHeight w:val="216"/>
        </w:trPr>
        <w:tc>
          <w:tcPr>
            <w:tcW w:w="1960" w:type="dxa"/>
            <w:vAlign w:val="bottom"/>
          </w:tcPr>
          <w:p>
            <w:pPr>
              <w:ind w:left="100"/>
              <w:spacing w:after="0"/>
              <w:rPr>
                <w:sz w:val="20"/>
                <w:szCs w:val="20"/>
                <w:color w:val="auto"/>
              </w:rPr>
            </w:pPr>
            <w:r>
              <w:rPr>
                <w:rFonts w:ascii="Arial" w:cs="Arial" w:eastAsia="Arial" w:hAnsi="Arial"/>
                <w:sz w:val="18"/>
                <w:szCs w:val="18"/>
                <w:color w:val="auto"/>
              </w:rPr>
              <w:t>Income statement</w:t>
            </w:r>
          </w:p>
        </w:tc>
        <w:tc>
          <w:tcPr>
            <w:tcW w:w="3200" w:type="dxa"/>
            <w:vAlign w:val="bottom"/>
          </w:tcPr>
          <w:p>
            <w:pPr>
              <w:ind w:left="120"/>
              <w:spacing w:after="0"/>
              <w:rPr>
                <w:sz w:val="20"/>
                <w:szCs w:val="20"/>
                <w:color w:val="auto"/>
              </w:rPr>
            </w:pPr>
            <w:r>
              <w:rPr>
                <w:rFonts w:ascii="Arial" w:cs="Arial" w:eastAsia="Arial" w:hAnsi="Arial"/>
                <w:sz w:val="18"/>
                <w:szCs w:val="18"/>
                <w:color w:val="auto"/>
              </w:rPr>
              <w:t>Loss from operations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(240,438)</w:t>
            </w:r>
          </w:p>
        </w:tc>
        <w:tc>
          <w:tcPr>
            <w:tcW w:w="1580" w:type="dxa"/>
            <w:vAlign w:val="bottom"/>
          </w:tcPr>
          <w:p>
            <w:pPr>
              <w:jc w:val="right"/>
              <w:spacing w:after="0"/>
              <w:rPr>
                <w:sz w:val="20"/>
                <w:szCs w:val="20"/>
                <w:color w:val="auto"/>
              </w:rPr>
            </w:pPr>
            <w:r>
              <w:rPr>
                <w:rFonts w:ascii="Arial" w:cs="Arial" w:eastAsia="Arial" w:hAnsi="Arial"/>
                <w:sz w:val="18"/>
                <w:szCs w:val="18"/>
                <w:color w:val="auto"/>
              </w:rPr>
              <w:t>(75,438)</w:t>
            </w:r>
          </w:p>
        </w:tc>
        <w:tc>
          <w:tcPr>
            <w:tcW w:w="0" w:type="dxa"/>
            <w:vAlign w:val="bottom"/>
          </w:tcPr>
          <w:p>
            <w:pPr>
              <w:spacing w:after="0"/>
              <w:rPr>
                <w:sz w:val="1"/>
                <w:szCs w:val="1"/>
                <w:color w:val="auto"/>
              </w:rPr>
            </w:pPr>
          </w:p>
        </w:tc>
      </w:tr>
      <w:tr>
        <w:trPr>
          <w:trHeight w:val="216"/>
        </w:trPr>
        <w:tc>
          <w:tcPr>
            <w:tcW w:w="1960" w:type="dxa"/>
            <w:vAlign w:val="bottom"/>
            <w:shd w:val="clear" w:color="auto" w:fill="CCEECC"/>
          </w:tcPr>
          <w:p>
            <w:pPr>
              <w:ind w:left="100"/>
              <w:spacing w:after="0"/>
              <w:rPr>
                <w:sz w:val="20"/>
                <w:szCs w:val="20"/>
                <w:color w:val="auto"/>
              </w:rPr>
            </w:pPr>
            <w:r>
              <w:rPr>
                <w:rFonts w:ascii="Arial" w:cs="Arial" w:eastAsia="Arial" w:hAnsi="Arial"/>
                <w:sz w:val="18"/>
                <w:szCs w:val="18"/>
                <w:color w:val="auto"/>
              </w:rPr>
              <w:t>Income statement</w:t>
            </w:r>
          </w:p>
        </w:tc>
        <w:tc>
          <w:tcPr>
            <w:tcW w:w="3200" w:type="dxa"/>
            <w:vAlign w:val="bottom"/>
            <w:shd w:val="clear" w:color="auto" w:fill="CCEECC"/>
          </w:tcPr>
          <w:p>
            <w:pPr>
              <w:ind w:left="120"/>
              <w:spacing w:after="0"/>
              <w:rPr>
                <w:sz w:val="20"/>
                <w:szCs w:val="20"/>
                <w:color w:val="auto"/>
              </w:rPr>
            </w:pPr>
            <w:r>
              <w:rPr>
                <w:rFonts w:ascii="Arial" w:cs="Arial" w:eastAsia="Arial" w:hAnsi="Arial"/>
                <w:sz w:val="18"/>
                <w:szCs w:val="18"/>
                <w:color w:val="auto"/>
                <w:w w:val="99"/>
              </w:rPr>
              <w:t>Loss before provision for income taxes</w:t>
            </w:r>
          </w:p>
        </w:tc>
        <w:tc>
          <w:tcPr>
            <w:tcW w:w="124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rPr>
              <w:t>(379,932)</w:t>
            </w:r>
          </w:p>
        </w:tc>
        <w:tc>
          <w:tcPr>
            <w:tcW w:w="1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(214,932)</w:t>
            </w:r>
          </w:p>
        </w:tc>
        <w:tc>
          <w:tcPr>
            <w:tcW w:w="0" w:type="dxa"/>
            <w:vAlign w:val="bottom"/>
          </w:tcPr>
          <w:p>
            <w:pPr>
              <w:spacing w:after="0"/>
              <w:rPr>
                <w:sz w:val="1"/>
                <w:szCs w:val="1"/>
                <w:color w:val="auto"/>
              </w:rPr>
            </w:pPr>
          </w:p>
        </w:tc>
      </w:tr>
      <w:tr>
        <w:trPr>
          <w:trHeight w:val="216"/>
        </w:trPr>
        <w:tc>
          <w:tcPr>
            <w:tcW w:w="1960" w:type="dxa"/>
            <w:vAlign w:val="bottom"/>
          </w:tcPr>
          <w:p>
            <w:pPr>
              <w:ind w:left="100"/>
              <w:spacing w:after="0"/>
              <w:rPr>
                <w:sz w:val="20"/>
                <w:szCs w:val="20"/>
                <w:color w:val="auto"/>
              </w:rPr>
            </w:pPr>
            <w:r>
              <w:rPr>
                <w:rFonts w:ascii="Arial" w:cs="Arial" w:eastAsia="Arial" w:hAnsi="Arial"/>
                <w:sz w:val="18"/>
                <w:szCs w:val="18"/>
                <w:color w:val="auto"/>
              </w:rPr>
              <w:t>Income statement</w:t>
            </w:r>
          </w:p>
        </w:tc>
        <w:tc>
          <w:tcPr>
            <w:tcW w:w="32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(379,932)</w:t>
            </w:r>
          </w:p>
        </w:tc>
        <w:tc>
          <w:tcPr>
            <w:tcW w:w="1580" w:type="dxa"/>
            <w:vAlign w:val="bottom"/>
          </w:tcPr>
          <w:p>
            <w:pPr>
              <w:jc w:val="right"/>
              <w:spacing w:after="0"/>
              <w:rPr>
                <w:sz w:val="20"/>
                <w:szCs w:val="20"/>
                <w:color w:val="auto"/>
              </w:rPr>
            </w:pPr>
            <w:r>
              <w:rPr>
                <w:rFonts w:ascii="Arial" w:cs="Arial" w:eastAsia="Arial" w:hAnsi="Arial"/>
                <w:sz w:val="18"/>
                <w:szCs w:val="18"/>
                <w:color w:val="auto"/>
              </w:rPr>
              <w:t>(214,932)</w:t>
            </w:r>
          </w:p>
        </w:tc>
        <w:tc>
          <w:tcPr>
            <w:tcW w:w="0" w:type="dxa"/>
            <w:vAlign w:val="bottom"/>
          </w:tcPr>
          <w:p>
            <w:pPr>
              <w:spacing w:after="0"/>
              <w:rPr>
                <w:sz w:val="1"/>
                <w:szCs w:val="1"/>
                <w:color w:val="auto"/>
              </w:rPr>
            </w:pPr>
          </w:p>
        </w:tc>
      </w:tr>
      <w:tr>
        <w:trPr>
          <w:trHeight w:val="216"/>
        </w:trPr>
        <w:tc>
          <w:tcPr>
            <w:tcW w:w="1960" w:type="dxa"/>
            <w:vAlign w:val="bottom"/>
            <w:shd w:val="clear" w:color="auto" w:fill="CCEECC"/>
          </w:tcPr>
          <w:p>
            <w:pPr>
              <w:ind w:left="100"/>
              <w:spacing w:after="0"/>
              <w:rPr>
                <w:sz w:val="20"/>
                <w:szCs w:val="20"/>
                <w:color w:val="auto"/>
              </w:rPr>
            </w:pPr>
            <w:r>
              <w:rPr>
                <w:rFonts w:ascii="Arial" w:cs="Arial" w:eastAsia="Arial" w:hAnsi="Arial"/>
                <w:sz w:val="18"/>
                <w:szCs w:val="18"/>
                <w:color w:val="auto"/>
                <w:w w:val="96"/>
              </w:rPr>
              <w:t>Statement of cash flows</w:t>
            </w:r>
          </w:p>
        </w:tc>
        <w:tc>
          <w:tcPr>
            <w:tcW w:w="3200" w:type="dxa"/>
            <w:vAlign w:val="bottom"/>
            <w:shd w:val="clear" w:color="auto" w:fill="CCEECC"/>
          </w:tcPr>
          <w:p>
            <w:pPr>
              <w:ind w:left="120"/>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rPr>
              <w:t>(379,932)</w:t>
            </w:r>
          </w:p>
        </w:tc>
        <w:tc>
          <w:tcPr>
            <w:tcW w:w="1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(214,932)</w:t>
            </w:r>
          </w:p>
        </w:tc>
        <w:tc>
          <w:tcPr>
            <w:tcW w:w="0" w:type="dxa"/>
            <w:vAlign w:val="bottom"/>
          </w:tcPr>
          <w:p>
            <w:pPr>
              <w:spacing w:after="0"/>
              <w:rPr>
                <w:sz w:val="1"/>
                <w:szCs w:val="1"/>
                <w:color w:val="auto"/>
              </w:rPr>
            </w:pPr>
          </w:p>
        </w:tc>
      </w:tr>
      <w:tr>
        <w:trPr>
          <w:trHeight w:val="216"/>
        </w:trPr>
        <w:tc>
          <w:tcPr>
            <w:tcW w:w="1960" w:type="dxa"/>
            <w:vAlign w:val="bottom"/>
          </w:tcPr>
          <w:p>
            <w:pPr>
              <w:ind w:left="100"/>
              <w:spacing w:after="0"/>
              <w:rPr>
                <w:sz w:val="20"/>
                <w:szCs w:val="20"/>
                <w:color w:val="auto"/>
              </w:rPr>
            </w:pPr>
            <w:r>
              <w:rPr>
                <w:rFonts w:ascii="Arial" w:cs="Arial" w:eastAsia="Arial" w:hAnsi="Arial"/>
                <w:sz w:val="18"/>
                <w:szCs w:val="18"/>
                <w:color w:val="auto"/>
                <w:w w:val="96"/>
              </w:rPr>
              <w:t>Statement of cash flows</w:t>
            </w:r>
          </w:p>
        </w:tc>
        <w:tc>
          <w:tcPr>
            <w:tcW w:w="3200" w:type="dxa"/>
            <w:vAlign w:val="bottom"/>
          </w:tcPr>
          <w:p>
            <w:pPr>
              <w:ind w:left="120"/>
              <w:spacing w:after="0"/>
              <w:rPr>
                <w:sz w:val="20"/>
                <w:szCs w:val="20"/>
                <w:color w:val="auto"/>
              </w:rPr>
            </w:pPr>
            <w:r>
              <w:rPr>
                <w:rFonts w:ascii="Arial" w:cs="Arial" w:eastAsia="Arial" w:hAnsi="Arial"/>
                <w:sz w:val="18"/>
                <w:szCs w:val="18"/>
                <w:color w:val="auto"/>
              </w:rPr>
              <w:t>Change in accounts payable</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210,735</w:t>
            </w:r>
          </w:p>
        </w:tc>
        <w:tc>
          <w:tcPr>
            <w:tcW w:w="1580" w:type="dxa"/>
            <w:vAlign w:val="bottom"/>
          </w:tcPr>
          <w:p>
            <w:pPr>
              <w:jc w:val="right"/>
              <w:spacing w:after="0"/>
              <w:rPr>
                <w:sz w:val="20"/>
                <w:szCs w:val="20"/>
                <w:color w:val="auto"/>
              </w:rPr>
            </w:pPr>
            <w:r>
              <w:rPr>
                <w:rFonts w:ascii="Arial" w:cs="Arial" w:eastAsia="Arial" w:hAnsi="Arial"/>
                <w:sz w:val="18"/>
                <w:szCs w:val="18"/>
                <w:color w:val="auto"/>
              </w:rPr>
              <w:t>60,735</w:t>
            </w:r>
          </w:p>
        </w:tc>
        <w:tc>
          <w:tcPr>
            <w:tcW w:w="0" w:type="dxa"/>
            <w:vAlign w:val="bottom"/>
          </w:tcPr>
          <w:p>
            <w:pPr>
              <w:spacing w:after="0"/>
              <w:rPr>
                <w:sz w:val="1"/>
                <w:szCs w:val="1"/>
                <w:color w:val="auto"/>
              </w:rPr>
            </w:pPr>
          </w:p>
        </w:tc>
      </w:tr>
      <w:tr>
        <w:trPr>
          <w:trHeight w:val="216"/>
        </w:trPr>
        <w:tc>
          <w:tcPr>
            <w:tcW w:w="1960" w:type="dxa"/>
            <w:vAlign w:val="bottom"/>
            <w:shd w:val="clear" w:color="auto" w:fill="CCEECC"/>
          </w:tcPr>
          <w:p>
            <w:pPr>
              <w:ind w:left="100"/>
              <w:spacing w:after="0"/>
              <w:rPr>
                <w:sz w:val="20"/>
                <w:szCs w:val="20"/>
                <w:color w:val="auto"/>
              </w:rPr>
            </w:pPr>
            <w:r>
              <w:rPr>
                <w:rFonts w:ascii="Arial" w:cs="Arial" w:eastAsia="Arial" w:hAnsi="Arial"/>
                <w:sz w:val="18"/>
                <w:szCs w:val="18"/>
                <w:color w:val="auto"/>
                <w:w w:val="96"/>
              </w:rPr>
              <w:t>Statement of cash flows</w:t>
            </w:r>
          </w:p>
        </w:tc>
        <w:tc>
          <w:tcPr>
            <w:tcW w:w="3200" w:type="dxa"/>
            <w:vAlign w:val="bottom"/>
            <w:shd w:val="clear" w:color="auto" w:fill="CCEECC"/>
          </w:tcPr>
          <w:p>
            <w:pPr>
              <w:ind w:left="120"/>
              <w:spacing w:after="0"/>
              <w:rPr>
                <w:sz w:val="20"/>
                <w:szCs w:val="20"/>
                <w:color w:val="auto"/>
              </w:rPr>
            </w:pPr>
            <w:r>
              <w:rPr>
                <w:rFonts w:ascii="Arial" w:cs="Arial" w:eastAsia="Arial" w:hAnsi="Arial"/>
                <w:sz w:val="18"/>
                <w:szCs w:val="18"/>
                <w:color w:val="auto"/>
              </w:rPr>
              <w:t>Change in accrued expenses</w:t>
            </w:r>
          </w:p>
        </w:tc>
        <w:tc>
          <w:tcPr>
            <w:tcW w:w="124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rPr>
              <w:t>9,300</w:t>
            </w:r>
          </w:p>
        </w:tc>
        <w:tc>
          <w:tcPr>
            <w:tcW w:w="1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1960" w:type="dxa"/>
            <w:vAlign w:val="bottom"/>
          </w:tcPr>
          <w:p>
            <w:pPr>
              <w:ind w:left="100"/>
              <w:spacing w:after="0"/>
              <w:rPr>
                <w:sz w:val="20"/>
                <w:szCs w:val="20"/>
                <w:color w:val="auto"/>
              </w:rPr>
            </w:pPr>
            <w:r>
              <w:rPr>
                <w:rFonts w:ascii="Arial" w:cs="Arial" w:eastAsia="Arial" w:hAnsi="Arial"/>
                <w:sz w:val="18"/>
                <w:szCs w:val="18"/>
                <w:color w:val="auto"/>
                <w:w w:val="96"/>
              </w:rPr>
              <w:t>Statement of cash flows</w:t>
            </w:r>
          </w:p>
        </w:tc>
        <w:tc>
          <w:tcPr>
            <w:tcW w:w="3200" w:type="dxa"/>
            <w:vAlign w:val="bottom"/>
          </w:tcPr>
          <w:p>
            <w:pPr>
              <w:ind w:left="120"/>
              <w:spacing w:after="0"/>
              <w:rPr>
                <w:sz w:val="20"/>
                <w:szCs w:val="20"/>
                <w:color w:val="auto"/>
              </w:rPr>
            </w:pPr>
            <w:r>
              <w:rPr>
                <w:rFonts w:ascii="Arial" w:cs="Arial" w:eastAsia="Arial" w:hAnsi="Arial"/>
                <w:sz w:val="18"/>
                <w:szCs w:val="18"/>
                <w:color w:val="auto"/>
              </w:rPr>
              <w:t>Change in payroll taxes payable</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58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20 – SUBSEQUENT EVENTS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ASC 855-10, the Company has analyzed its operations subsequent to March 31, 2012 through the date these financial statements were issued and has determined that it does not have any material subsequent events to disclose in these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Throughout industry and economic discussions we often hear the catch phrase, “The Perfect Storm,” but none is as prevalent as the transitional business climate between healthcare providers and pharmaceutical manufacturers. The year 2011 has seen greater pressures on health care providers to increase both the volume and value of the services they provide to their patients—with fewer resources.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cumulates with their high focus and scrutiny of ways to reduce their drug costs, primarily through decreased utilization of branded medications when a generic alternative is available. To do this, health systems have restricted pharmaceutical manufacturers’ access to their doctors and no longer accepting drug samples, along with passing more of the cost of branded medication to patients through increased co-pays. Through electronic prescribing (ePrescribing), health systems now have a way of informing physicians of the coverage differential every time they look up a medication to prescribe. ePrescribing now represents over 450 million prescription that are sent directly to pharmacies and is projected to grow to 2 billion by 2016 due to government incentives and rapid adaption.</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turn, these increased pressures and the lack of access pharmaceutical representatives have to doctors have left pharmaceutical manufacturers in need of a new solutions to bridge the gap in promoting their drugs value. Additionally, they’re co-pay and sample vouchers, which increase the likelihood that a patient can better afford to start and stay on their medications, has been difficult to distribute to the doctors and patients needing their help.</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Thus, OptimizeRx Corp., through its SampleMD™ electronic patient savings and support technology, is poised to provide great impact to each stakeholder by automatically added a savings eCoupon and patient support right within the electronic prescription process.</w:t>
      </w:r>
    </w:p>
    <w:p>
      <w:pPr>
        <w:spacing w:after="0" w:line="170"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For OPTIMIZERx, 2011 continued to be a centered on completing and commercializing our SampleMD™ solution. Early beta testing within targeted healthcare systems provided both a test bed and focus group feedback on utilization and user interface requirements. Additionally, the early roll out of the SampleMD™ engine integrated within the Allscripts, the world’s largest ePrescribing application, showed early signs of great potential, but also exposed some hurdles that needed to be cleared to seamlessly streamline the physician’s workflow and ensure all transactional information is captured. Overall, for both installed applications, desk top and ePrescribing, clinicians were satisfied with the ease and availability of the SampleMD™ solution.</w:t>
      </w:r>
    </w:p>
    <w:p>
      <w:pPr>
        <w:spacing w:after="0" w:line="15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Incorporating the feedback and results we compiled from these early test environments, OPTIMIZERx rolled out our SampleMD™ version 3.0 in the 4th quarter 2011 that featured enhanced access to formulary information, a broader search capability and the introduction of our eRep Scheduler, a tool for clinicians and pharmaceutical representatives to establish a rules-based appointment scheduler to set fixed appointments. OPTIMIZERx also continued to optimize the integration between the SampleMD™ solution and multiple ePrescribing and Electronic Medical Record providers. The Allscripts ePrescribing integration continues to show increasing results and clinician adoption while we began integration of our new partner NewCrop. NewCrop is an industry leading electronic prescribing service that has been deployed in over 150 Electronic Medical Record providers and medical networks since 2003.</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also have signed contracts with other ePrescribing platforms that have the potential to triple our reach to over 100,000 physicians in 2012. This clearly position us as the market leader in offering physicians a way to automatically add and electronically distribute co-pay coupons, sample vouchers and patient education to their patients. Likewise, we are uniquely able to offer pharmaceutical manufacturers one platform to manage, promote and report their patient support to physicians- right within their current workflow.</w:t>
      </w:r>
    </w:p>
    <w:p>
      <w:pPr>
        <w:spacing w:after="0" w:line="18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our 3rd and fourth quarter of 2011, we secured additional financing to support our continued growth and the recognized need for additional resources within the technical, sales and administrative disciplines. We used $1,056,876 to pay back the note to Physicians Interactive, with the balance of the funds allocated to be used to support the acquisition of additional resources needed to support our growth.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hiring a new Vice President of Eastern Sales we increased our Sales/Marketing staff to assist with supporting the sales organization and begin to build out and coordinate our brand marketing and awareness programs. We have focused on driving our market message and gained significant exposure while participating in the Allscripts User Conference in August of 2011. With some 3500 plus attendees, we gained valuable exposure to health systems and pharmaceutical manufacturers. Additionally, we participated within the HIMMS health care technology conference, the Marcus Evan Executive Marketing roundtable and launched an Ad campaign surrounding our SampleMD™ solution and its benefits to the health care provider advertising in Pharmaceutical Executive Magazine. We also initiated a number of email marketing campaigns as well as initiating a SampleMD™ newsletter. It is our intent to continue to drive market awareness, secure additional sales, align with additional channel partners, and to acquire the necessary resources to support our continued growth.</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we settled into our new office location at 400 Water Street, Suite 200, Rochester, MI 48307, for the first quarter of 2012, we generated revenue post launch of the SampleMD initiative of $329,403. We continued our development course with efforts to complete the integration of the SampleMD solution within the NewCrop ePrescribing application and begin integration within the DrFirst ePrescribing platform, all that supports more than 150 EMR’s, and broadens our channel reach to some 100,000 plus participating doctors and clinicians.</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continued to update our eRep scheduler while it ran a beta / focus group within a major health care provider. We continue to enhance and refine our base eRep scheduler while further expanding the technology connections between the pharmaceutical manufacturers and the health care providers.</w:t>
      </w:r>
    </w:p>
    <w:p>
      <w:pPr>
        <w:spacing w:after="0" w:line="124" w:lineRule="exact"/>
        <w:rPr>
          <w:sz w:val="20"/>
          <w:szCs w:val="20"/>
          <w:color w:val="auto"/>
        </w:rPr>
      </w:pPr>
    </w:p>
    <w:p>
      <w:pPr>
        <w:ind w:right="220"/>
        <w:spacing w:after="0" w:line="222" w:lineRule="auto"/>
        <w:rPr>
          <w:sz w:val="20"/>
          <w:szCs w:val="20"/>
          <w:color w:val="auto"/>
        </w:rPr>
      </w:pPr>
      <w:r>
        <w:rPr>
          <w:rFonts w:ascii="Arial" w:cs="Arial" w:eastAsia="Arial" w:hAnsi="Arial"/>
          <w:sz w:val="18"/>
          <w:szCs w:val="18"/>
          <w:color w:val="auto"/>
        </w:rPr>
        <w:t>We continue to promote our SampleMD solution as we are preparing to participate at the Marcus Evens Pharma Executive Summit and the Health Connect Partners events early in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quarter of 2012. Additionally, first quarter sales activity continued to focus on contract renewals as well as acquiring new opportunities.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2012 and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total revenue reported for the three months ended March 31, 2012 was $329,403, a decrease from $393,843 from the prior year period.</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decreased revenue for the three months ended March 31, 2012 as compared with the prior year period is a result of delays in receiving our contract renewals in a timely basis from our existing clients. Additionally, we continue to bring on new programs in replacement of some brands which have gone off brand and are now generic and continue to secure new programs and brand participation.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Operating expenses decreased to $630,322 for the three months ended March 31, 2012 from $634,281 for the three months ended March 31, 2011. Our major expenses for the three months ended March 31, 2012 were sales, wages and benefits of $306,895, stock-based compensation of $127,548, and general and administrative expenses of $77,050. In comparison, our major expenses for the three months ended March 31, 2011 were advertising of $187,265, salaries, wages and benefits of $173,714, professional fees of $106,214 and general and administrative expenses of $82,763.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income was $185 for three months ended March 31, 2012 an increase from other expenses of $139,494 for same period ended 2011. We had no interest expenses in 2012 with $140,000 in 2011, which mostly accounted for the difference between the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loss for the three months ended March 31, 2012 was $300,734, compared to net loss of $ $379,932 for the three months ended March 31, 2011.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March 31, 2012, we had total current assets of $1,027,961 and total assets in the amount of $2,358,016. Our total current liabilities as of March 31, 2012 were $949,526. We had working capital of $78,435 as of March 31, 2012.</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Operating activities used $128,004 in cash for the three months ended March 31, 2012. Our net loss of $300,734 along with $159,640 in accounts payable and $127,452 in deferred revenue were the primary component of our negative operating cash flow, offset mainly by $355,412 in accounts receivable. Investing activities used $33,659 during the three months ended March 31, 2012 largely as a result of website development costs.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September 16, 2011, we entered into a Securities Purchase Agreement with Vicis for sale of up to 50 shares of our Series B Preferred Stock and warrants to purchase up to 3,333,334 shares of our common stock with an exercise price of $3.00 per share (the “Vicis Warrants”).</w:t>
      </w:r>
    </w:p>
    <w:p>
      <w:pPr>
        <w:spacing w:after="0" w:line="17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already sold 15 shares of Series B Preferred Stock and a warrant to purchase 1,000,000 shares of our common stock at the above exercise price for $1,500,000. This money was used to pay off a promissory note we had with Physicians Interactive and the balance is for working capital.</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Thereafter, a subsequent closing may occur at our option commencing on December 1, 2011 for the sale of an additional 15 shares of Series B Preferred Stock and a warrant to purchase an additional 1,000,000 shares of our common stock for $1,500,000. A final subsequent closing may occur at our option commencing on May 1, 2012 for the sale of an additional 20 shares of Series B Preferred Stock and a warrant to purchase an additional 1,333,334 shares of our common stock for $2,000,000.</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Each share of Series B Preferred Stock is convertible at the option of the holder into that number of shares of our common stock equal to the Stated Value</w:t>
      </w:r>
    </w:p>
    <w:p>
      <w:pPr>
        <w:spacing w:after="0" w:line="46"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($100,000) divided by a per share price of the common stock of $1.50 per share (the “Conversion Price”). A holder may effect a conversion at any time after the earlier of (a) the time that the Securities and Exchange Commission declares effective a registration statement registering the shares of common stock to be sold by the holder that underlie the shares of Series B Preferred Stock held by such holder (the “Conversion Shares’) and (b) the time such Conversion Shares are eligible for resale by the holder pursuant to Rule 144 of the Securities Act of 1933, as amended, (the “Conversion Eligibility Date”).</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after the Conversion Eligibility Date the market price for the common stock for any ten consecutive trading days exceeds $2.00 (subject to adjustment for reverse and forward stock splits, stock combinations and other similar transactions of the common stock that may occur) and the average daily trading volume for the common stock during such ten day period exceeds 100,000 shares (such period, the “Threshold Period”), the Company may, at any time after the fifth trading day after the end of any such period, deliver a notice to the holder (a “Forced Conversion Notice” and the date such notice is received by the holder, the “Forced Conversion Notice Date”) to cause the holder to immediately convert all and not less than all of the Stated Value of the shares held by such Holder plus accumulated and unpaid dividends at the then current Conversion Price (a “Forced Conversion”). We may only effect a Forced Conversion Notice if all of the conditions specified in the purchase agreement are met through the applicable Threshold Period until the date of the applicable Forced Conversion and through and including the date such shares of common stock are issued to the holder.</w:t>
      </w:r>
    </w:p>
    <w:p>
      <w:pPr>
        <w:spacing w:after="0" w:line="17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Vicis Warrants are exercisable for a period of seven years at an exercise price of $3.00 per share. The Vicis Warrants are also exercisable on a cashless basis. In addition, the Vicis Warrants are subject to anti-dilution adjustments and protections in the event of stock splits and stock dividends, subsequent equity sales entitling persons to acquire shares of common stock at an effective price per share that is lower than the then exercise price of the warrants and subsequent rights offerings, in the event we issue rights, options or warrant to all holders of common stock and not to the warrant holders, pro rata distributions of assets or indebtedness and fundamental transactions, such as a merger, consolidation or recapitalization. The anti-dilution adjustment shall apply the lowest sale price as being the adjusted option price or conversion ratio for existing shareholders.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March 31, 2012 with the current level of financing and cash on hand, we have sufficient cash to operate our business at the current level for the next twelve months but insufficient cash to achieve our business goals unless we: a) realize cash revenues on sales generated; b) continue with the sale of our Series B Preferred Stock to Vicis; and/or c) obtain additional financing through debt and/or equity based financing arrangements which may be insufficient to fund our capital expenditures, working capital, or other cash requirements. There can be no assurance that such additional financing will be available to us on acceptable terms, or at all.</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2012,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accompanying financial statements have been prepared assuming that we will continue as a going concern. We have sustained substantial losses since inception.</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view of this matter, our ability to continue as a going concern is dependent upon growth of revenues and our ability to raise additional capital. Management believes that our successful ability to raise capital and increases in revenues will provide us the opportunity to continue as a going concern.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in Note 2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as of March 31, 2012. This evaluation was carried out under the supervision and with the participation of our Chief Executive Officer and Chief Financial Officer, Mr. David Lester. Based upon that evaluation, our Chief Executive Officer and Chief Financial Officer concluded that, as of March 31, 2012, our disclosure controls and procedures are effective. There have been no significant changes in our internal controls over financial reporting during the quarter ended March 31, 2012 that have materially affected or are reasonably likely to materially affect such controls.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on the Effectiveness of Internal Controls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necessarily prevent all fraud and material error. An internal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internal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spacing w:after="0" w:line="209" w:lineRule="auto"/>
        <w:framePr w:w="260" w:h="160" w:wrap="auto" w:vAnchor="page" w:hAnchor="page" w:x="5820" w:y="10406"/>
        <w:rPr>
          <w:rFonts w:ascii="Arial" w:cs="Arial" w:eastAsia="Arial" w:hAnsi="Arial"/>
          <w:sz w:val="16"/>
          <w:szCs w:val="16"/>
          <w:color w:val="auto"/>
        </w:rPr>
      </w:pPr>
      <w:r>
        <w:rPr>
          <w:rFonts w:ascii="Arial" w:cs="Arial" w:eastAsia="Arial" w:hAnsi="Arial"/>
          <w:sz w:val="16"/>
          <w:szCs w:val="16"/>
          <w:color w:val="auto"/>
        </w:rPr>
        <w:t>10</w:t>
      </w:r>
    </w:p>
    <w:p>
      <w:pPr>
        <w:spacing w:after="0" w:line="209" w:lineRule="auto"/>
        <w:framePr w:w="400" w:h="160" w:wrap="auto" w:vAnchor="page" w:hAnchor="page" w:x="200" w:y="9366"/>
        <w:rPr>
          <w:rFonts w:ascii="Arial" w:cs="Arial" w:eastAsia="Arial" w:hAnsi="Arial"/>
          <w:sz w:val="16"/>
          <w:szCs w:val="16"/>
          <w:color w:val="auto"/>
        </w:rPr>
      </w:pPr>
      <w:r>
        <w:rPr>
          <w:rFonts w:ascii="Arial" w:cs="Arial" w:eastAsia="Arial" w:hAnsi="Arial"/>
          <w:sz w:val="16"/>
          <w:szCs w:val="16"/>
          <w:color w:val="auto"/>
        </w:rPr>
        <w:t>32.1</w:t>
      </w:r>
    </w:p>
    <w:p>
      <w:pPr>
        <w:spacing w:after="0" w:line="209" w:lineRule="auto"/>
        <w:framePr w:w="400" w:h="160" w:wrap="auto" w:vAnchor="page" w:hAnchor="page" w:x="200" w:y="8934"/>
        <w:rPr>
          <w:rFonts w:ascii="Arial" w:cs="Arial" w:eastAsia="Arial" w:hAnsi="Arial"/>
          <w:sz w:val="16"/>
          <w:szCs w:val="16"/>
          <w:color w:val="auto"/>
        </w:rPr>
      </w:pPr>
      <w:r>
        <w:rPr>
          <w:rFonts w:ascii="Arial" w:cs="Arial" w:eastAsia="Arial" w:hAnsi="Arial"/>
          <w:sz w:val="16"/>
          <w:szCs w:val="16"/>
          <w:color w:val="auto"/>
        </w:rPr>
        <w:t>31.2</w:t>
      </w:r>
    </w:p>
    <w:p>
      <w:pPr>
        <w:spacing w:after="0" w:line="209" w:lineRule="auto"/>
        <w:framePr w:w="400" w:h="160" w:wrap="auto" w:vAnchor="page" w:hAnchor="page" w:x="200" w:y="8501"/>
        <w:rPr>
          <w:rFonts w:ascii="Arial" w:cs="Arial" w:eastAsia="Arial" w:hAnsi="Arial"/>
          <w:sz w:val="16"/>
          <w:szCs w:val="16"/>
          <w:color w:val="auto"/>
        </w:rPr>
      </w:pPr>
      <w:r>
        <w:rPr>
          <w:rFonts w:ascii="Arial" w:cs="Arial" w:eastAsia="Arial" w:hAnsi="Arial"/>
          <w:sz w:val="16"/>
          <w:szCs w:val="16"/>
          <w:color w:val="auto"/>
        </w:rPr>
        <w:t>31.1</w:t>
      </w:r>
    </w:p>
    <w:p>
      <w:pPr>
        <w:spacing w:after="0" w:line="209" w:lineRule="auto"/>
        <w:framePr w:w="400" w:h="160" w:wrap="auto" w:vAnchor="page" w:hAnchor="page" w:x="200" w:y="8245"/>
        <w:rPr>
          <w:rFonts w:ascii="Arial" w:cs="Arial" w:eastAsia="Arial" w:hAnsi="Arial"/>
          <w:sz w:val="16"/>
          <w:szCs w:val="16"/>
          <w:color w:val="auto"/>
        </w:rPr>
      </w:pPr>
      <w:r>
        <w:rPr>
          <w:rFonts w:ascii="Arial" w:cs="Arial" w:eastAsia="Arial" w:hAnsi="Arial"/>
          <w:sz w:val="16"/>
          <w:szCs w:val="16"/>
          <w:color w:val="auto"/>
        </w:rPr>
        <w:t>10.1</w:t>
      </w:r>
    </w:p>
    <w:p>
      <w:pPr>
        <w:spacing w:after="0" w:line="182" w:lineRule="auto"/>
        <w:framePr w:w="3380" w:h="201" w:wrap="auto" w:vAnchor="page" w:hAnchor="page" w:x="1700" w:y="8245"/>
        <w:rPr>
          <w:rFonts w:ascii="Arial" w:cs="Arial" w:eastAsia="Arial" w:hAnsi="Arial"/>
          <w:sz w:val="15"/>
          <w:szCs w:val="15"/>
          <w:color w:val="auto"/>
        </w:rPr>
      </w:pPr>
      <w:r>
        <w:rPr>
          <w:rFonts w:ascii="Arial" w:cs="Arial" w:eastAsia="Arial" w:hAnsi="Arial"/>
          <w:sz w:val="15"/>
          <w:szCs w:val="15"/>
          <w:color w:val="auto"/>
        </w:rPr>
        <w:t>Settlement Agreement, dated June 30, 2011</w:t>
      </w:r>
      <w:r>
        <w:rPr>
          <w:rFonts w:ascii="Arial" w:cs="Arial" w:eastAsia="Arial" w:hAnsi="Arial"/>
          <w:sz w:val="23"/>
          <w:szCs w:val="23"/>
          <w:color w:val="auto"/>
          <w:vertAlign w:val="superscript"/>
        </w:rPr>
        <w:t>(1)</w:t>
      </w:r>
    </w:p>
    <w:p>
      <w:pPr>
        <w:spacing w:after="0" w:line="218" w:lineRule="auto"/>
        <w:framePr w:w="9800" w:h="376" w:wrap="auto" w:vAnchor="page" w:hAnchor="page" w:x="1700" w:y="8501"/>
        <w:rPr>
          <w:rFonts w:ascii="Arial" w:cs="Arial" w:eastAsia="Arial" w:hAnsi="Arial"/>
          <w:sz w:val="18"/>
          <w:szCs w:val="18"/>
          <w:u w:val="single" w:color="auto"/>
          <w:color w:val="0000EE"/>
        </w:rPr>
      </w:pPr>
      <w:r>
        <w:rPr>
          <w:rFonts w:ascii="Arial" w:cs="Arial" w:eastAsia="Arial" w:hAnsi="Arial"/>
          <w:sz w:val="18"/>
          <w:szCs w:val="18"/>
          <w:u w:val="single" w:color="auto"/>
          <w:color w:val="0000EE"/>
        </w:rPr>
        <w:t>Certification of Chief Executive Officer pursuant to 18 U.S.C. Section 1350, as adopted pursuant to Section 302 of the Sarbanes-Oxley Act of 2002</w:t>
      </w:r>
    </w:p>
    <w:p>
      <w:pPr>
        <w:spacing w:after="0" w:line="218" w:lineRule="auto"/>
        <w:framePr w:w="9760" w:h="376" w:wrap="auto" w:vAnchor="page" w:hAnchor="page" w:x="1700" w:y="8934"/>
        <w:rPr>
          <w:rFonts w:ascii="Arial" w:cs="Arial" w:eastAsia="Arial" w:hAnsi="Arial"/>
          <w:sz w:val="18"/>
          <w:szCs w:val="18"/>
          <w:u w:val="single" w:color="auto"/>
          <w:color w:val="0000EE"/>
        </w:rPr>
      </w:pPr>
      <w:r>
        <w:rPr>
          <w:rFonts w:ascii="Arial" w:cs="Arial" w:eastAsia="Arial" w:hAnsi="Arial"/>
          <w:sz w:val="18"/>
          <w:szCs w:val="18"/>
          <w:u w:val="single" w:color="auto"/>
          <w:color w:val="0000EE"/>
        </w:rPr>
        <w:t>Certification of Chief Financial Officer pursuant to 18 U.S.C. Section 1350, as adopted pursuant to Section 302 of the Sarbanes-Oxley Act of 2002</w:t>
      </w:r>
    </w:p>
    <w:p>
      <w:pPr>
        <w:spacing w:after="0" w:line="218" w:lineRule="auto"/>
        <w:framePr w:w="9860" w:h="376" w:wrap="auto" w:vAnchor="page" w:hAnchor="page" w:x="1700" w:y="9366"/>
        <w:rPr>
          <w:rFonts w:ascii="Arial" w:cs="Arial" w:eastAsia="Arial" w:hAnsi="Arial"/>
          <w:sz w:val="18"/>
          <w:szCs w:val="18"/>
          <w:u w:val="single" w:color="auto"/>
          <w:color w:val="0000EE"/>
        </w:rPr>
      </w:pPr>
      <w:r>
        <w:rPr>
          <w:rFonts w:ascii="Arial" w:cs="Arial" w:eastAsia="Arial" w:hAnsi="Arial"/>
          <w:sz w:val="18"/>
          <w:szCs w:val="18"/>
          <w:u w:val="single" w:color="auto"/>
          <w:color w:val="0000EE"/>
        </w:rPr>
        <w:t>Certification of Chief Executive Officer and Chief Financial Officer pursuant to 18 U.S.C. Section 1350, as adopted pursuant to Section 906 of the Sarbanes-Oxley Act of 2002</w:t>
      </w:r>
    </w:p>
    <w:p>
      <w:pPr>
        <w:spacing w:after="0" w:line="209" w:lineRule="auto"/>
        <w:framePr w:w="7020" w:h="160" w:wrap="auto" w:vAnchor="page" w:hAnchor="page" w:x="200" w:y="9798"/>
        <w:rPr>
          <w:rFonts w:ascii="Arial" w:cs="Arial" w:eastAsia="Arial" w:hAnsi="Arial"/>
          <w:sz w:val="16"/>
          <w:szCs w:val="16"/>
          <w:u w:val="single" w:color="auto"/>
          <w:color w:val="0000EE"/>
        </w:rPr>
      </w:pPr>
      <w:r>
        <w:rPr>
          <w:rFonts w:ascii="Arial" w:cs="Arial" w:eastAsia="Arial" w:hAnsi="Arial"/>
          <w:sz w:val="16"/>
          <w:szCs w:val="16"/>
          <w:u w:val="single" w:color="auto"/>
          <w:color w:val="0000EE"/>
        </w:rPr>
        <w:t>(1) Incorporated by reference to the quarterly report on Form 10-Q filed on November 14, 2011.</w:t>
      </w:r>
    </w:p>
    <w:p>
      <w:pPr>
        <w:spacing w:after="0" w:line="209" w:lineRule="auto"/>
        <w:framePr w:w="1780" w:h="160" w:wrap="auto" w:vAnchor="page" w:hAnchor="page" w:x="1700" w:y="8029"/>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Description of Exhibit</w:t>
      </w:r>
    </w:p>
    <w:p>
      <w:pPr>
        <w:spacing w:after="0" w:line="209" w:lineRule="auto"/>
        <w:framePr w:w="480" w:h="160" w:wrap="auto" w:vAnchor="page" w:hAnchor="page" w:x="200" w:y="7164"/>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None</w:t>
      </w:r>
    </w:p>
    <w:p>
      <w:pPr>
        <w:spacing w:after="0" w:line="363" w:lineRule="auto"/>
        <w:framePr w:w="1340" w:h="593" w:wrap="auto" w:vAnchor="page" w:hAnchor="page" w:x="200" w:y="7597"/>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t>Item 6. Exhibits Exhibit Number</w:t>
      </w:r>
    </w:p>
    <w:p>
      <w:pPr>
        <w:spacing w:after="0" w:line="209" w:lineRule="auto"/>
        <w:framePr w:w="1360" w:h="160" w:wrap="auto" w:vAnchor="page" w:hAnchor="page" w:x="200" w:y="25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5" w:lineRule="auto"/>
        <w:framePr w:w="2940" w:h="160" w:wrap="auto" w:vAnchor="page" w:hAnchor="page" w:x="4480" w:y="682"/>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t>PART II – OTHER INFORMATION</w:t>
      </w:r>
    </w:p>
    <w:p>
      <w:pPr>
        <w:spacing w:after="0" w:line="343" w:lineRule="auto"/>
        <w:framePr w:w="2080" w:h="593" w:wrap="auto" w:vAnchor="page" w:hAnchor="page" w:x="200" w:y="1114"/>
        <w:rPr>
          <w:rFonts w:ascii="Arial" w:cs="Arial" w:eastAsia="Arial" w:hAnsi="Arial"/>
          <w:sz w:val="18"/>
          <w:szCs w:val="18"/>
          <w:u w:val="single" w:color="auto"/>
          <w:color w:val="0000EE"/>
        </w:rPr>
      </w:pPr>
      <w:r>
        <w:rPr>
          <w:rFonts w:ascii="Arial" w:cs="Arial" w:eastAsia="Arial" w:hAnsi="Arial"/>
          <w:sz w:val="18"/>
          <w:szCs w:val="18"/>
          <w:b w:val="1"/>
          <w:bCs w:val="1"/>
          <w:u w:val="single" w:color="auto"/>
          <w:color w:val="0000EE"/>
        </w:rPr>
        <w:t xml:space="preserve">Item 1. Legal Proceedings </w:t>
      </w:r>
      <w:r>
        <w:rPr>
          <w:rFonts w:ascii="Arial" w:cs="Arial" w:eastAsia="Arial" w:hAnsi="Arial"/>
          <w:sz w:val="18"/>
          <w:szCs w:val="18"/>
          <w:u w:val="single" w:color="auto"/>
          <w:color w:val="0000EE"/>
        </w:rPr>
        <w:t>None</w:t>
      </w:r>
    </w:p>
    <w:p>
      <w:pPr>
        <w:spacing w:after="0" w:line="209" w:lineRule="auto"/>
        <w:framePr w:w="1800" w:h="160" w:wrap="auto" w:vAnchor="page" w:hAnchor="page" w:x="200" w:y="1978"/>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Item 1A: Risk Factors</w:t>
      </w:r>
    </w:p>
    <w:p>
      <w:pPr>
        <w:spacing w:after="0" w:line="209" w:lineRule="auto"/>
        <w:framePr w:w="6820" w:h="160" w:wrap="auto" w:vAnchor="page" w:hAnchor="page" w:x="200" w:y="2411"/>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A smaller reporting company is not required to provide the information required by this Item.</w:t>
      </w:r>
    </w:p>
    <w:p>
      <w:pPr>
        <w:spacing w:after="0" w:line="412" w:lineRule="auto"/>
        <w:framePr w:w="5240" w:h="593" w:wrap="auto" w:vAnchor="page" w:hAnchor="page" w:x="200" w:y="2843"/>
        <w:rPr>
          <w:rFonts w:ascii="Arial" w:cs="Arial" w:eastAsia="Arial" w:hAnsi="Arial"/>
          <w:sz w:val="15"/>
          <w:szCs w:val="15"/>
          <w:u w:val="single" w:color="auto"/>
          <w:color w:val="0000EE"/>
        </w:rPr>
      </w:pPr>
      <w:r>
        <w:rPr>
          <w:rFonts w:ascii="Arial" w:cs="Arial" w:eastAsia="Arial" w:hAnsi="Arial"/>
          <w:sz w:val="15"/>
          <w:szCs w:val="15"/>
          <w:b w:val="1"/>
          <w:bCs w:val="1"/>
          <w:u w:val="single" w:color="auto"/>
          <w:color w:val="0000EE"/>
        </w:rPr>
        <w:t xml:space="preserve">Item 2. Unregistered Sales of Equity Securities and Use of Proceeds </w:t>
      </w:r>
      <w:r>
        <w:rPr>
          <w:rFonts w:ascii="Arial" w:cs="Arial" w:eastAsia="Arial" w:hAnsi="Arial"/>
          <w:sz w:val="15"/>
          <w:szCs w:val="15"/>
          <w:u w:val="single" w:color="auto"/>
          <w:color w:val="0000EE"/>
        </w:rPr>
        <w:t>During the current reporting period, we issued the following securities:</w:t>
      </w:r>
    </w:p>
    <w:p>
      <w:pPr>
        <w:spacing w:after="0" w:line="245" w:lineRule="auto"/>
        <w:framePr w:w="11500" w:h="376" w:wrap="auto" w:vAnchor="page" w:hAnchor="page" w:x="200" w:y="3707"/>
        <w:rPr>
          <w:rFonts w:ascii="Arial" w:cs="Arial" w:eastAsia="Arial" w:hAnsi="Arial"/>
          <w:sz w:val="16"/>
          <w:szCs w:val="16"/>
          <w:u w:val="single" w:color="auto"/>
          <w:color w:val="0000EE"/>
        </w:rPr>
      </w:pPr>
      <w:r>
        <w:rPr>
          <w:rFonts w:ascii="Arial" w:cs="Arial" w:eastAsia="Arial" w:hAnsi="Arial"/>
          <w:sz w:val="16"/>
          <w:szCs w:val="16"/>
          <w:u w:val="single" w:color="auto"/>
          <w:color w:val="0000EE"/>
        </w:rPr>
        <w:t>During the current reporting period, we entered into an agreement with an investment relations company and in connection with that agreement we issued four-year cashless warrants to purchase 50,000 shares of our common stock at an exercise price of 120% of the closing price on the date of issuance.</w:t>
      </w:r>
    </w:p>
    <w:p>
      <w:pPr>
        <w:jc w:val="both"/>
        <w:spacing w:after="0" w:line="234" w:lineRule="auto"/>
        <w:framePr w:w="11500" w:h="809" w:wrap="auto" w:vAnchor="page" w:hAnchor="page" w:x="200" w:y="4355"/>
        <w:rPr>
          <w:rFonts w:ascii="Arial" w:cs="Arial" w:eastAsia="Arial" w:hAnsi="Arial"/>
          <w:sz w:val="18"/>
          <w:szCs w:val="18"/>
          <w:u w:val="single" w:color="auto"/>
          <w:color w:val="0000EE"/>
        </w:rPr>
      </w:pPr>
      <w:r>
        <w:rPr>
          <w:rFonts w:ascii="Arial" w:cs="Arial" w:eastAsia="Arial" w:hAnsi="Arial"/>
          <w:sz w:val="18"/>
          <w:szCs w:val="18"/>
          <w:u w:val="single" w:color="auto"/>
          <w:color w:val="0000EE"/>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343" w:lineRule="auto"/>
        <w:framePr w:w="3080" w:h="593" w:wrap="auto" w:vAnchor="page" w:hAnchor="page" w:x="200" w:y="5436"/>
        <w:rPr>
          <w:rFonts w:ascii="Arial" w:cs="Arial" w:eastAsia="Arial" w:hAnsi="Arial"/>
          <w:sz w:val="18"/>
          <w:szCs w:val="18"/>
          <w:u w:val="single" w:color="auto"/>
          <w:color w:val="0000EE"/>
        </w:rPr>
      </w:pPr>
      <w:r>
        <w:rPr>
          <w:rFonts w:ascii="Arial" w:cs="Arial" w:eastAsia="Arial" w:hAnsi="Arial"/>
          <w:sz w:val="18"/>
          <w:szCs w:val="18"/>
          <w:b w:val="1"/>
          <w:bCs w:val="1"/>
          <w:u w:val="single" w:color="auto"/>
          <w:color w:val="0000EE"/>
        </w:rPr>
        <w:t xml:space="preserve">Item 3. Defaults upon Senior Securities </w:t>
      </w:r>
      <w:r>
        <w:rPr>
          <w:rFonts w:ascii="Arial" w:cs="Arial" w:eastAsia="Arial" w:hAnsi="Arial"/>
          <w:sz w:val="18"/>
          <w:szCs w:val="18"/>
          <w:u w:val="single" w:color="auto"/>
          <w:color w:val="0000EE"/>
        </w:rPr>
        <w:t>None</w:t>
      </w:r>
    </w:p>
    <w:p>
      <w:pPr>
        <w:spacing w:after="0" w:line="386" w:lineRule="auto"/>
        <w:framePr w:w="2440" w:h="593" w:wrap="auto" w:vAnchor="page" w:hAnchor="page" w:x="200" w:y="630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Item 4. Mine Safety Disclosure Item 5. Other Information</w:t>
      </w:r>
    </w:p>
    <w:p>
      <w:pPr>
        <w:spacing w:after="0" w:line="386" w:lineRule="auto"/>
        <w:rPr>
          <w:rFonts w:ascii="Arial" w:cs="Arial" w:eastAsia="Arial" w:hAnsi="Arial"/>
          <w:sz w:val="16"/>
          <w:szCs w:val="16"/>
          <w:b w:val="1"/>
          <w:bCs w:val="1"/>
          <w:u w:val="single" w:color="auto"/>
          <w:color w:val="0000EE"/>
        </w:rPr>
        <w:sectPr>
          <w:pgSz w:w="11900" w:h="16838" w:orient="portrait"/>
          <w:cols w:equalWidth="1" w:num="1" w:space="0"/>
          <w:pgMar w:left="1440" w:top="1440" w:right="1440" w:bottom="875" w:gutter="0" w:footer="0" w:header="0"/>
        </w:sect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157480</wp:posOffset>
            </wp:positionH>
            <wp:positionV relativeFrom="page">
              <wp:posOffset>6752590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0" w:type="dxa"/>
            <w:vAlign w:val="bottom"/>
          </w:tcPr>
          <w:p>
            <w:pPr>
              <w:spacing w:after="0"/>
              <w:rPr>
                <w:sz w:val="19"/>
                <w:szCs w:val="19"/>
                <w:color w:val="auto"/>
              </w:rPr>
            </w:pPr>
          </w:p>
        </w:tc>
        <w:tc>
          <w:tcPr>
            <w:tcW w:w="10700" w:type="dxa"/>
            <w:vAlign w:val="bottom"/>
            <w:gridSpan w:val="3"/>
          </w:tcPr>
          <w:p>
            <w:pPr>
              <w:ind w:left="32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10700" w:type="dxa"/>
            <w:vAlign w:val="bottom"/>
            <w:gridSpan w:val="3"/>
          </w:tcPr>
          <w:p>
            <w:pPr>
              <w:ind w:left="320"/>
              <w:spacing w:after="0"/>
              <w:rPr>
                <w:sz w:val="20"/>
                <w:szCs w:val="20"/>
                <w:color w:val="auto"/>
              </w:rPr>
            </w:pPr>
            <w:r>
              <w:rPr>
                <w:rFonts w:ascii="Arial" w:cs="Arial" w:eastAsia="Arial" w:hAnsi="Arial"/>
                <w:sz w:val="18"/>
                <w:szCs w:val="18"/>
                <w:color w:val="auto"/>
              </w:rPr>
              <w:t>May 15, 2012</w:t>
            </w:r>
          </w:p>
        </w:tc>
      </w:tr>
      <w:tr>
        <w:trPr>
          <w:trHeight w:val="190"/>
        </w:trPr>
        <w:tc>
          <w:tcPr>
            <w:tcW w:w="720" w:type="dxa"/>
            <w:vAlign w:val="bottom"/>
          </w:tcPr>
          <w:p>
            <w:pPr>
              <w:spacing w:after="0"/>
              <w:rPr>
                <w:sz w:val="16"/>
                <w:szCs w:val="16"/>
                <w:color w:val="auto"/>
              </w:rPr>
            </w:pPr>
          </w:p>
        </w:tc>
        <w:tc>
          <w:tcPr>
            <w:tcW w:w="10700" w:type="dxa"/>
            <w:vAlign w:val="bottom"/>
            <w:gridSpan w:val="3"/>
          </w:tcPr>
          <w:p>
            <w:pPr>
              <w:ind w:left="320"/>
              <w:spacing w:after="0" w:line="190" w:lineRule="exact"/>
              <w:rPr>
                <w:sz w:val="20"/>
                <w:szCs w:val="20"/>
                <w:color w:val="auto"/>
              </w:rPr>
            </w:pPr>
            <w:r>
              <w:rPr>
                <w:rFonts w:ascii="Arial" w:cs="Arial" w:eastAsia="Arial" w:hAnsi="Arial"/>
                <w:sz w:val="18"/>
                <w:szCs w:val="18"/>
                <w:color w:val="auto"/>
              </w:rPr>
              <w:t>By: s/ David Lester</w:t>
            </w:r>
          </w:p>
        </w:tc>
      </w:tr>
      <w:tr>
        <w:trPr>
          <w:trHeight w:val="20"/>
        </w:trPr>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218"/>
        </w:trPr>
        <w:tc>
          <w:tcPr>
            <w:tcW w:w="720" w:type="dxa"/>
            <w:vAlign w:val="bottom"/>
          </w:tcPr>
          <w:p>
            <w:pPr>
              <w:spacing w:after="0"/>
              <w:rPr>
                <w:sz w:val="18"/>
                <w:szCs w:val="18"/>
                <w:color w:val="auto"/>
              </w:rPr>
            </w:pPr>
          </w:p>
        </w:tc>
        <w:tc>
          <w:tcPr>
            <w:tcW w:w="10700" w:type="dxa"/>
            <w:vAlign w:val="bottom"/>
            <w:gridSpan w:val="3"/>
          </w:tcPr>
          <w:p>
            <w:pPr>
              <w:ind w:left="320"/>
              <w:spacing w:after="0"/>
              <w:rPr>
                <w:sz w:val="20"/>
                <w:szCs w:val="20"/>
                <w:color w:val="auto"/>
              </w:rPr>
            </w:pPr>
            <w:r>
              <w:rPr>
                <w:rFonts w:ascii="Arial" w:cs="Arial" w:eastAsia="Arial" w:hAnsi="Arial"/>
                <w:sz w:val="18"/>
                <w:szCs w:val="18"/>
                <w:color w:val="auto"/>
              </w:rPr>
              <w:t>David Lester</w:t>
            </w:r>
          </w:p>
        </w:tc>
      </w:tr>
      <w:tr>
        <w:trPr>
          <w:trHeight w:val="234"/>
        </w:trPr>
        <w:tc>
          <w:tcPr>
            <w:tcW w:w="720" w:type="dxa"/>
            <w:vAlign w:val="bottom"/>
          </w:tcPr>
          <w:p>
            <w:pPr>
              <w:spacing w:after="0"/>
              <w:rPr>
                <w:sz w:val="20"/>
                <w:szCs w:val="20"/>
                <w:color w:val="auto"/>
              </w:rPr>
            </w:pPr>
          </w:p>
        </w:tc>
        <w:tc>
          <w:tcPr>
            <w:tcW w:w="10700" w:type="dxa"/>
            <w:vAlign w:val="bottom"/>
            <w:gridSpan w:val="3"/>
          </w:tcPr>
          <w:p>
            <w:pPr>
              <w:ind w:left="3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Chief Executive Officer, Chief Financial Officer, and Director</w:t>
            </w:r>
          </w:p>
        </w:tc>
      </w:tr>
      <w:tr>
        <w:trPr>
          <w:trHeight w:val="399"/>
        </w:trPr>
        <w:tc>
          <w:tcPr>
            <w:tcW w:w="720" w:type="dxa"/>
            <w:vAlign w:val="bottom"/>
            <w:tcBorders>
              <w:bottom w:val="single" w:sz="8" w:color="auto"/>
            </w:tcBorders>
          </w:tcPr>
          <w:p>
            <w:pPr>
              <w:spacing w:after="0"/>
              <w:rPr>
                <w:sz w:val="24"/>
                <w:szCs w:val="24"/>
                <w:color w:val="auto"/>
              </w:rPr>
            </w:pPr>
          </w:p>
        </w:tc>
        <w:tc>
          <w:tcPr>
            <w:tcW w:w="10700" w:type="dxa"/>
            <w:vAlign w:val="bottom"/>
            <w:tcBorders>
              <w:bottom w:val="single" w:sz="8" w:color="auto"/>
            </w:tcBorders>
            <w:gridSpan w:val="3"/>
          </w:tcPr>
          <w:p>
            <w:pPr>
              <w:ind w:left="490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233" w:right="239" w:bottom="1440" w:gutter="0" w:footer="0" w:header="0"/>
        </w:sectPr>
      </w:pPr>
    </w:p>
    <w:bookmarkStart w:id="25" w:name="page26"/>
    <w:bookmarkEnd w:id="2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25"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2012 of OptimizeRx Corporation;</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00"/>
          </w:cols>
          <w:pgMar w:left="240" w:top="121"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25"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2012 of OptimizeRx Corporation;</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00"/>
          </w:cols>
          <w:pgMar w:left="240" w:top="121"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color w:val="auto"/>
        </w:rPr>
        <w:t>CERTIFICATION OF CHIEF EXECUTIVE OFFICER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quarterly Report of OptimizeRx Corporation (the “Company”) on Form 10-Q for the quarter ended March 31, 2012 filed with the Securities and Exchange Commission (the “Report”), I, David Lester, Chief Executive Officer and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ectPr>
          <w:pgSz w:w="11900" w:h="16838" w:orient="portrait"/>
          <w:cols w:equalWidth="0" w:num="1">
            <w:col w:w="11420"/>
          </w:cols>
          <w:pgMar w:left="240" w:top="125" w:right="239" w:bottom="1440" w:gutter="0" w:footer="0" w:header="0"/>
        </w:sectPr>
      </w:pP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has been furnished solely pursuant to Section 906 of the Sarbanes-Oxley Act of 2002.</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280" w:type="dxa"/>
            <w:vAlign w:val="bottom"/>
            <w:gridSpan w:val="2"/>
          </w:tcPr>
          <w:p>
            <w:pPr>
              <w:spacing w:after="0"/>
              <w:rPr>
                <w:sz w:val="20"/>
                <w:szCs w:val="20"/>
                <w:color w:val="auto"/>
              </w:rPr>
            </w:pPr>
            <w:r>
              <w:rPr>
                <w:rFonts w:ascii="Arial" w:cs="Arial" w:eastAsia="Arial" w:hAnsi="Arial"/>
                <w:sz w:val="18"/>
                <w:szCs w:val="18"/>
                <w:color w:val="auto"/>
              </w:rPr>
              <w:t>/s/ David Lester</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Lester</w:t>
            </w:r>
          </w:p>
        </w:tc>
        <w:tc>
          <w:tcPr>
            <w:tcW w:w="3140" w:type="dxa"/>
            <w:vAlign w:val="bottom"/>
          </w:tcPr>
          <w:p>
            <w:pPr>
              <w:spacing w:after="0"/>
              <w:rPr>
                <w:sz w:val="19"/>
                <w:szCs w:val="19"/>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spacing w:after="0"/>
              <w:rPr>
                <w:sz w:val="20"/>
                <w:szCs w:val="20"/>
                <w:color w:val="auto"/>
              </w:rPr>
            </w:pPr>
            <w:r>
              <w:rPr>
                <w:rFonts w:ascii="Arial" w:cs="Arial" w:eastAsia="Arial" w:hAnsi="Arial"/>
                <w:sz w:val="18"/>
                <w:szCs w:val="18"/>
                <w:color w:val="auto"/>
                <w:w w:val="92"/>
              </w:rPr>
              <w:t>Principal Executive Officer, Principal Financial Officer and</w:t>
            </w:r>
          </w:p>
        </w:tc>
      </w:tr>
      <w:tr>
        <w:trPr>
          <w:trHeight w:val="216"/>
        </w:trPr>
        <w:tc>
          <w:tcPr>
            <w:tcW w:w="7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gridSpan w:val="2"/>
          </w:tcPr>
          <w:p>
            <w:pPr>
              <w:spacing w:after="0"/>
              <w:rPr>
                <w:sz w:val="20"/>
                <w:szCs w:val="20"/>
                <w:color w:val="auto"/>
              </w:rPr>
            </w:pPr>
            <w:r>
              <w:rPr>
                <w:rFonts w:ascii="Arial" w:cs="Arial" w:eastAsia="Arial" w:hAnsi="Arial"/>
                <w:sz w:val="18"/>
                <w:szCs w:val="18"/>
                <w:color w:val="auto"/>
              </w:rPr>
              <w:t>May 15, 2012</w:t>
            </w:r>
          </w:p>
        </w:tc>
      </w:tr>
    </w:tbl>
    <w:p>
      <w:pPr>
        <w:spacing w:after="0" w:line="1" w:lineRule="exact"/>
        <w:rPr>
          <w:sz w:val="20"/>
          <w:szCs w:val="20"/>
          <w:color w:val="auto"/>
        </w:rPr>
      </w:pPr>
    </w:p>
    <w:sectPr>
      <w:pgSz w:w="11900" w:h="16838" w:orient="portrait"/>
      <w:cols w:equalWidth="0" w:num="2">
        <w:col w:w="6080" w:space="200"/>
        <w:col w:w="514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lvl w:ilvl="1">
      <w:lvlJc w:val="left"/>
      <w:lvlText w:val="%2."/>
      <w:numFmt w:val="lowerLetter"/>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2019-12-09T20:00:29Z</dcterms:created>
  <dcterms:modified xsi:type="dcterms:W3CDTF">2019-12-09T20:00:29Z</dcterms:modified>
</cp:coreProperties>
</file>