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___)*</w:t>
      </w:r>
    </w:p>
    <w:p>
      <w:pPr>
        <w:spacing w:after="0" w:line="18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u w:val="single" w:color="auto"/>
          <w:color w:val="auto"/>
        </w:rPr>
        <w:t>OptimizeRx Corporation</w:t>
      </w:r>
    </w:p>
    <w:p>
      <w:pPr>
        <w:spacing w:after="0" w:line="3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3700"/>
        <w:spacing w:after="0"/>
        <w:rPr>
          <w:sz w:val="20"/>
          <w:szCs w:val="20"/>
          <w:color w:val="auto"/>
        </w:rPr>
      </w:pPr>
      <w:r>
        <w:rPr>
          <w:rFonts w:ascii="Arial" w:cs="Arial" w:eastAsia="Arial" w:hAnsi="Arial"/>
          <w:sz w:val="22"/>
          <w:szCs w:val="22"/>
          <w:b w:val="1"/>
          <w:bCs w:val="1"/>
          <w:u w:val="single" w:color="auto"/>
          <w:color w:val="auto"/>
        </w:rPr>
        <w:t>Common Stock, par value $0.001 per share</w:t>
      </w:r>
    </w:p>
    <w:p>
      <w:pPr>
        <w:spacing w:after="0" w:line="14" w:lineRule="exact"/>
        <w:rPr>
          <w:sz w:val="24"/>
          <w:szCs w:val="24"/>
          <w:color w:val="auto"/>
        </w:rPr>
      </w:pPr>
    </w:p>
    <w:p>
      <w:pPr>
        <w:ind w:left="446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180"/>
        <w:spacing w:after="0"/>
        <w:rPr>
          <w:sz w:val="20"/>
          <w:szCs w:val="20"/>
          <w:color w:val="auto"/>
        </w:rPr>
      </w:pPr>
      <w:r>
        <w:rPr>
          <w:rFonts w:ascii="Arial" w:cs="Arial" w:eastAsia="Arial" w:hAnsi="Arial"/>
          <w:sz w:val="22"/>
          <w:szCs w:val="22"/>
          <w:b w:val="1"/>
          <w:bCs w:val="1"/>
          <w:u w:val="single" w:color="auto"/>
          <w:color w:val="auto"/>
        </w:rPr>
        <w:t>68401U105</w:t>
      </w:r>
    </w:p>
    <w:p>
      <w:pPr>
        <w:spacing w:after="0" w:line="14"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820"/>
        <w:spacing w:after="0"/>
        <w:rPr>
          <w:sz w:val="20"/>
          <w:szCs w:val="20"/>
          <w:color w:val="auto"/>
        </w:rPr>
      </w:pPr>
      <w:r>
        <w:rPr>
          <w:rFonts w:ascii="Arial" w:cs="Arial" w:eastAsia="Arial" w:hAnsi="Arial"/>
          <w:sz w:val="22"/>
          <w:szCs w:val="22"/>
          <w:b w:val="1"/>
          <w:bCs w:val="1"/>
          <w:u w:val="single" w:color="auto"/>
          <w:color w:val="auto"/>
        </w:rPr>
        <w:t>December 31, 2017</w:t>
      </w:r>
    </w:p>
    <w:p>
      <w:pPr>
        <w:spacing w:after="0" w:line="14" w:lineRule="exact"/>
        <w:rPr>
          <w:sz w:val="24"/>
          <w:szCs w:val="24"/>
          <w:color w:val="auto"/>
        </w:rPr>
      </w:pPr>
    </w:p>
    <w:p>
      <w:pPr>
        <w:ind w:left="326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80" w:right="9260" w:hanging="1"/>
        <w:spacing w:after="0" w:line="504" w:lineRule="auto"/>
        <w:tabs>
          <w:tab w:leader="none" w:pos="934"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58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38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b w:val="1"/>
                <w:bCs w:val="1"/>
                <w:color w:val="auto"/>
              </w:rPr>
              <w:t>CUSIP No.</w:t>
            </w:r>
          </w:p>
        </w:tc>
        <w:tc>
          <w:tcPr>
            <w:tcW w:w="26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68401U105</w:t>
            </w:r>
          </w:p>
        </w:tc>
      </w:tr>
      <w:tr>
        <w:trPr>
          <w:trHeight w:val="41"/>
        </w:trPr>
        <w:tc>
          <w:tcPr>
            <w:tcW w:w="1380" w:type="dxa"/>
            <w:vAlign w:val="bottom"/>
            <w:tcBorders>
              <w:left w:val="single" w:sz="8" w:color="auto"/>
              <w:bottom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001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001000"/>
                    </a:xfrm>
                    <a:prstGeom prst="rect">
                      <a:avLst/>
                    </a:prstGeom>
                    <a:noFill/>
                  </pic:spPr>
                </pic:pic>
              </a:graphicData>
            </a:graphic>
          </wp:anchor>
        </w:drawing>
      </w:r>
    </w:p>
    <w:p>
      <w:pPr>
        <w:spacing w:after="0" w:line="245" w:lineRule="exact"/>
        <w:rPr>
          <w:sz w:val="20"/>
          <w:szCs w:val="20"/>
          <w:color w:val="auto"/>
        </w:rPr>
      </w:pPr>
    </w:p>
    <w:p>
      <w:pPr>
        <w:ind w:left="620" w:right="8620" w:hanging="571"/>
        <w:spacing w:after="0" w:line="634" w:lineRule="auto"/>
        <w:tabs>
          <w:tab w:leader="none" w:pos="6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Harvey L. Poppel</w:t>
      </w:r>
    </w:p>
    <w:p>
      <w:pPr>
        <w:ind w:left="620" w:hanging="571"/>
        <w:spacing w:after="0"/>
        <w:tabs>
          <w:tab w:leader="none" w:pos="6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337" w:lineRule="exact"/>
        <w:rPr>
          <w:rFonts w:ascii="Arial" w:cs="Arial" w:eastAsia="Arial" w:hAnsi="Arial"/>
          <w:sz w:val="18"/>
          <w:szCs w:val="18"/>
          <w:b w:val="1"/>
          <w:bCs w:val="1"/>
          <w:color w:val="auto"/>
        </w:rPr>
      </w:pPr>
    </w:p>
    <w:p>
      <w:pPr>
        <w:ind w:left="1180" w:hanging="249"/>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[X] (1)</w:t>
      </w:r>
    </w:p>
    <w:p>
      <w:pPr>
        <w:spacing w:after="0" w:line="63" w:lineRule="exact"/>
        <w:rPr>
          <w:rFonts w:ascii="Arial" w:cs="Arial" w:eastAsia="Arial" w:hAnsi="Arial"/>
          <w:sz w:val="18"/>
          <w:szCs w:val="18"/>
          <w:color w:val="auto"/>
        </w:rPr>
      </w:pPr>
    </w:p>
    <w:p>
      <w:pPr>
        <w:ind w:left="1180" w:hanging="249"/>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343" w:lineRule="exact"/>
        <w:rPr>
          <w:sz w:val="20"/>
          <w:szCs w:val="20"/>
          <w:color w:val="auto"/>
        </w:rPr>
      </w:pPr>
    </w:p>
    <w:p>
      <w:pPr>
        <w:ind w:left="620" w:hanging="571"/>
        <w:spacing w:after="0"/>
        <w:tabs>
          <w:tab w:leader="none" w:pos="6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20" w:hanging="571"/>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337"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Florida, U.S.</w:t>
      </w:r>
    </w:p>
    <w:p>
      <w:pPr>
        <w:spacing w:after="0" w:line="72" w:lineRule="exact"/>
        <w:rPr>
          <w:rFonts w:ascii="Arial" w:cs="Arial" w:eastAsia="Arial" w:hAnsi="Arial"/>
          <w:sz w:val="18"/>
          <w:szCs w:val="18"/>
          <w:b w:val="1"/>
          <w:bCs w:val="1"/>
          <w:color w:val="auto"/>
        </w:rPr>
      </w:pPr>
    </w:p>
    <w:p>
      <w:pPr>
        <w:ind w:left="17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5"/>
          <w:szCs w:val="15"/>
          <w:b w:val="1"/>
          <w:bCs w:val="1"/>
          <w:color w:val="auto"/>
        </w:rPr>
        <w:t>Sole Voting Power</w:t>
      </w:r>
    </w:p>
    <w:p>
      <w:pPr>
        <w:spacing w:after="0" w:line="33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320" w:type="dxa"/>
            <w:vAlign w:val="bottom"/>
          </w:tcPr>
          <w:p>
            <w:pPr>
              <w:ind w:left="240"/>
              <w:spacing w:after="0"/>
              <w:rPr>
                <w:sz w:val="20"/>
                <w:szCs w:val="20"/>
                <w:color w:val="auto"/>
              </w:rPr>
            </w:pPr>
            <w:r>
              <w:rPr>
                <w:rFonts w:ascii="Arial" w:cs="Arial" w:eastAsia="Arial" w:hAnsi="Arial"/>
                <w:sz w:val="18"/>
                <w:szCs w:val="18"/>
                <w:b w:val="1"/>
                <w:bCs w:val="1"/>
                <w:color w:val="auto"/>
              </w:rPr>
              <w:t>2,754,257</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Number of</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932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70"/>
        </w:trPr>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380" w:type="dxa"/>
            <w:vAlign w:val="bottom"/>
          </w:tcPr>
          <w:p>
            <w:pPr>
              <w:spacing w:after="0"/>
              <w:rPr>
                <w:sz w:val="23"/>
                <w:szCs w:val="23"/>
                <w:color w:val="auto"/>
              </w:rPr>
            </w:pPr>
          </w:p>
        </w:tc>
        <w:tc>
          <w:tcPr>
            <w:tcW w:w="9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Beneficially</w:t>
            </w:r>
          </w:p>
        </w:tc>
        <w:tc>
          <w:tcPr>
            <w:tcW w:w="380" w:type="dxa"/>
            <w:vAlign w:val="bottom"/>
          </w:tcPr>
          <w:p>
            <w:pPr>
              <w:spacing w:after="0"/>
              <w:rPr>
                <w:sz w:val="23"/>
                <w:szCs w:val="23"/>
                <w:color w:val="auto"/>
              </w:rPr>
            </w:pPr>
          </w:p>
        </w:tc>
        <w:tc>
          <w:tcPr>
            <w:tcW w:w="9320" w:type="dxa"/>
            <w:vAlign w:val="bottom"/>
          </w:tcPr>
          <w:p>
            <w:pPr>
              <w:ind w:left="240"/>
              <w:spacing w:after="0"/>
              <w:rPr>
                <w:sz w:val="20"/>
                <w:szCs w:val="20"/>
                <w:color w:val="auto"/>
              </w:rPr>
            </w:pPr>
            <w:r>
              <w:rPr>
                <w:rFonts w:ascii="Arial" w:cs="Arial" w:eastAsia="Arial" w:hAnsi="Arial"/>
                <w:sz w:val="18"/>
                <w:szCs w:val="18"/>
                <w:b w:val="1"/>
                <w:bCs w:val="1"/>
                <w:color w:val="auto"/>
              </w:rPr>
              <w:t>2,754,257</w:t>
            </w:r>
          </w:p>
        </w:tc>
        <w:tc>
          <w:tcPr>
            <w:tcW w:w="0" w:type="dxa"/>
            <w:vAlign w:val="bottom"/>
          </w:tcPr>
          <w:p>
            <w:pPr>
              <w:spacing w:after="0"/>
              <w:rPr>
                <w:sz w:val="1"/>
                <w:szCs w:val="1"/>
                <w:color w:val="auto"/>
              </w:rPr>
            </w:pPr>
          </w:p>
        </w:tc>
      </w:tr>
      <w:tr>
        <w:trPr>
          <w:trHeight w:val="27"/>
        </w:trPr>
        <w:tc>
          <w:tcPr>
            <w:tcW w:w="15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0"/>
              </w:rPr>
              <w:t>Owned by Each</w:t>
            </w:r>
          </w:p>
        </w:tc>
        <w:tc>
          <w:tcPr>
            <w:tcW w:w="38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9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Reporting Person</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7</w:t>
            </w:r>
          </w:p>
        </w:tc>
        <w:tc>
          <w:tcPr>
            <w:tcW w:w="9320" w:type="dxa"/>
            <w:vAlign w:val="bottom"/>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70"/>
        </w:trPr>
        <w:tc>
          <w:tcPr>
            <w:tcW w:w="1520" w:type="dxa"/>
            <w:vAlign w:val="bottom"/>
          </w:tcPr>
          <w:p>
            <w:pPr>
              <w:jc w:val="center"/>
              <w:ind w:right="90"/>
              <w:spacing w:after="0"/>
              <w:rPr>
                <w:sz w:val="20"/>
                <w:szCs w:val="20"/>
                <w:color w:val="auto"/>
              </w:rPr>
            </w:pPr>
            <w:r>
              <w:rPr>
                <w:rFonts w:ascii="Arial" w:cs="Arial" w:eastAsia="Arial" w:hAnsi="Arial"/>
                <w:sz w:val="18"/>
                <w:szCs w:val="18"/>
                <w:b w:val="1"/>
                <w:bCs w:val="1"/>
                <w:color w:val="auto"/>
              </w:rPr>
              <w:t>With:</w:t>
            </w:r>
          </w:p>
        </w:tc>
        <w:tc>
          <w:tcPr>
            <w:tcW w:w="380" w:type="dxa"/>
            <w:vAlign w:val="bottom"/>
          </w:tcPr>
          <w:p>
            <w:pPr>
              <w:spacing w:after="0"/>
              <w:rPr>
                <w:sz w:val="23"/>
                <w:szCs w:val="23"/>
                <w:color w:val="auto"/>
              </w:rPr>
            </w:pPr>
          </w:p>
        </w:tc>
        <w:tc>
          <w:tcPr>
            <w:tcW w:w="9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520" w:type="dxa"/>
            <w:vAlign w:val="bottom"/>
          </w:tcPr>
          <w:p>
            <w:pPr>
              <w:spacing w:after="0"/>
              <w:rPr>
                <w:sz w:val="24"/>
                <w:szCs w:val="24"/>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8</w:t>
            </w:r>
          </w:p>
        </w:tc>
        <w:tc>
          <w:tcPr>
            <w:tcW w:w="9320" w:type="dxa"/>
            <w:vAlign w:val="bottom"/>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540"/>
        </w:trPr>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20" w:type="dxa"/>
            <w:vAlign w:val="bottom"/>
          </w:tcPr>
          <w:p>
            <w:pPr>
              <w:ind w:left="240"/>
              <w:spacing w:after="0"/>
              <w:rPr>
                <w:sz w:val="20"/>
                <w:szCs w:val="20"/>
                <w:color w:val="auto"/>
              </w:rPr>
            </w:pPr>
            <w:r>
              <w:rPr>
                <w:rFonts w:ascii="Arial" w:cs="Arial" w:eastAsia="Arial" w:hAnsi="Arial"/>
                <w:sz w:val="18"/>
                <w:szCs w:val="18"/>
                <w:b w:val="1"/>
                <w:bCs w:val="1"/>
                <w:color w:val="auto"/>
              </w:rPr>
              <w:t>2,754,257</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5740" w:hanging="571"/>
        <w:spacing w:after="0" w:line="634" w:lineRule="auto"/>
        <w:tabs>
          <w:tab w:leader="none" w:pos="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2,754,257</w:t>
      </w:r>
    </w:p>
    <w:p>
      <w:pPr>
        <w:ind w:left="620" w:right="4120" w:hanging="571"/>
        <w:spacing w:after="0" w:line="634" w:lineRule="auto"/>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620" w:right="7000" w:hanging="571"/>
        <w:spacing w:after="0" w:line="634" w:lineRule="auto"/>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9.27% (2)</w:t>
      </w:r>
    </w:p>
    <w:p>
      <w:pPr>
        <w:ind w:left="620" w:hanging="571"/>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337"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ectPr>
          <w:pgSz w:w="11900" w:h="16838" w:orient="portrait"/>
          <w:cols w:equalWidth="0" w:num="1">
            <w:col w:w="11420"/>
          </w:cols>
          <w:pgMar w:left="240" w:top="111" w:right="239" w:bottom="1440" w:gutter="0" w:footer="0" w:header="0"/>
        </w:sect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 w:name="page3"/>
    <w:bookmarkEnd w:id="2"/>
    <w:p>
      <w:pPr>
        <w:jc w:val="both"/>
        <w:ind w:firstLine="8"/>
        <w:spacing w:after="0" w:line="274" w:lineRule="auto"/>
        <w:tabs>
          <w:tab w:leader="none" w:pos="315" w:val="left"/>
        </w:tabs>
        <w:numPr>
          <w:ilvl w:val="0"/>
          <w:numId w:val="8"/>
        </w:numPr>
        <w:rPr>
          <w:rFonts w:ascii="Arial" w:cs="Arial" w:eastAsia="Arial" w:hAnsi="Arial"/>
          <w:sz w:val="19"/>
          <w:szCs w:val="19"/>
          <w:color w:val="auto"/>
        </w:rPr>
      </w:pPr>
      <w:r>
        <w:rPr>
          <w:rFonts w:ascii="Arial" w:cs="Arial" w:eastAsia="Arial" w:hAnsi="Arial"/>
          <w:sz w:val="19"/>
          <w:szCs w:val="19"/>
          <w:color w:val="auto"/>
        </w:rPr>
        <w:t>This total which includes 2,754,257 common shares held directly by Harvey L. Poppel on behalf of Harvey L. Poppel, Harvey L. Poppel IRA, Lee Poppel IRA, Dr. Clinton S. Poppel, Dr. Clinton S. Poppel 401K, Helen M Poppel IRA, Zhavier Fox IRA, Lucas F. Poppel, Alexander J. Poppel, Winston O. Poppel, Lucas F. Poppel IRA &amp; EDU, Alexander J. Poppel IRA &amp; EDU, Winston O. Poppel IRA &amp; EDU,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59" w:lineRule="exact"/>
        <w:rPr>
          <w:rFonts w:ascii="Arial" w:cs="Arial" w:eastAsia="Arial" w:hAnsi="Arial"/>
          <w:sz w:val="19"/>
          <w:szCs w:val="19"/>
          <w:color w:val="auto"/>
        </w:rPr>
      </w:pPr>
    </w:p>
    <w:p>
      <w:pPr>
        <w:ind w:firstLine="8"/>
        <w:spacing w:after="0" w:line="251" w:lineRule="auto"/>
        <w:tabs>
          <w:tab w:leader="none" w:pos="307"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percentage is calculated based upon 29,718,867 voting shares of the Issuers common stock outstanding as of December 31, 2016.</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0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OptimizeRx Corporation</w:t>
      </w:r>
    </w:p>
    <w:p>
      <w:pPr>
        <w:spacing w:after="0" w:line="14" w:lineRule="exact"/>
        <w:rPr>
          <w:rFonts w:ascii="Arial" w:cs="Arial" w:eastAsia="Arial" w:hAnsi="Arial"/>
          <w:sz w:val="22"/>
          <w:szCs w:val="22"/>
          <w:b w:val="1"/>
          <w:bCs w:val="1"/>
          <w:color w:val="auto"/>
        </w:rPr>
      </w:pPr>
    </w:p>
    <w:p>
      <w:pPr>
        <w:ind w:left="320" w:hanging="312"/>
        <w:spacing w:after="0"/>
        <w:tabs>
          <w:tab w:leader="none" w:pos="3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400 Water St. Ste. 200, Rochester, Michigan 48307</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5"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 Harvey L. Poppel</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 110 El Mirasol, Palm Beach FL 33480</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U.S.</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Common stock, par value $0.001 per share</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68401U105</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 Not applicable</w:t>
      </w:r>
    </w:p>
    <w:p>
      <w:pPr>
        <w:spacing w:after="0" w:line="256" w:lineRule="exact"/>
        <w:rPr>
          <w:sz w:val="20"/>
          <w:szCs w:val="20"/>
          <w:color w:val="auto"/>
        </w:rPr>
      </w:pPr>
    </w:p>
    <w:p>
      <w:pPr>
        <w:ind w:left="1160" w:hanging="585"/>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Rule 13d-1(b)(1)(ii)(E);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ind w:left="1160" w:hanging="585"/>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160" w:hanging="585"/>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720" w:hanging="1145"/>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160" w:hanging="585"/>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Rule 240.13d-1(b)(1)(ii)(J);</w:t>
      </w:r>
    </w:p>
    <w:p>
      <w:pPr>
        <w:spacing w:after="0" w:line="225" w:lineRule="exact"/>
        <w:rPr>
          <w:rFonts w:ascii="Arial" w:cs="Arial" w:eastAsia="Arial" w:hAnsi="Arial"/>
          <w:sz w:val="18"/>
          <w:szCs w:val="18"/>
          <w:color w:val="auto"/>
        </w:rPr>
      </w:pPr>
    </w:p>
    <w:p>
      <w:pPr>
        <w:ind w:left="1720" w:hanging="1145"/>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[_]Group, in accordance with Rule 240.13d-1(b)(1)(ii)(K). If filing as a non-U.S. institution in accordance with Rule 240.13d-1(b)(1)(ii) (J), please specify the type of institution: ______</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5"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 2,754,257 (1)</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8.64 (2)</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52"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 2,754,257 (1)</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 2,754,257 (1)</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Shared power to dispose or to direct the disposition of: 2,754,257 (1)</w:t>
      </w:r>
    </w:p>
    <w:p>
      <w:pPr>
        <w:spacing w:after="0" w:line="222" w:lineRule="exact"/>
        <w:rPr>
          <w:sz w:val="20"/>
          <w:szCs w:val="20"/>
          <w:color w:val="auto"/>
        </w:rPr>
      </w:pPr>
    </w:p>
    <w:p>
      <w:pPr>
        <w:jc w:val="both"/>
        <w:ind w:firstLine="8"/>
        <w:spacing w:after="0" w:line="274" w:lineRule="auto"/>
        <w:tabs>
          <w:tab w:leader="none" w:pos="315"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This total which includes 2,754,257 common shares held directly by Harvey L. Poppel on behalf of Harvey L. Poppel, Harvey L. Poppel IRA, Lee Poppel IRA, Dr. Clinton S. Poppel, Dr. Clinton S. Poppel 401K, Helen M Poppel IRA, Zhavier Fox IRA, Lucas F. Poppel, Alexander J. Poppel, Winston O. Poppel, Lucas F. Poppel IRA &amp; EDU, Alexander J. Poppel IRA &amp; EDU, Winston O. Poppel IRA &amp; EDU,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58" w:lineRule="exact"/>
        <w:rPr>
          <w:rFonts w:ascii="Arial" w:cs="Arial" w:eastAsia="Arial" w:hAnsi="Arial"/>
          <w:sz w:val="19"/>
          <w:szCs w:val="19"/>
          <w:color w:val="auto"/>
        </w:rPr>
      </w:pPr>
    </w:p>
    <w:p>
      <w:pPr>
        <w:ind w:right="20" w:firstLine="8"/>
        <w:spacing w:after="0" w:line="251" w:lineRule="auto"/>
        <w:tabs>
          <w:tab w:leader="none" w:pos="320" w:val="left"/>
        </w:tabs>
        <w:numPr>
          <w:ilvl w:val="0"/>
          <w:numId w:val="14"/>
        </w:numPr>
        <w:rPr>
          <w:rFonts w:ascii="Arial" w:cs="Arial" w:eastAsia="Arial" w:hAnsi="Arial"/>
          <w:sz w:val="22"/>
          <w:szCs w:val="22"/>
          <w:b w:val="1"/>
          <w:bCs w:val="1"/>
          <w:color w:val="auto"/>
        </w:rPr>
      </w:pPr>
      <w:r>
        <w:rPr>
          <w:rFonts w:ascii="Arial" w:cs="Arial" w:eastAsia="Arial" w:hAnsi="Arial"/>
          <w:sz w:val="22"/>
          <w:szCs w:val="22"/>
          <w:color w:val="auto"/>
        </w:rPr>
        <w:t>This percentage is calculated based upon 29,718,867 voting shares of the Issuers common stock outstanding as of September 30, 2016.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Ownership of Five Percent or Less of a Class. Not Applicable</w:t>
            </w:r>
          </w:p>
        </w:tc>
      </w:tr>
      <w:tr>
        <w:trPr>
          <w:trHeight w:val="418"/>
        </w:trPr>
        <w:tc>
          <w:tcPr>
            <w:tcW w:w="900" w:type="dxa"/>
            <w:vAlign w:val="bottom"/>
          </w:tcPr>
          <w:p>
            <w:pPr>
              <w:spacing w:after="0"/>
              <w:rPr>
                <w:sz w:val="24"/>
                <w:szCs w:val="24"/>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If this statement is being filed to report the fact that as of the date hereof the reporting person has ceased to be the beneficial owner of more</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than five percent of the class of securities, check the following [  ].</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 Not Applicable</w:t>
            </w: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w w:val="92"/>
              </w:rPr>
              <w:t>Identification and classification of the subsidiary which acquired the security being reported on by the parent holding company or</w:t>
            </w:r>
          </w:p>
        </w:tc>
      </w:tr>
      <w:tr>
        <w:trPr>
          <w:trHeight w:val="234"/>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control person. 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 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 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r>
      <w:tr>
        <w:trPr>
          <w:trHeight w:val="469"/>
        </w:trPr>
        <w:tc>
          <w:tcPr>
            <w:tcW w:w="900" w:type="dxa"/>
            <w:vAlign w:val="bottom"/>
          </w:tcPr>
          <w:p>
            <w:pPr>
              <w:spacing w:after="0"/>
              <w:rPr>
                <w:sz w:val="24"/>
                <w:szCs w:val="24"/>
                <w:color w:val="auto"/>
              </w:rPr>
            </w:pPr>
          </w:p>
        </w:tc>
        <w:tc>
          <w:tcPr>
            <w:tcW w:w="10560" w:type="dxa"/>
            <w:vAlign w:val="bottom"/>
          </w:tcPr>
          <w:p>
            <w:pPr>
              <w:ind w:left="4320"/>
              <w:spacing w:after="0"/>
              <w:rPr>
                <w:sz w:val="20"/>
                <w:szCs w:val="20"/>
                <w:color w:val="auto"/>
              </w:rPr>
            </w:pPr>
            <w:r>
              <w:rPr>
                <w:rFonts w:ascii="Arial" w:cs="Arial" w:eastAsia="Arial" w:hAnsi="Arial"/>
                <w:sz w:val="22"/>
                <w:szCs w:val="22"/>
                <w:color w:val="auto"/>
              </w:rPr>
              <w:t>Page 5 of 6</w:t>
            </w:r>
          </w:p>
        </w:tc>
      </w:tr>
      <w:tr>
        <w:trPr>
          <w:trHeight w:val="203"/>
        </w:trPr>
        <w:tc>
          <w:tcPr>
            <w:tcW w:w="900" w:type="dxa"/>
            <w:vAlign w:val="bottom"/>
          </w:tcPr>
          <w:p>
            <w:pPr>
              <w:spacing w:after="0"/>
              <w:rPr>
                <w:sz w:val="17"/>
                <w:szCs w:val="17"/>
                <w:color w:val="auto"/>
              </w:rPr>
            </w:pPr>
          </w:p>
        </w:tc>
        <w:tc>
          <w:tcPr>
            <w:tcW w:w="10560" w:type="dxa"/>
            <w:vAlign w:val="bottom"/>
          </w:tcPr>
          <w:p>
            <w:pPr>
              <w:spacing w:after="0"/>
              <w:rPr>
                <w:sz w:val="17"/>
                <w:szCs w:val="17"/>
                <w:color w:val="auto"/>
              </w:rPr>
            </w:pPr>
          </w:p>
        </w:tc>
      </w:tr>
      <w:tr>
        <w:trPr>
          <w:trHeight w:val="74"/>
        </w:trPr>
        <w:tc>
          <w:tcPr>
            <w:tcW w:w="900" w:type="dxa"/>
            <w:vAlign w:val="bottom"/>
            <w:shd w:val="clear" w:color="auto" w:fill="000000"/>
          </w:tcPr>
          <w:p>
            <w:pPr>
              <w:spacing w:after="0"/>
              <w:rPr>
                <w:sz w:val="6"/>
                <w:szCs w:val="6"/>
                <w:color w:val="auto"/>
              </w:rPr>
            </w:pPr>
          </w:p>
        </w:tc>
        <w:tc>
          <w:tcPr>
            <w:tcW w:w="10560" w:type="dxa"/>
            <w:vAlign w:val="bottom"/>
            <w:shd w:val="clear" w:color="auto" w:fill="000000"/>
          </w:tcPr>
          <w:p>
            <w:pPr>
              <w:spacing w:after="0"/>
              <w:rPr>
                <w:sz w:val="6"/>
                <w:szCs w:val="6"/>
                <w:color w:val="auto"/>
              </w:rPr>
            </w:pPr>
          </w:p>
        </w:tc>
      </w:tr>
    </w:tbl>
    <w:p>
      <w:pPr>
        <w:sectPr>
          <w:pgSz w:w="11900" w:h="16838" w:orient="portrait"/>
          <w:cols w:equalWidth="0" w:num="1">
            <w:col w:w="11460"/>
          </w:cols>
          <w:pgMar w:left="240" w:top="364" w:right="1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Name/Title</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47"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9"/>
      <w:numFmt w:val="bullet"/>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6"/>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2019-12-16T19:47:05Z</dcterms:created>
  <dcterms:modified xsi:type="dcterms:W3CDTF">2019-12-16T19:47:05Z</dcterms:modified>
</cp:coreProperties>
</file>