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120" w:type="dxa"/>
            <w:vAlign w:val="bottom"/>
          </w:tcPr>
          <w:p>
            <w:pPr>
              <w:spacing w:after="0"/>
              <w:rPr>
                <w:sz w:val="24"/>
                <w:szCs w:val="24"/>
                <w:color w:val="auto"/>
              </w:rPr>
            </w:pPr>
          </w:p>
        </w:tc>
        <w:tc>
          <w:tcPr>
            <w:tcW w:w="4860" w:type="dxa"/>
            <w:vAlign w:val="bottom"/>
            <w:gridSpan w:val="9"/>
          </w:tcPr>
          <w:p>
            <w:pPr>
              <w:jc w:val="center"/>
              <w:ind w:left="50"/>
              <w:spacing w:after="0"/>
              <w:rPr>
                <w:sz w:val="20"/>
                <w:szCs w:val="20"/>
                <w:color w:val="auto"/>
              </w:rPr>
            </w:pPr>
            <w:r>
              <w:rPr>
                <w:rFonts w:ascii="Arial" w:cs="Arial" w:eastAsia="Arial" w:hAnsi="Arial"/>
                <w:sz w:val="18"/>
                <w:szCs w:val="18"/>
                <w:color w:val="auto"/>
                <w:w w:val="91"/>
              </w:rPr>
              <w:t>Date of Report (Date of earliest event reported): April 8, 2020</w:t>
            </w:r>
          </w:p>
        </w:tc>
        <w:tc>
          <w:tcPr>
            <w:tcW w:w="3260" w:type="dxa"/>
            <w:vAlign w:val="bottom"/>
          </w:tcPr>
          <w:p>
            <w:pPr>
              <w:spacing w:after="0"/>
              <w:rPr>
                <w:sz w:val="24"/>
                <w:szCs w:val="24"/>
                <w:color w:val="auto"/>
              </w:rPr>
            </w:pPr>
          </w:p>
        </w:tc>
      </w:tr>
      <w:tr>
        <w:trPr>
          <w:trHeight w:val="391"/>
        </w:trPr>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120" w:type="dxa"/>
            <w:vAlign w:val="bottom"/>
          </w:tcPr>
          <w:p>
            <w:pPr>
              <w:jc w:val="center"/>
              <w:ind w:left="410"/>
              <w:spacing w:after="0"/>
              <w:rPr>
                <w:sz w:val="20"/>
                <w:szCs w:val="20"/>
                <w:color w:val="auto"/>
              </w:rPr>
            </w:pPr>
            <w:r>
              <w:rPr>
                <w:rFonts w:ascii="Arial" w:cs="Arial" w:eastAsia="Arial" w:hAnsi="Arial"/>
                <w:sz w:val="18"/>
                <w:szCs w:val="18"/>
                <w:color w:val="auto"/>
                <w:w w:val="86"/>
              </w:rPr>
              <w:t>Nevada</w:t>
            </w:r>
          </w:p>
        </w:tc>
        <w:tc>
          <w:tcPr>
            <w:tcW w:w="3400" w:type="dxa"/>
            <w:vAlign w:val="bottom"/>
            <w:gridSpan w:val="6"/>
          </w:tcPr>
          <w:p>
            <w:pPr>
              <w:jc w:val="center"/>
              <w:ind w:left="153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120" w:type="dxa"/>
            <w:vAlign w:val="bottom"/>
            <w:tcBorders>
              <w:top w:val="single" w:sz="8" w:color="auto"/>
            </w:tcBorders>
          </w:tcPr>
          <w:p>
            <w:pPr>
              <w:jc w:val="center"/>
              <w:ind w:left="410"/>
              <w:spacing w:after="0" w:line="201" w:lineRule="exact"/>
              <w:rPr>
                <w:sz w:val="20"/>
                <w:szCs w:val="20"/>
                <w:color w:val="auto"/>
              </w:rPr>
            </w:pPr>
            <w:r>
              <w:rPr>
                <w:rFonts w:ascii="Arial" w:cs="Arial" w:eastAsia="Arial" w:hAnsi="Arial"/>
                <w:sz w:val="18"/>
                <w:szCs w:val="18"/>
                <w:color w:val="auto"/>
                <w:w w:val="93"/>
              </w:rPr>
              <w:t>(State or other jurisdiction of</w:t>
            </w: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left="410"/>
              <w:spacing w:after="0"/>
              <w:rPr>
                <w:sz w:val="20"/>
                <w:szCs w:val="20"/>
                <w:color w:val="auto"/>
              </w:rPr>
            </w:pPr>
            <w:r>
              <w:rPr>
                <w:rFonts w:ascii="Arial" w:cs="Arial" w:eastAsia="Arial" w:hAnsi="Arial"/>
                <w:sz w:val="18"/>
                <w:szCs w:val="18"/>
                <w:color w:val="auto"/>
                <w:w w:val="92"/>
              </w:rPr>
              <w:t>incorporation)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80" w:type="dxa"/>
            <w:vAlign w:val="bottom"/>
            <w:gridSpan w:val="10"/>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5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297815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center"/>
              <w:ind w:right="670"/>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April 8, 2020, we issued a press release announcing that we received the ranking of #282 by the Financial Times’ 2020 list of The Americas’ 500 Fastest-Growing Companies. A copy of the press release is attached as Exhibit 99.1 to this Current Report on Form 8-K.</w:t>
      </w:r>
    </w:p>
    <w:p>
      <w:pPr>
        <w:spacing w:after="0" w:line="14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April 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154305</wp:posOffset>
            </wp:positionV>
            <wp:extent cx="187706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Recognized as One of The Americas’ Fastest-Growing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by The Financial Times</w:t>
      </w:r>
    </w:p>
    <w:p>
      <w:pPr>
        <w:spacing w:after="0" w:line="207" w:lineRule="exact"/>
        <w:rPr>
          <w:sz w:val="20"/>
          <w:szCs w:val="20"/>
          <w:color w:val="auto"/>
        </w:rPr>
      </w:pPr>
    </w:p>
    <w:p>
      <w:pPr>
        <w:ind w:right="100"/>
        <w:spacing w:after="0" w:line="312" w:lineRule="auto"/>
        <w:rPr>
          <w:sz w:val="20"/>
          <w:szCs w:val="20"/>
          <w:color w:val="auto"/>
        </w:rPr>
      </w:pPr>
      <w:r>
        <w:rPr>
          <w:rFonts w:ascii="Arial" w:cs="Arial" w:eastAsia="Arial" w:hAnsi="Arial"/>
          <w:sz w:val="17"/>
          <w:szCs w:val="17"/>
          <w:b w:val="1"/>
          <w:bCs w:val="1"/>
          <w:color w:val="auto"/>
        </w:rPr>
        <w:t xml:space="preserve">ROCHESTER, Mich. – April 8, 2020 – </w:t>
      </w:r>
      <w:r>
        <w:rPr>
          <w:rFonts w:ascii="Arial" w:cs="Arial" w:eastAsia="Arial" w:hAnsi="Arial"/>
          <w:sz w:val="17"/>
          <w:szCs w:val="17"/>
          <w:color w:val="auto"/>
        </w:rPr>
        <w:t>OptimizeRx Corp. (Nasdaq: OPRX), a leading provider of digital health solutions for life science companies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payers, has received the ranking of #282 by the Financial Times’ 2020 list of The Americas’ 500 Fastest-Growing Companies.</w:t>
      </w:r>
    </w:p>
    <w:p>
      <w:pPr>
        <w:spacing w:after="0" w:line="14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FT Americas list was compiled in coordination with the leading research firm Statista, which ranked the top 500 companies in North and South America by their compounded annual revenue growth rate between 2015 and 2018. OptimizeRx’s growth rate exceeded 43% during the period.</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“We’re honored to be recognized by the Financial Times, one of the world’s most widely read and respected business publications,” said William Febbo, CEO of OptimizeRx. “Our strong ranking reflects the tremendous efforts and dedication of our team which has driven this strong growth and market expansion. We are in the right place at the right time with technology solutions for physicians, patients and clients. We expect our integrated digital heath platform to accelerate our business and grow our recurring revenue over the coming years.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platform allows us to expand within our existing client base with a suite of solutions that are critical to not only a successful product launch but the support it needs over its life in the market. Given our digital health network now reaches more than 300,000 healthcare providers across the U.S., we expect our team to drive another year of record growth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Financial Times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Financial Times (FT) is one of the world’s leading business news organizations, recognized internationally for its authority, integrity and accuracy. The FT has a paying readership of more than a million worldwide, three-quarters of which are digital subscriptions. FT is part of Nikkei Inc., which provides a broad range of information, news and services for the global business community. For more information, visit www.ft.com.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8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2020-04-09T07:46:52Z</dcterms:created>
  <dcterms:modified xsi:type="dcterms:W3CDTF">2020-04-09T07:46:52Z</dcterms:modified>
</cp:coreProperties>
</file>