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374650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5"/>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300" w:type="dxa"/>
            <w:vAlign w:val="bottom"/>
          </w:tcPr>
          <w:p>
            <w:pPr>
              <w:spacing w:after="0"/>
              <w:rPr>
                <w:sz w:val="20"/>
                <w:szCs w:val="20"/>
                <w:color w:val="auto"/>
              </w:rPr>
            </w:pPr>
          </w:p>
        </w:tc>
      </w:tr>
      <w:tr>
        <w:trPr>
          <w:trHeight w:val="52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5"/>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3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34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8120" w:type="dxa"/>
            <w:vAlign w:val="bottom"/>
            <w:gridSpan w:val="8"/>
          </w:tcPr>
          <w:p>
            <w:pPr>
              <w:jc w:val="center"/>
              <w:ind w:left="3210"/>
              <w:spacing w:after="0"/>
              <w:rPr>
                <w:sz w:val="20"/>
                <w:szCs w:val="20"/>
                <w:color w:val="auto"/>
              </w:rPr>
            </w:pPr>
            <w:r>
              <w:rPr>
                <w:rFonts w:ascii="Arial" w:cs="Arial" w:eastAsia="Arial" w:hAnsi="Arial"/>
                <w:sz w:val="18"/>
                <w:szCs w:val="18"/>
                <w:color w:val="auto"/>
                <w:w w:val="91"/>
              </w:rPr>
              <w:t>Date of Report (Date of earliest event reported): August 1, 2017</w:t>
            </w:r>
          </w:p>
        </w:tc>
        <w:tc>
          <w:tcPr>
            <w:tcW w:w="3300" w:type="dxa"/>
            <w:vAlign w:val="bottom"/>
          </w:tcPr>
          <w:p>
            <w:pPr>
              <w:spacing w:after="0"/>
              <w:rPr>
                <w:sz w:val="24"/>
                <w:szCs w:val="24"/>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gridSpan w:val="4"/>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340" w:type="dxa"/>
            <w:vAlign w:val="bottom"/>
            <w:gridSpan w:val="7"/>
          </w:tcPr>
          <w:p>
            <w:pPr>
              <w:jc w:val="center"/>
              <w:ind w:right="460"/>
              <w:spacing w:after="0"/>
              <w:rPr>
                <w:sz w:val="20"/>
                <w:szCs w:val="20"/>
                <w:color w:val="auto"/>
              </w:rPr>
            </w:pPr>
            <w:r>
              <w:rPr>
                <w:rFonts w:ascii="Arial" w:cs="Arial" w:eastAsia="Arial" w:hAnsi="Arial"/>
                <w:sz w:val="18"/>
                <w:szCs w:val="18"/>
                <w:color w:val="auto"/>
                <w:w w:val="90"/>
              </w:rPr>
              <w:t>(Exact name of registrant as specified in its charter)</w:t>
            </w:r>
          </w:p>
        </w:tc>
        <w:tc>
          <w:tcPr>
            <w:tcW w:w="330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20" w:type="dxa"/>
            <w:vAlign w:val="bottom"/>
            <w:gridSpan w:val="8"/>
          </w:tcPr>
          <w:p>
            <w:pPr>
              <w:jc w:val="center"/>
              <w:ind w:right="580"/>
              <w:spacing w:after="0"/>
              <w:rPr>
                <w:sz w:val="20"/>
                <w:szCs w:val="20"/>
                <w:color w:val="auto"/>
              </w:rPr>
            </w:pPr>
            <w:r>
              <w:rPr>
                <w:rFonts w:ascii="Arial" w:cs="Arial" w:eastAsia="Arial" w:hAnsi="Arial"/>
                <w:sz w:val="18"/>
                <w:szCs w:val="18"/>
                <w:color w:val="auto"/>
                <w:w w:val="90"/>
              </w:rPr>
              <w:t>400 Water Street, Suite 200, Rochester, MI</w:t>
            </w:r>
          </w:p>
        </w:tc>
        <w:tc>
          <w:tcPr>
            <w:tcW w:w="330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August 1, 2017, we issued a press release announcing the results of operations for the three and six months ended June 30, 2017.</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2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9"/>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August 1, 2017</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165735</wp:posOffset>
            </wp:positionV>
            <wp:extent cx="3481705" cy="875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17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111111"/>
        </w:rPr>
        <w:t>OptimizeRx Reports Second Quarter 2017 Results; Net Revenue Up 50% to a Record $2.9 Million</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Rochester, MI (August 1, 2017) </w:t>
      </w:r>
      <w:r>
        <w:rPr>
          <w:rFonts w:ascii="Arial" w:cs="Arial" w:eastAsia="Arial" w:hAnsi="Arial"/>
          <w:sz w:val="18"/>
          <w:szCs w:val="18"/>
          <w:color w:val="auto"/>
        </w:rPr>
        <w:t>OptimizeRx Corp. (OTCQB: OPRX), a digital health platform and leader in the electronic distribution of co-pay discount</w:t>
      </w:r>
      <w:r>
        <w:rPr>
          <w:rFonts w:ascii="Arial" w:cs="Arial" w:eastAsia="Arial" w:hAnsi="Arial"/>
          <w:sz w:val="18"/>
          <w:szCs w:val="18"/>
          <w:b w:val="1"/>
          <w:bCs w:val="1"/>
          <w:color w:val="auto"/>
        </w:rPr>
        <w:t xml:space="preserve"> </w:t>
      </w:r>
      <w:r>
        <w:rPr>
          <w:rFonts w:ascii="Arial" w:cs="Arial" w:eastAsia="Arial" w:hAnsi="Arial"/>
          <w:sz w:val="18"/>
          <w:szCs w:val="18"/>
          <w:color w:val="auto"/>
        </w:rPr>
        <w:t>coupons and clinical information through electronic healthcare records (EHR) and e-prescription (eRx), reported results for the second quarter ended June 30, 2017. All quarterly comparisons are to the same year-ago quarter.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2017 Highlights</w:t>
      </w:r>
    </w:p>
    <w:p>
      <w:pPr>
        <w:spacing w:after="0" w:line="20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was up 50% to $2.9 million, driven by financial and brand messaging growth from new and returning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messages, such as eCoupons, and brand messaging were distributed for over 100 pharmaceutical brands in the quarter.</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Partnered with PARx Solutions to enable the company to bring prior authorization services to its channel partners, as well as to distribute financial messages through the OptimizeRx platform at the time of prior authorization.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Partnered exclusively with SingleCare to bring patient savings and price transparency to healthcare providers at the point of prescribe for generics.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brand messaging platform within NewCrop and financial messaging within DxWeb, two e-prescribing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Appointed Gus D. Halas as chairman of the board, succeeding retired chairman and company founder, David Harrell.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a sixth sales executive to accelerate revenue growth, brand expansion and new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2017 Financial Summary</w:t>
      </w:r>
    </w:p>
    <w:p>
      <w:pPr>
        <w:spacing w:after="0" w:line="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Net revenue in the second quarter of 2017 increased 50% to $2.9 million from $1.9 million in the same year-ago quarter. The increase was primarily due to increased revenue from brand messaging products, as well as expanded distribution channels for the company’s financial messaging. Additionally, the launch of new pharmaceutical brands, which now totals more than 100 between financial and brand messaging, also contributed to the increase.</w:t>
      </w:r>
    </w:p>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in the second quarter of 2017 were $1.6 million, up slightly from the second quarter of 2016. The increase was primarily due to additional expenses related to growth initiatives, including investments in the company’s executive and sales team.</w:t>
      </w:r>
    </w:p>
    <w:p>
      <w:pPr>
        <w:spacing w:after="0" w:line="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loss for the second quarter of 2017 was $362,000 or $(0.01) per share, as compared to a net loss of $592,000 or $(0.02) per share in the second quarter of 2016.</w:t>
      </w:r>
    </w:p>
    <w:p>
      <w:pPr>
        <w:spacing w:after="0" w:line="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totaled $5.8 million at June 30, 2017, as compared to $6.7 million at March 31, 2017. The decrease includes $0.4 million used to repurchase common stock. The company continued to operate debt-free.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Management Commentary</w:t>
      </w:r>
    </w:p>
    <w:p>
      <w:pPr>
        <w:spacing w:after="0" w:line="18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Q2, our record top-line was driven by the expansion of our EHR network, ePrescriber reach and financial and brand messaging products,” said OptimizeRx CEO, William Febbo. “We also continue to add new pharmaceutical manufacturers and their respective brands. We are very pleased with our revenue growth combined with cost discipline.</w:t>
      </w:r>
    </w:p>
    <w:p>
      <w:pPr>
        <w:spacing w:after="0" w:line="1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second quarter, we continued to see compelling ROI data on financial messaging programs which increased the adoption of the EHR channel for our clients, adding an additional 24 brands to our platform. We continue to work closely with WPP Health &amp; Wellness companies as the digital media spend continues to be the fastest growing digital spend sector.</w:t>
      </w:r>
    </w:p>
    <w:p>
      <w:pPr>
        <w:spacing w:after="0" w:line="14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 support further client and brand growth, we have continued to build out our team and recently added another member to the sales team for greater penetration and service. Health IT industry veteran, Miriam Paramore, was also appointed as our new president to oversee our product expansion, channel expansion and top-line growth.</w:t>
      </w:r>
    </w:p>
    <w:p>
      <w:pPr>
        <w:spacing w:after="0" w:line="14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continued to acquire, integrate and expand into new promotional EHR/eRx platforms. In fact, we are actively engaged in discussions with several EHRs to integrate our technology into their platforms. Our teams are also working extensively with our existing platforms to expand the reach of our eCoupon product to all of their providers, as well as increase the utilization of the eCoupon functionality by their existing users.</w:t>
      </w:r>
    </w:p>
    <w:p>
      <w:pPr>
        <w:spacing w:after="0" w:line="1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“Given the growth of our pharmaceutical products and distribution network, we expect our distribution of financial messages will continue to increase, and brand messaging will continue to support top-line growth.”</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“It’s important to note that our cost of sales percentage decreased from 64% in the first quarter of the year to 56% in the second quarter. We expect to see further improvement in future quarters as we implement new channels in our core financial messaging product that have lower revenue share percentages, and as we update our existing agreements to share third party costs.</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step with this, we expect the margins on our brand messaging product to increase as we diversify across additional channels and increase brand messaging revenues. We expect this to help advance us toward our goal of achieving gross margins of 50% or greater.”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a conference call today to discuss the second quarter of 2017, followed by a question and answer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Tuesday, August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1-888-596-2581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1-719-325-4826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7557911</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22,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7557911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13"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Merck, Lilly, Novartis, AstraZeneca and many others. For more information, visit www.optimizerx.com.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2017 AND DECEMBER 31, 2016</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3880"/>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5,842,602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7,034,647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2,421,794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3,060,396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272,153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8,536,549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0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Patent rights,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738,449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Web development and other intangible costs,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1,015,154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00" w:type="dxa"/>
            <w:vAlign w:val="bottom"/>
          </w:tcPr>
          <w:p>
            <w:pPr>
              <w:ind w:left="340"/>
              <w:spacing w:after="0"/>
              <w:rPr>
                <w:sz w:val="20"/>
                <w:szCs w:val="20"/>
                <w:color w:val="auto"/>
              </w:rPr>
            </w:pPr>
            <w:r>
              <w:rPr>
                <w:rFonts w:ascii="Arial" w:cs="Arial" w:eastAsia="Arial" w:hAnsi="Arial"/>
                <w:sz w:val="18"/>
                <w:szCs w:val="18"/>
                <w:color w:val="auto"/>
              </w:rPr>
              <w:t>Security deposit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1,758,652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0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10,478,449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11,478,759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0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903,957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369,214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196,287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1,871,423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2,622,517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1,036,912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386,581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4,008,579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0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w w:val="89"/>
              </w:rPr>
              <w:t>Common stock, $.001 par value, 500,000,000 shares authorized, 29,256,367 and 29,718,867 shares issued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Stock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2,294,416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2,294,416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33,649,474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33,747,137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(29,503,276)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(28,259,093)</w:t>
            </w:r>
          </w:p>
        </w:tc>
        <w:tc>
          <w:tcPr>
            <w:tcW w:w="0" w:type="dxa"/>
            <w:vAlign w:val="bottom"/>
          </w:tcPr>
          <w:p>
            <w:pPr>
              <w:spacing w:after="0"/>
              <w:rPr>
                <w:sz w:val="1"/>
                <w:szCs w:val="1"/>
                <w:color w:val="auto"/>
              </w:rPr>
            </w:pPr>
          </w:p>
        </w:tc>
      </w:tr>
      <w:tr>
        <w:trPr>
          <w:trHeight w:val="223"/>
        </w:trPr>
        <w:tc>
          <w:tcPr>
            <w:tcW w:w="840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6,469,870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0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10,478,449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11,478,759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00" w:type="dxa"/>
            <w:vAlign w:val="bottom"/>
            <w:vMerge w:val="restart"/>
          </w:tcPr>
          <w:p>
            <w:pPr>
              <w:ind w:left="56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4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6"/>
          </w:tcPr>
          <w:p>
            <w:pPr>
              <w:jc w:val="right"/>
              <w:ind w:right="400"/>
              <w:spacing w:after="0"/>
              <w:rPr>
                <w:sz w:val="20"/>
                <w:szCs w:val="20"/>
                <w:color w:val="auto"/>
              </w:rPr>
            </w:pPr>
            <w:r>
              <w:rPr>
                <w:rFonts w:ascii="Arial" w:cs="Arial" w:eastAsia="Arial" w:hAnsi="Arial"/>
                <w:sz w:val="18"/>
                <w:szCs w:val="18"/>
                <w:color w:val="auto"/>
                <w:w w:val="92"/>
              </w:rPr>
              <w:t>For the Three Months Ended</w:t>
            </w:r>
          </w:p>
        </w:tc>
        <w:tc>
          <w:tcPr>
            <w:tcW w:w="200" w:type="dxa"/>
            <w:vAlign w:val="bottom"/>
          </w:tcPr>
          <w:p>
            <w:pPr>
              <w:spacing w:after="0"/>
              <w:rPr>
                <w:sz w:val="19"/>
                <w:szCs w:val="19"/>
                <w:color w:val="auto"/>
              </w:rPr>
            </w:pPr>
          </w:p>
        </w:tc>
        <w:tc>
          <w:tcPr>
            <w:tcW w:w="2360" w:type="dxa"/>
            <w:vAlign w:val="bottom"/>
            <w:gridSpan w:val="7"/>
          </w:tcPr>
          <w:p>
            <w:pPr>
              <w:jc w:val="right"/>
              <w:ind w:right="360"/>
              <w:spacing w:after="0"/>
              <w:rPr>
                <w:sz w:val="20"/>
                <w:szCs w:val="20"/>
                <w:color w:val="auto"/>
              </w:rPr>
            </w:pPr>
            <w:r>
              <w:rPr>
                <w:rFonts w:ascii="Arial" w:cs="Arial" w:eastAsia="Arial" w:hAnsi="Arial"/>
                <w:sz w:val="18"/>
                <w:szCs w:val="18"/>
                <w:color w:val="auto"/>
                <w:w w:val="95"/>
              </w:rPr>
              <w:t>For the Six Months Ended</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0"/>
                <w:szCs w:val="20"/>
                <w:color w:val="auto"/>
              </w:rPr>
            </w:pPr>
            <w:r>
              <w:rPr>
                <w:rFonts w:ascii="Arial" w:cs="Arial" w:eastAsia="Arial" w:hAnsi="Arial"/>
                <w:sz w:val="18"/>
                <w:szCs w:val="18"/>
                <w:color w:val="auto"/>
              </w:rPr>
              <w:t>NET REVENUE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2,865,823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1,913,299</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5,017,896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3,672,828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20" w:type="dxa"/>
            <w:vAlign w:val="bottom"/>
          </w:tcPr>
          <w:p>
            <w:pPr>
              <w:spacing w:after="0"/>
              <w:rPr>
                <w:sz w:val="20"/>
                <w:szCs w:val="20"/>
                <w:color w:val="auto"/>
              </w:rPr>
            </w:pPr>
            <w:r>
              <w:rPr>
                <w:rFonts w:ascii="Arial" w:cs="Arial" w:eastAsia="Arial" w:hAnsi="Arial"/>
                <w:sz w:val="18"/>
                <w:szCs w:val="18"/>
                <w:color w:val="auto"/>
              </w:rPr>
              <w:t>REVENUE SHARE EXPENSE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1,605,534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922,832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2,987,267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1,815,625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20" w:type="dxa"/>
            <w:vAlign w:val="bottom"/>
          </w:tcPr>
          <w:p>
            <w:pPr>
              <w:ind w:left="140"/>
              <w:spacing w:after="0"/>
              <w:rPr>
                <w:sz w:val="20"/>
                <w:szCs w:val="20"/>
                <w:color w:val="auto"/>
              </w:rPr>
            </w:pPr>
            <w:r>
              <w:rPr>
                <w:rFonts w:ascii="Arial" w:cs="Arial" w:eastAsia="Arial" w:hAnsi="Arial"/>
                <w:sz w:val="18"/>
                <w:szCs w:val="18"/>
                <w:color w:val="auto"/>
              </w:rPr>
              <w:t>GROSS MARGIN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1,260,289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990,467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2,030,629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1,857,203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1,630,853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1,592,982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3,291,631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2,821,546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tcPr>
          <w:p>
            <w:pPr>
              <w:ind w:left="80"/>
              <w:spacing w:after="0"/>
              <w:rPr>
                <w:sz w:val="20"/>
                <w:szCs w:val="20"/>
                <w:color w:val="auto"/>
              </w:rPr>
            </w:pPr>
            <w:r>
              <w:rPr>
                <w:rFonts w:ascii="Arial" w:cs="Arial" w:eastAsia="Arial" w:hAnsi="Arial"/>
                <w:sz w:val="18"/>
                <w:szCs w:val="18"/>
                <w:color w:val="auto"/>
              </w:rPr>
              <w:t>INCOME (LOSS) FROM OPERATIONS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(370,564)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(602,515)</w:t>
            </w:r>
          </w:p>
        </w:tc>
        <w:tc>
          <w:tcPr>
            <w:tcW w:w="2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(1,261,002)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(964,343)</w:t>
            </w:r>
          </w:p>
        </w:tc>
        <w:tc>
          <w:tcPr>
            <w:tcW w:w="0" w:type="dxa"/>
            <w:vAlign w:val="bottom"/>
          </w:tcPr>
          <w:p>
            <w:pPr>
              <w:spacing w:after="0"/>
              <w:rPr>
                <w:sz w:val="1"/>
                <w:szCs w:val="1"/>
                <w:color w:val="auto"/>
              </w:rPr>
            </w:pPr>
          </w:p>
        </w:tc>
      </w:tr>
      <w:tr>
        <w:trPr>
          <w:trHeight w:val="418"/>
        </w:trPr>
        <w:tc>
          <w:tcPr>
            <w:tcW w:w="5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10,582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420" w:type="dxa"/>
            <w:vAlign w:val="bottom"/>
            <w:vMerge w:val="restart"/>
          </w:tcPr>
          <w:p>
            <w:pPr>
              <w:ind w:left="120"/>
              <w:spacing w:after="0"/>
              <w:rPr>
                <w:sz w:val="20"/>
                <w:szCs w:val="20"/>
                <w:color w:val="auto"/>
              </w:rPr>
            </w:pPr>
            <w:r>
              <w:rPr>
                <w:rFonts w:ascii="Arial" w:cs="Arial" w:eastAsia="Arial" w:hAnsi="Arial"/>
                <w:sz w:val="18"/>
                <w:szCs w:val="18"/>
                <w:color w:val="auto"/>
              </w:rPr>
              <w:t>TOTAL OTHER INCOME (EXPENSE)</w:t>
            </w: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10,582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20,495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(361,501)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(591,933)</w:t>
            </w:r>
          </w:p>
        </w:tc>
        <w:tc>
          <w:tcPr>
            <w:tcW w:w="2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(1,244,183)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(943,848)</w:t>
            </w:r>
          </w:p>
        </w:tc>
        <w:tc>
          <w:tcPr>
            <w:tcW w:w="0" w:type="dxa"/>
            <w:vAlign w:val="bottom"/>
          </w:tcPr>
          <w:p>
            <w:pPr>
              <w:spacing w:after="0"/>
              <w:rPr>
                <w:sz w:val="1"/>
                <w:szCs w:val="1"/>
                <w:color w:val="auto"/>
              </w:rPr>
            </w:pPr>
          </w:p>
        </w:tc>
      </w:tr>
      <w:tr>
        <w:trPr>
          <w:trHeight w:val="446"/>
        </w:trPr>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42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(361,501</w:t>
            </w:r>
            <w:r>
              <w:rPr>
                <w:rFonts w:ascii="Arial" w:cs="Arial" w:eastAsia="Arial" w:hAnsi="Arial"/>
                <w:sz w:val="36"/>
                <w:szCs w:val="36"/>
                <w:color w:val="auto"/>
                <w:vertAlign w:val="superscript"/>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(591,933</w:t>
            </w:r>
            <w:r>
              <w:rPr>
                <w:rFonts w:ascii="Arial" w:cs="Arial" w:eastAsia="Arial" w:hAnsi="Arial"/>
                <w:sz w:val="36"/>
                <w:szCs w:val="36"/>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(1,244,183</w:t>
            </w:r>
            <w:r>
              <w:rPr>
                <w:rFonts w:ascii="Arial" w:cs="Arial" w:eastAsia="Arial" w:hAnsi="Arial"/>
                <w:sz w:val="36"/>
                <w:szCs w:val="36"/>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(943,848</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rPr>
                <w:sz w:val="20"/>
                <w:szCs w:val="20"/>
                <w:color w:val="auto"/>
              </w:rPr>
            </w:pPr>
            <w:r>
              <w:rPr>
                <w:rFonts w:ascii="Arial" w:cs="Arial" w:eastAsia="Arial" w:hAnsi="Arial"/>
                <w:sz w:val="18"/>
                <w:szCs w:val="18"/>
                <w:color w:val="auto"/>
              </w:rPr>
              <w:t>WEIGHTED AVERGE NUMBER OF SHARES OUTSTANDING</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20" w:type="dxa"/>
            <w:vAlign w:val="bottom"/>
          </w:tcPr>
          <w:p>
            <w:pPr>
              <w:ind w:left="14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29,583,771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29,141,340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29,650,945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29,086,134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2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20" w:type="dxa"/>
            <w:vAlign w:val="bottom"/>
          </w:tcPr>
          <w:p>
            <w:pPr>
              <w:ind w:left="14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(0.01</w:t>
            </w:r>
            <w:r>
              <w:rPr>
                <w:rFonts w:ascii="Arial" w:cs="Arial" w:eastAsia="Arial" w:hAnsi="Arial"/>
                <w:sz w:val="31"/>
                <w:szCs w:val="31"/>
                <w:color w:val="auto"/>
                <w:vertAlign w:val="superscript"/>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line="271" w:lineRule="exact"/>
              <w:rPr>
                <w:sz w:val="20"/>
                <w:szCs w:val="20"/>
                <w:color w:val="auto"/>
              </w:rPr>
            </w:pPr>
            <w:r>
              <w:rPr>
                <w:rFonts w:ascii="Arial" w:cs="Arial" w:eastAsia="Arial" w:hAnsi="Arial"/>
                <w:sz w:val="16"/>
                <w:szCs w:val="16"/>
                <w:color w:val="auto"/>
              </w:rPr>
              <w:t>(0.02</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(0.04</w:t>
            </w:r>
            <w:r>
              <w:rPr>
                <w:rFonts w:ascii="Arial" w:cs="Arial" w:eastAsia="Arial" w:hAnsi="Arial"/>
                <w:sz w:val="31"/>
                <w:szCs w:val="31"/>
                <w:color w:val="auto"/>
                <w:vertAlign w:val="super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(0.03</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42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87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2019-12-07T09:42:23Z</dcterms:created>
  <dcterms:modified xsi:type="dcterms:W3CDTF">2019-12-07T09:42:23Z</dcterms:modified>
</cp:coreProperties>
</file>