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FORM 8-K</w:t>
            </w:r>
          </w:p>
        </w:tc>
        <w:tc>
          <w:tcPr>
            <w:tcW w:w="360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CURRENT REPORT</w:t>
            </w:r>
          </w:p>
        </w:tc>
        <w:tc>
          <w:tcPr>
            <w:tcW w:w="3600" w:type="dxa"/>
            <w:vAlign w:val="bottom"/>
          </w:tcPr>
          <w:p>
            <w:pPr>
              <w:spacing w:after="0"/>
              <w:rPr>
                <w:sz w:val="24"/>
                <w:szCs w:val="24"/>
                <w:color w:val="auto"/>
              </w:rPr>
            </w:pPr>
          </w:p>
        </w:tc>
      </w:tr>
      <w:tr>
        <w:trPr>
          <w:trHeight w:val="414"/>
        </w:trPr>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Pursuant to Section 13 or 15(d) of</w:t>
            </w:r>
          </w:p>
        </w:tc>
        <w:tc>
          <w:tcPr>
            <w:tcW w:w="3600" w:type="dxa"/>
            <w:vAlign w:val="bottom"/>
          </w:tcPr>
          <w:p>
            <w:pPr>
              <w:spacing w:after="0"/>
              <w:rPr>
                <w:sz w:val="24"/>
                <w:szCs w:val="24"/>
                <w:color w:val="auto"/>
              </w:rPr>
            </w:pPr>
          </w:p>
        </w:tc>
      </w:tr>
      <w:tr>
        <w:trPr>
          <w:trHeight w:val="234"/>
        </w:trPr>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the Securities Exchange Act of 1934</w:t>
            </w:r>
          </w:p>
        </w:tc>
        <w:tc>
          <w:tcPr>
            <w:tcW w:w="360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8360" w:type="dxa"/>
            <w:vAlign w:val="bottom"/>
            <w:gridSpan w:val="7"/>
          </w:tcPr>
          <w:p>
            <w:pPr>
              <w:jc w:val="center"/>
              <w:ind w:right="2790"/>
              <w:spacing w:after="0"/>
              <w:rPr>
                <w:sz w:val="20"/>
                <w:szCs w:val="20"/>
                <w:color w:val="auto"/>
              </w:rPr>
            </w:pPr>
            <w:r>
              <w:rPr>
                <w:rFonts w:ascii="Arial" w:cs="Arial" w:eastAsia="Arial" w:hAnsi="Arial"/>
                <w:sz w:val="18"/>
                <w:szCs w:val="18"/>
                <w:b w:val="1"/>
                <w:bCs w:val="1"/>
                <w:color w:val="auto"/>
                <w:w w:val="91"/>
              </w:rPr>
              <w:t>Date of Report (Date of Earliest Event Reported): November 9, 2021</w:t>
            </w:r>
          </w:p>
        </w:tc>
      </w:tr>
      <w:tr>
        <w:trPr>
          <w:trHeight w:val="418"/>
        </w:trPr>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OptimizeRx Corporation</w:t>
            </w:r>
          </w:p>
        </w:tc>
        <w:tc>
          <w:tcPr>
            <w:tcW w:w="3600" w:type="dxa"/>
            <w:vAlign w:val="bottom"/>
          </w:tcPr>
          <w:p>
            <w:pPr>
              <w:spacing w:after="0"/>
              <w:rPr>
                <w:sz w:val="24"/>
                <w:szCs w:val="24"/>
                <w:color w:val="auto"/>
              </w:rPr>
            </w:pPr>
          </w:p>
        </w:tc>
      </w:tr>
      <w:tr>
        <w:trPr>
          <w:trHeight w:val="230"/>
        </w:trPr>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(Exact name of registrant as specified in charter)</w:t>
            </w:r>
          </w:p>
        </w:tc>
        <w:tc>
          <w:tcPr>
            <w:tcW w:w="3600" w:type="dxa"/>
            <w:vAlign w:val="bottom"/>
          </w:tcPr>
          <w:p>
            <w:pPr>
              <w:spacing w:after="0"/>
              <w:rPr>
                <w:sz w:val="20"/>
                <w:szCs w:val="20"/>
                <w:color w:val="auto"/>
              </w:rPr>
            </w:pPr>
          </w:p>
        </w:tc>
      </w:tr>
      <w:tr>
        <w:trPr>
          <w:trHeight w:val="439"/>
        </w:trPr>
        <w:tc>
          <w:tcPr>
            <w:tcW w:w="2880" w:type="dxa"/>
            <w:vAlign w:val="bottom"/>
          </w:tcPr>
          <w:p>
            <w:pPr>
              <w:jc w:val="center"/>
              <w:ind w:left="650"/>
              <w:spacing w:after="0"/>
              <w:rPr>
                <w:sz w:val="20"/>
                <w:szCs w:val="20"/>
                <w:color w:val="auto"/>
              </w:rPr>
            </w:pPr>
            <w:r>
              <w:rPr>
                <w:rFonts w:ascii="Arial" w:cs="Arial" w:eastAsia="Arial" w:hAnsi="Arial"/>
                <w:sz w:val="18"/>
                <w:szCs w:val="18"/>
                <w:b w:val="1"/>
                <w:bCs w:val="1"/>
                <w:color w:val="auto"/>
                <w:w w:val="90"/>
              </w:rPr>
              <w:t>Nevada</w:t>
            </w:r>
          </w:p>
        </w:tc>
        <w:tc>
          <w:tcPr>
            <w:tcW w:w="4560" w:type="dxa"/>
            <w:vAlign w:val="bottom"/>
            <w:gridSpan w:val="5"/>
          </w:tcPr>
          <w:p>
            <w:pPr>
              <w:jc w:val="center"/>
              <w:ind w:left="850"/>
              <w:spacing w:after="0"/>
              <w:rPr>
                <w:sz w:val="20"/>
                <w:szCs w:val="20"/>
                <w:color w:val="auto"/>
              </w:rPr>
            </w:pPr>
            <w:r>
              <w:rPr>
                <w:rFonts w:ascii="Arial" w:cs="Arial" w:eastAsia="Arial" w:hAnsi="Arial"/>
                <w:sz w:val="18"/>
                <w:szCs w:val="18"/>
                <w:b w:val="1"/>
                <w:bCs w:val="1"/>
                <w:color w:val="auto"/>
                <w:w w:val="90"/>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2880" w:type="dxa"/>
            <w:vAlign w:val="bottom"/>
            <w:tcBorders>
              <w:top w:val="single" w:sz="8" w:color="auto"/>
            </w:tcBorders>
          </w:tcPr>
          <w:p>
            <w:pPr>
              <w:jc w:val="center"/>
              <w:ind w:left="650"/>
              <w:spacing w:after="0" w:line="201" w:lineRule="exact"/>
              <w:rPr>
                <w:sz w:val="20"/>
                <w:szCs w:val="20"/>
                <w:color w:val="auto"/>
              </w:rPr>
            </w:pPr>
            <w:r>
              <w:rPr>
                <w:rFonts w:ascii="Arial" w:cs="Arial" w:eastAsia="Arial" w:hAnsi="Arial"/>
                <w:sz w:val="18"/>
                <w:szCs w:val="18"/>
                <w:color w:val="auto"/>
                <w:w w:val="92"/>
              </w:rPr>
              <w:t>(State or other jurisdiction</w:t>
            </w: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880" w:type="dxa"/>
            <w:vAlign w:val="bottom"/>
          </w:tcPr>
          <w:p>
            <w:pPr>
              <w:jc w:val="center"/>
              <w:ind w:left="650"/>
              <w:spacing w:after="0"/>
              <w:rPr>
                <w:sz w:val="20"/>
                <w:szCs w:val="20"/>
                <w:color w:val="auto"/>
              </w:rPr>
            </w:pPr>
            <w:r>
              <w:rPr>
                <w:rFonts w:ascii="Arial" w:cs="Arial" w:eastAsia="Arial" w:hAnsi="Arial"/>
                <w:sz w:val="18"/>
                <w:szCs w:val="18"/>
                <w:color w:val="auto"/>
                <w:w w:val="93"/>
              </w:rPr>
              <w:t>of incorporation)</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7640" w:type="dxa"/>
            <w:vAlign w:val="bottom"/>
            <w:gridSpan w:val="7"/>
          </w:tcPr>
          <w:p>
            <w:pPr>
              <w:jc w:val="center"/>
              <w:ind w:right="212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3600" w:type="dxa"/>
            <w:vAlign w:val="bottom"/>
          </w:tcPr>
          <w:p>
            <w:pPr>
              <w:jc w:val="right"/>
              <w:ind w:right="2470"/>
              <w:spacing w:after="0"/>
              <w:rPr>
                <w:sz w:val="20"/>
                <w:szCs w:val="20"/>
                <w:color w:val="auto"/>
              </w:rPr>
            </w:pPr>
            <w:r>
              <w:rPr>
                <w:rFonts w:ascii="Arial" w:cs="Arial" w:eastAsia="Arial" w:hAnsi="Arial"/>
                <w:sz w:val="18"/>
                <w:szCs w:val="18"/>
                <w:b w:val="1"/>
                <w:bCs w:val="1"/>
                <w:color w:val="auto"/>
              </w:rPr>
              <w:t>48307</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89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November 9, 2021, OptimizeRx Corporation issued a press release announcing its financial results for the quarter ended September 30, 2021. A copy of the press release is furnished with this Current Report on Form 8-K as Exhibit 99.1 and is incorporated herein by reference.</w:t>
      </w:r>
    </w:p>
    <w:p>
      <w:pPr>
        <w:spacing w:after="0" w:line="17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80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7300" w:type="dxa"/>
            <w:vAlign w:val="bottom"/>
            <w:tcBorders>
              <w:top w:val="single" w:sz="8" w:color="auto"/>
            </w:tcBorders>
          </w:tcPr>
          <w:p>
            <w:pPr>
              <w:spacing w:after="0"/>
              <w:rPr>
                <w:sz w:val="18"/>
                <w:szCs w:val="18"/>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dated November 9, 2021</w:t>
              </w:r>
            </w:hyperlink>
          </w:p>
        </w:tc>
        <w:tc>
          <w:tcPr>
            <w:tcW w:w="7300" w:type="dxa"/>
            <w:vAlign w:val="bottom"/>
            <w:tcBorders>
              <w:bottom w:val="single" w:sz="8" w:color="CCEEFF"/>
            </w:tcBorders>
            <w:shd w:val="clear" w:color="auto" w:fill="CCEEFF"/>
          </w:tcPr>
          <w:p>
            <w:pPr>
              <w:spacing w:after="0"/>
              <w:rPr>
                <w:sz w:val="17"/>
                <w:szCs w:val="17"/>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68"/>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Edward Stelmakh</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2005965"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0596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Reports Third Quarter 2021 Financial Results, Revenue Increased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 in Continued Scale Up for Accelerated Growth</w:t>
      </w:r>
    </w:p>
    <w:p>
      <w:pPr>
        <w:spacing w:after="0" w:line="188" w:lineRule="exact"/>
        <w:rPr>
          <w:sz w:val="20"/>
          <w:szCs w:val="20"/>
          <w:color w:val="auto"/>
        </w:rPr>
      </w:pPr>
    </w:p>
    <w:p>
      <w:pPr>
        <w:ind w:left="980" w:hanging="324"/>
        <w:spacing w:after="0"/>
        <w:tabs>
          <w:tab w:leader="none" w:pos="980" w:val="left"/>
        </w:tabs>
        <w:numPr>
          <w:ilvl w:val="0"/>
          <w:numId w:val="2"/>
        </w:numPr>
        <w:rPr>
          <w:rFonts w:ascii="Arial" w:cs="Arial" w:eastAsia="Arial" w:hAnsi="Arial"/>
          <w:sz w:val="22"/>
          <w:szCs w:val="22"/>
          <w:color w:val="auto"/>
        </w:rPr>
      </w:pPr>
      <w:r>
        <w:rPr>
          <w:rFonts w:ascii="Arial" w:cs="Arial" w:eastAsia="Arial" w:hAnsi="Arial"/>
          <w:sz w:val="18"/>
          <w:szCs w:val="18"/>
          <w:color w:val="auto"/>
        </w:rPr>
        <w:t>Revenue Up 53% to $16.1 million, closing on 11 enterprise contracts</w:t>
      </w:r>
    </w:p>
    <w:p>
      <w:pPr>
        <w:spacing w:after="0" w:line="233" w:lineRule="exact"/>
        <w:rPr>
          <w:rFonts w:ascii="Arial" w:cs="Arial" w:eastAsia="Arial" w:hAnsi="Arial"/>
          <w:sz w:val="22"/>
          <w:szCs w:val="22"/>
          <w:color w:val="auto"/>
        </w:rPr>
      </w:pPr>
    </w:p>
    <w:p>
      <w:pPr>
        <w:ind w:left="980" w:hanging="324"/>
        <w:spacing w:after="0"/>
        <w:tabs>
          <w:tab w:leader="none" w:pos="980" w:val="left"/>
        </w:tabs>
        <w:numPr>
          <w:ilvl w:val="0"/>
          <w:numId w:val="2"/>
        </w:numPr>
        <w:rPr>
          <w:rFonts w:ascii="Arial" w:cs="Arial" w:eastAsia="Arial" w:hAnsi="Arial"/>
          <w:sz w:val="22"/>
          <w:szCs w:val="22"/>
          <w:color w:val="auto"/>
        </w:rPr>
      </w:pPr>
      <w:r>
        <w:rPr>
          <w:rFonts w:ascii="Arial" w:cs="Arial" w:eastAsia="Arial" w:hAnsi="Arial"/>
          <w:sz w:val="18"/>
          <w:szCs w:val="18"/>
          <w:color w:val="auto"/>
        </w:rPr>
        <w:t>Brands adopting OptimizeRx solutions increases to 182 from 140 in the past 6 months</w:t>
      </w:r>
    </w:p>
    <w:p>
      <w:pPr>
        <w:spacing w:after="0" w:line="233" w:lineRule="exact"/>
        <w:rPr>
          <w:rFonts w:ascii="Arial" w:cs="Arial" w:eastAsia="Arial" w:hAnsi="Arial"/>
          <w:sz w:val="22"/>
          <w:szCs w:val="22"/>
          <w:color w:val="auto"/>
        </w:rPr>
      </w:pPr>
    </w:p>
    <w:p>
      <w:pPr>
        <w:ind w:left="980" w:hanging="324"/>
        <w:spacing w:after="0"/>
        <w:tabs>
          <w:tab w:leader="none" w:pos="980" w:val="left"/>
        </w:tabs>
        <w:numPr>
          <w:ilvl w:val="0"/>
          <w:numId w:val="2"/>
        </w:numPr>
        <w:rPr>
          <w:rFonts w:ascii="Arial" w:cs="Arial" w:eastAsia="Arial" w:hAnsi="Arial"/>
          <w:sz w:val="22"/>
          <w:szCs w:val="22"/>
          <w:color w:val="auto"/>
        </w:rPr>
      </w:pPr>
      <w:r>
        <w:rPr>
          <w:rFonts w:ascii="Arial" w:cs="Arial" w:eastAsia="Arial" w:hAnsi="Arial"/>
          <w:sz w:val="18"/>
          <w:szCs w:val="18"/>
          <w:color w:val="auto"/>
        </w:rPr>
        <w:t>Real-world evidence (“RWE”) continues to gain traction and build revenue generating momentum</w:t>
      </w:r>
    </w:p>
    <w:p>
      <w:pPr>
        <w:spacing w:after="0" w:line="233" w:lineRule="exact"/>
        <w:rPr>
          <w:rFonts w:ascii="Arial" w:cs="Arial" w:eastAsia="Arial" w:hAnsi="Arial"/>
          <w:sz w:val="22"/>
          <w:szCs w:val="22"/>
          <w:color w:val="auto"/>
        </w:rPr>
      </w:pPr>
    </w:p>
    <w:p>
      <w:pPr>
        <w:ind w:left="980" w:hanging="324"/>
        <w:spacing w:after="0"/>
        <w:tabs>
          <w:tab w:leader="none" w:pos="980" w:val="left"/>
        </w:tabs>
        <w:numPr>
          <w:ilvl w:val="0"/>
          <w:numId w:val="2"/>
        </w:numPr>
        <w:rPr>
          <w:rFonts w:ascii="Arial" w:cs="Arial" w:eastAsia="Arial" w:hAnsi="Arial"/>
          <w:sz w:val="22"/>
          <w:szCs w:val="22"/>
          <w:color w:val="auto"/>
        </w:rPr>
      </w:pPr>
      <w:r>
        <w:rPr>
          <w:rFonts w:ascii="Arial" w:cs="Arial" w:eastAsia="Arial" w:hAnsi="Arial"/>
          <w:sz w:val="18"/>
          <w:szCs w:val="18"/>
          <w:color w:val="auto"/>
        </w:rPr>
        <w:t>Cash flow positive from operations of $2.1 million for the nine months of 2021</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ROCHESTER, Mich. – November 9, 2021 – </w:t>
      </w:r>
      <w:r>
        <w:rPr>
          <w:rFonts w:ascii="Arial" w:cs="Arial" w:eastAsia="Arial" w:hAnsi="Arial"/>
          <w:sz w:val="18"/>
          <w:szCs w:val="18"/>
          <w:color w:val="auto"/>
        </w:rPr>
        <w:t>OptimizeRx Corp. (the “Company”) (Nasdaq: OPRX), a leading provider of digital health solutions for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companies, physicians and patients, reported results for the three months ended September 30,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Highlights</w:t>
      </w:r>
    </w:p>
    <w:p>
      <w:pPr>
        <w:spacing w:after="0" w:line="229"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 the third quarter of 2021 increased 53% to a record $16.1 million, from $10.5 million in the same period of 2020, with the first nine months of 2021 up 52% to a record $41.0 million as compared to the same year-ago period.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in the third quarter of 2021 increased 51% to $9.1 million as compared to the same year-ago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margin in the third quarter of 2021 decreased slightly to 56.3% from 57.2% as compared to the same year-ago period.</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income totaled $0.04 million or $0.00 per basic and diluted share in the third quarter as compared to a net loss of $0.3 million or ($0.02) per basic and fully diluted share in the year ago period.</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in the third quarter totaled $1.6 million or $0.09 per basic and fully diluted share respectively (see definition of this non-GAAP measure and reconciliation to GAAP, below).</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totaled $85.0 million as of September 30, 2021 as compared to $83.9 million as of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Highlights</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Enhanced senior leadership team by adding Chief Financial Officer/Chief Operating Officer, as well as SVP of Corporate Finance.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operations team with new hires to position the Company for the next phase of growth.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Enhanced market access and adherence commercial teams to accelerate those portions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660" w:right="2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Published physician survey results demonstrating the value of digital solutions to address unmet patient and provider needs in the area of type 2 diabetes.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Recognized as a finalist in Questex’s Fierce Pharma marketing awards 2021.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Formed exclusive partnership with Demandbase to deliver the industry’s most powerful account-based-experience solution.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Commentary</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Will Febbo, OptimizeRx CEO commented, “We are pleased with the financial and operational progress of the quarter and remain on track to end 2021 strong. Demand for our platform is robust as quarter-on-quarter revenue grew 53%. 182 brands are now live on platform, up from 140 in the prior quarter. For our clients needing to adapt to healthcare’s paradigm shift to digital solutions, our purpose-built point-of-care technology platform stays ahead of pace, seamlessly adapting to the rapidly evolving patient care journey. We also continued to fill critical operational roles in this period in preparation for supporting the Company’s next phases of strong growth.</w:t>
      </w:r>
    </w:p>
    <w:p>
      <w:pPr>
        <w:spacing w:after="0" w:line="18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remain excited by the interest shown in our recently launched real-world-evidence solution which is one example of how we are building out the platform to be in lockstep with healthcare’s major technology shifts. These shifts in the last decade have consisted of virtualization of engagement, personalization of patient care, and segmentation through analysis of real-time data. In being up to this challenge, we are pushing the limits and etching out a new frontier of how technology can be leveraged in order to bridge time gaps in connectivity and information to achieve better patient outcomes.</w:t>
      </w:r>
    </w:p>
    <w:p>
      <w:pPr>
        <w:spacing w:after="0" w:line="1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average client ROI increased to 13:1 in the period and remains a valuable measurement of OptimizeRx’s active contribution to our clients’ success,” concluded Mr. Febbo.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Q3 2021 Financial Summary</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8"/>
          <w:szCs w:val="18"/>
          <w:color w:val="auto"/>
        </w:rPr>
        <w:t>reported for the three months ended September 30, 2021 was approximately $16.1 million, an increase of 53% over the approximately $10.5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from the same period in 2020. The increased revenue resulted from increases in sales in all our solutions.</w:t>
      </w:r>
    </w:p>
    <w:p>
      <w:pPr>
        <w:spacing w:after="0" w:line="16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was 56.3%, which decreased slightly from the year-ago quarter (57.2% year ago period). This is the result of solution mix. In general, there</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an increase in the percentage of activity flowing through our higher cost channels compared with a year ago. This was offset by the launch of our RWE solution. Our RWE solution includes a much higher percentage of program design, which carries a higher margin than the delivery of the actual messages.</w:t>
      </w:r>
    </w:p>
    <w:p>
      <w:pPr>
        <w:spacing w:after="0" w:line="18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increased to $9.0 million as compared to $6.2 million in the same year-ago quarter. The increase was due to the Company’s efforts to</w:t>
      </w:r>
      <w:r>
        <w:rPr>
          <w:rFonts w:ascii="Arial" w:cs="Arial" w:eastAsia="Arial" w:hAnsi="Arial"/>
          <w:sz w:val="18"/>
          <w:szCs w:val="18"/>
          <w:b w:val="1"/>
          <w:bCs w:val="1"/>
          <w:color w:val="auto"/>
        </w:rPr>
        <w:t xml:space="preserve"> </w:t>
      </w:r>
      <w:r>
        <w:rPr>
          <w:rFonts w:ascii="Arial" w:cs="Arial" w:eastAsia="Arial" w:hAnsi="Arial"/>
          <w:sz w:val="18"/>
          <w:szCs w:val="18"/>
          <w:color w:val="auto"/>
        </w:rPr>
        <w:t>expand its solutions and build out its organization for future growth.</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on a GAAP basis was approximately $0.04 million or $0.00 per basic and diluted share, as compared to a net loss of $0.3 million or $(0.02)</w:t>
      </w:r>
      <w:r>
        <w:rPr>
          <w:rFonts w:ascii="Arial" w:cs="Arial" w:eastAsia="Arial" w:hAnsi="Arial"/>
          <w:sz w:val="18"/>
          <w:szCs w:val="18"/>
          <w:b w:val="1"/>
          <w:bCs w:val="1"/>
          <w:color w:val="auto"/>
        </w:rPr>
        <w:t xml:space="preserve"> </w:t>
      </w:r>
      <w:r>
        <w:rPr>
          <w:rFonts w:ascii="Arial" w:cs="Arial" w:eastAsia="Arial" w:hAnsi="Arial"/>
          <w:sz w:val="18"/>
          <w:szCs w:val="18"/>
          <w:color w:val="auto"/>
        </w:rPr>
        <w:t>per basic and fully diluted share in the third quarter of 2020.</w:t>
      </w:r>
    </w:p>
    <w:p>
      <w:pPr>
        <w:spacing w:after="0" w:line="162"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 xml:space="preserve">Non-GAAP net income </w:t>
      </w:r>
      <w:r>
        <w:rPr>
          <w:rFonts w:ascii="Arial" w:cs="Arial" w:eastAsia="Arial" w:hAnsi="Arial"/>
          <w:sz w:val="17"/>
          <w:szCs w:val="17"/>
          <w:color w:val="auto"/>
        </w:rPr>
        <w:t>was $1.6 million or $0.09 per basic and fully diluted share, compared to non-GAAP net income of $1.1 million or $0.07 per basic</w:t>
      </w:r>
      <w:r>
        <w:rPr>
          <w:rFonts w:ascii="Arial" w:cs="Arial" w:eastAsia="Arial" w:hAnsi="Arial"/>
          <w:sz w:val="17"/>
          <w:szCs w:val="17"/>
          <w:b w:val="1"/>
          <w:bCs w:val="1"/>
          <w:color w:val="auto"/>
        </w:rPr>
        <w:t xml:space="preserve"> </w:t>
      </w:r>
      <w:r>
        <w:rPr>
          <w:rFonts w:ascii="Arial" w:cs="Arial" w:eastAsia="Arial" w:hAnsi="Arial"/>
          <w:sz w:val="17"/>
          <w:szCs w:val="17"/>
          <w:color w:val="auto"/>
        </w:rPr>
        <w:t>and fully diluted share in the same year-ago period (see definition of this non-GAAP measure and reconciliation to GAAP, below).</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totaled $85.1 million as of September 30, 2021, as compared to $83.9 million as of 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question-and-answer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Tuesday, November 9,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 access: Register here to participate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1-855-327-6837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1-631-891-4304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10016809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call the conference telephone number five minutes prior to the start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remain available for 12 months via the Investors section of the OptimizeRx website at www.optimizerx.com/investors.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Use of Non-GAAP Financial Measures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earnings release includes a presentation of non-GAAP net income (loss) and non-GAAP earnings (loss) per share or non-GAAP EPS, both of which are non-GAAP financial measures.</w:t>
      </w:r>
    </w:p>
    <w:p>
      <w:pPr>
        <w:spacing w:after="0" w:line="170" w:lineRule="exact"/>
        <w:rPr>
          <w:sz w:val="20"/>
          <w:szCs w:val="20"/>
          <w:color w:val="auto"/>
        </w:rPr>
      </w:pPr>
    </w:p>
    <w:p>
      <w:pPr>
        <w:jc w:val="both"/>
        <w:ind w:right="260"/>
        <w:spacing w:after="0" w:line="275" w:lineRule="auto"/>
        <w:rPr>
          <w:sz w:val="20"/>
          <w:szCs w:val="20"/>
          <w:color w:val="auto"/>
        </w:rPr>
      </w:pPr>
      <w:r>
        <w:rPr>
          <w:rFonts w:ascii="Arial" w:cs="Arial" w:eastAsia="Arial" w:hAnsi="Arial"/>
          <w:sz w:val="17"/>
          <w:szCs w:val="17"/>
          <w:color w:val="auto"/>
        </w:rPr>
        <w:t>The Company defines non-GAAP net income (loss) as GAAP net income (loss) with an adjustment to add back depreciation, amortization, stock-based compensation, acquisition expenses, income or loss related to the fair value of contingent consideration, and deferred income taxes. Non-GAAP EPS is defined as non-GAAP net income (loss) divided by the number of weighted average shares outstanding on a basic and diluted basis. The Company has provided non-GAAP financial measures to aid investors in better understanding its performance. Management believes that these non-GAAP financial measures provide additional insight into the operations and cashflow of the Company.</w:t>
      </w:r>
    </w:p>
    <w:p>
      <w:pPr>
        <w:spacing w:after="0" w:line="17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 w:name="page7"/>
    <w:bookmarkEnd w:id="6"/>
    <w:p>
      <w:pPr>
        <w:ind w:right="320"/>
        <w:spacing w:after="0" w:line="277" w:lineRule="auto"/>
        <w:rPr>
          <w:sz w:val="20"/>
          <w:szCs w:val="20"/>
          <w:color w:val="auto"/>
        </w:rPr>
      </w:pPr>
      <w:r>
        <w:rPr>
          <w:rFonts w:ascii="Arial" w:cs="Arial" w:eastAsia="Arial" w:hAnsi="Arial"/>
          <w:sz w:val="18"/>
          <w:szCs w:val="18"/>
          <w:color w:val="auto"/>
        </w:rPr>
        <w:t>The table, “Reconciliation of non-GAAP to GAAP Financial Measures,” included below, provides a reconciliation of non-GAAP net income (loss) and non-GAAP EPS for the three and nine months ended September 30,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OptimizeRx is a digital heath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press release contains forward-looking statements within the definition of Section 27A of the Securities Act of 1933, as amended, and such as in section 21E of the Securities and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Andy D’Silva, SVP Corporate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adsilva@optimizerx.com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8680" w:type="dxa"/>
            <w:vAlign w:val="bottom"/>
          </w:tcPr>
          <w:p>
            <w:pPr>
              <w:ind w:left="39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85,056,578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10,516,776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20,747,529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17,885,705</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2,564,711</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4,456,611</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108,368,818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32,859,092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130,863</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148,854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14,740,031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14,740,031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Technology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4,784,771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5,251,822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 rights,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2,205,550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2,349,570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4,045,890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4,519,552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 of use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362,024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445,974</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Other assets and deposits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12,859</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12,859</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26,151,125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27,319,808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134,650,806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60,327,754</w:t>
            </w:r>
          </w:p>
        </w:tc>
        <w:tc>
          <w:tcPr>
            <w:tcW w:w="80" w:type="dxa"/>
            <w:vAlign w:val="bottom"/>
          </w:tcPr>
          <w:p>
            <w:pPr>
              <w:spacing w:after="0"/>
              <w:rPr>
                <w:sz w:val="24"/>
                <w:szCs w:val="24"/>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3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771,645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618,250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2,460,248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2,420,361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3,891,091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4,969,868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lease obligations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101,063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123,220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1,610,813</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348,405</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285,795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7,572,452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10,028,307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Lease obligations, net of current portion</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260,614</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325,533</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260,614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325,533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7,833,066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10,353,840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Preferred stock, $0.001 par value, 10,000,000 shares authorized, no issued and outstanding at September 30, 2021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 December 31, 2020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3"/>
              </w:rPr>
              <w:t>Common stock, $0.001 par value, 166,666,667 shares authorized, 17,727,769 and 15,223,340 shares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outstanding at September 30, 2021 and December 31, 2020,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17,728</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15,223</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162,677,132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85,590,428</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(35,877,120)</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(35,631,737)</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126,817,740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49,973,914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134,650,806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60,327,754</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center"/>
              <w:ind w:right="341"/>
              <w:spacing w:after="0"/>
              <w:rPr>
                <w:sz w:val="20"/>
                <w:szCs w:val="20"/>
                <w:color w:val="auto"/>
              </w:rPr>
            </w:pPr>
            <w:r>
              <w:rPr>
                <w:rFonts w:ascii="Arial" w:cs="Arial" w:eastAsia="Arial" w:hAnsi="Arial"/>
                <w:sz w:val="18"/>
                <w:szCs w:val="18"/>
                <w:b w:val="1"/>
                <w:bCs w:val="1"/>
                <w:color w:val="auto"/>
                <w:w w:val="92"/>
              </w:rPr>
              <w:t>For the Three Months</w:t>
            </w:r>
          </w:p>
        </w:tc>
        <w:tc>
          <w:tcPr>
            <w:tcW w:w="200" w:type="dxa"/>
            <w:vAlign w:val="bottom"/>
          </w:tcPr>
          <w:p>
            <w:pPr>
              <w:spacing w:after="0"/>
              <w:rPr>
                <w:sz w:val="18"/>
                <w:szCs w:val="18"/>
                <w:color w:val="auto"/>
              </w:rPr>
            </w:pPr>
          </w:p>
        </w:tc>
        <w:tc>
          <w:tcPr>
            <w:tcW w:w="2340" w:type="dxa"/>
            <w:vAlign w:val="bottom"/>
            <w:gridSpan w:val="5"/>
          </w:tcPr>
          <w:p>
            <w:pPr>
              <w:jc w:val="center"/>
              <w:ind w:right="261"/>
              <w:spacing w:after="0"/>
              <w:rPr>
                <w:sz w:val="20"/>
                <w:szCs w:val="20"/>
                <w:color w:val="auto"/>
              </w:rPr>
            </w:pPr>
            <w:r>
              <w:rPr>
                <w:rFonts w:ascii="Arial" w:cs="Arial" w:eastAsia="Arial" w:hAnsi="Arial"/>
                <w:sz w:val="18"/>
                <w:szCs w:val="18"/>
                <w:b w:val="1"/>
                <w:bCs w:val="1"/>
                <w:color w:val="auto"/>
                <w:w w:val="91"/>
              </w:rPr>
              <w:t>For the Nine Months</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Ended</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center"/>
              <w:ind w:left="591"/>
              <w:spacing w:after="0"/>
              <w:rPr>
                <w:sz w:val="20"/>
                <w:szCs w:val="20"/>
                <w:color w:val="auto"/>
              </w:rPr>
            </w:pPr>
            <w:r>
              <w:rPr>
                <w:rFonts w:ascii="Arial" w:cs="Arial" w:eastAsia="Arial" w:hAnsi="Arial"/>
                <w:sz w:val="18"/>
                <w:szCs w:val="18"/>
                <w:b w:val="1"/>
                <w:bCs w:val="1"/>
                <w:color w:val="auto"/>
                <w:w w:val="90"/>
              </w:rPr>
              <w:t>Ended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center"/>
              <w:ind w:right="341"/>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340" w:type="dxa"/>
            <w:vAlign w:val="bottom"/>
            <w:gridSpan w:val="5"/>
          </w:tcPr>
          <w:p>
            <w:pPr>
              <w:jc w:val="center"/>
              <w:ind w:right="241"/>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16,124,951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10,519,191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40,979,801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26,887,022</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7,047,832</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4,504,844</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17,733,400</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11,385,622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9,077,119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6,014,347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23,246,401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15,501,400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9,038,929</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6,191,069</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23,506,381</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7"/>
              </w:rPr>
              <w:t>18,993,187</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INCOME (LOSS) FROM OPERATIONS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38,190</w:t>
            </w:r>
          </w:p>
        </w:tc>
        <w:tc>
          <w:tcPr>
            <w:tcW w:w="2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(176,722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(259,980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(3,491,787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4,218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14,597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67,884</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(110,390)</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(140,390)</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TOTAL OTHER INCOME (EXPENSE)</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1,704</w:t>
            </w:r>
          </w:p>
        </w:tc>
        <w:tc>
          <w:tcPr>
            <w:tcW w:w="2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(106,172)</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14,597</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(72,506)</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INCOME(LOSS) BEFORE PROVISION FOR INCOME TAXES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39,894</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(282,894)</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(245,383)</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(3,564,293)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39,894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(282,894</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(245,383</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(3,564,293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AVERGE SHARES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17,639,346</w:t>
            </w:r>
          </w:p>
        </w:tc>
        <w:tc>
          <w:tcPr>
            <w:tcW w:w="22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14,900,971</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17,028,762</w:t>
            </w:r>
          </w:p>
        </w:tc>
        <w:tc>
          <w:tcPr>
            <w:tcW w:w="220" w:type="dxa"/>
            <w:vAlign w:val="bottom"/>
          </w:tcPr>
          <w:p>
            <w:pPr>
              <w:spacing w:after="0"/>
              <w:rPr>
                <w:sz w:val="24"/>
                <w:szCs w:val="24"/>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w w:val="97"/>
              </w:rPr>
              <w:t>14,726,534</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18,198,412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14,900,971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17,028,762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14,726,534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(0.02</w:t>
            </w:r>
            <w:r>
              <w:rPr>
                <w:rFonts w:ascii="Arial" w:cs="Arial" w:eastAsia="Arial" w:hAnsi="Arial"/>
                <w:sz w:val="29"/>
                <w:szCs w:val="29"/>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(0.24</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201"/>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(245,383)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(3,564,293)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amortization, and non-cash lease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1,580,173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1,563,883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2,362,113</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2,066,609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issued for board services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250,085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325,011</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Provision for loss on accounts receivable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60,000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140,390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(2,921,824)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(5,994,527)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1,891,900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(931,833)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153,395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(1,078,777)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2,023,650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(53,710)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704,559</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62,610</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(118,737)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2,060,582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(3,717,781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equipment</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(62,565)</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(45,254)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intangible assets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(324,413)</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(386,978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(45,254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public offering of common stock, net of commission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70,671,536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the exercise of options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3,805,475</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1,332,080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(1,610,813)</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(4,389,187)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72,866,198</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(3,057,107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74,539,802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(6,820,142)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10,516,776</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w w:val="99"/>
              </w:rPr>
              <w:t>18,852,680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85,056,578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12,032,538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Acquisition liabilities paid in common stock</w:t>
            </w: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Lease liabilities arising from right of use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For the Three Months</w:t>
            </w:r>
          </w:p>
        </w:tc>
        <w:tc>
          <w:tcPr>
            <w:tcW w:w="200" w:type="dxa"/>
            <w:vAlign w:val="bottom"/>
          </w:tcPr>
          <w:p>
            <w:pPr>
              <w:spacing w:after="0"/>
              <w:rPr>
                <w:sz w:val="19"/>
                <w:szCs w:val="19"/>
                <w:color w:val="auto"/>
              </w:rPr>
            </w:pPr>
          </w:p>
        </w:tc>
        <w:tc>
          <w:tcPr>
            <w:tcW w:w="234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41"/>
        </w:trPr>
        <w:tc>
          <w:tcPr>
            <w:tcW w:w="5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Ended September 30,</w:t>
            </w:r>
          </w:p>
        </w:tc>
        <w:tc>
          <w:tcPr>
            <w:tcW w:w="200" w:type="dxa"/>
            <w:vAlign w:val="bottom"/>
          </w:tcPr>
          <w:p>
            <w:pPr>
              <w:spacing w:after="0"/>
              <w:rPr>
                <w:sz w:val="20"/>
                <w:szCs w:val="20"/>
                <w:color w:val="auto"/>
              </w:rPr>
            </w:pPr>
          </w:p>
        </w:tc>
        <w:tc>
          <w:tcPr>
            <w:tcW w:w="2340" w:type="dxa"/>
            <w:vAlign w:val="bottom"/>
            <w:gridSpan w:val="5"/>
          </w:tcPr>
          <w:p>
            <w:pPr>
              <w:ind w:left="20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(3,564,293)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526,035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523,420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1,580,173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1,563,883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1,008,007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756,437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2,612,198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2,391,620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w w:val="98"/>
              </w:rPr>
              <w:t>Income or loss related to the fair value of contingent consideration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110,390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140,390</w:t>
            </w: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1,573,936</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1,107,353</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3,946,988</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531,600</w:t>
            </w:r>
          </w:p>
        </w:tc>
        <w:tc>
          <w:tcPr>
            <w:tcW w:w="0" w:type="dxa"/>
            <w:vAlign w:val="bottom"/>
          </w:tcPr>
          <w:p>
            <w:pPr>
              <w:spacing w:after="0"/>
              <w:rPr>
                <w:sz w:val="1"/>
                <w:szCs w:val="1"/>
                <w:color w:val="auto"/>
              </w:rPr>
            </w:pPr>
          </w:p>
        </w:tc>
      </w:tr>
      <w:tr>
        <w:trPr>
          <w:trHeight w:val="21"/>
        </w:trPr>
        <w:tc>
          <w:tcPr>
            <w:tcW w:w="5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 per share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180" w:type="dxa"/>
            <w:vAlign w:val="bottom"/>
          </w:tcPr>
          <w:p>
            <w:pPr>
              <w:ind w:left="180"/>
              <w:spacing w:after="0"/>
              <w:rPr>
                <w:sz w:val="20"/>
                <w:szCs w:val="20"/>
                <w:color w:val="auto"/>
              </w:rPr>
            </w:pPr>
            <w:r>
              <w:rPr>
                <w:rFonts w:ascii="Arial" w:cs="Arial" w:eastAsia="Arial" w:hAnsi="Arial"/>
                <w:sz w:val="18"/>
                <w:szCs w:val="18"/>
                <w:color w:val="auto"/>
              </w:rPr>
              <w:t>Basic</w:t>
            </w:r>
          </w:p>
        </w:tc>
        <w:tc>
          <w:tcPr>
            <w:tcW w:w="10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0.09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17,639,346</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14,990,771</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17,028,762</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14,726,534</w:t>
            </w:r>
          </w:p>
        </w:tc>
        <w:tc>
          <w:tcPr>
            <w:tcW w:w="0" w:type="dxa"/>
            <w:vAlign w:val="bottom"/>
          </w:tcPr>
          <w:p>
            <w:pPr>
              <w:spacing w:after="0"/>
              <w:rPr>
                <w:sz w:val="1"/>
                <w:szCs w:val="1"/>
                <w:color w:val="auto"/>
              </w:rPr>
            </w:pPr>
          </w:p>
        </w:tc>
      </w:tr>
      <w:tr>
        <w:trPr>
          <w:trHeight w:val="21"/>
        </w:trPr>
        <w:tc>
          <w:tcPr>
            <w:tcW w:w="51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18,198,412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16,086,041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17,555,593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15,658,050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2021-11-10T07:06:20Z</dcterms:created>
  <dcterms:modified xsi:type="dcterms:W3CDTF">2021-11-10T07:06:20Z</dcterms:modified>
</cp:coreProperties>
</file>