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FEBBO WILLIAM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40"/>
        <w:spacing w:after="0" w:line="361" w:lineRule="auto"/>
        <w:rPr>
          <w:sz w:val="20"/>
          <w:szCs w:val="20"/>
          <w:color w:val="auto"/>
        </w:rPr>
      </w:pPr>
      <w:r>
        <w:rPr>
          <w:rFonts w:ascii="Arial" w:cs="Arial" w:eastAsia="Arial" w:hAnsi="Arial"/>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ROCHESTER</w:t>
            </w:r>
          </w:p>
        </w:tc>
        <w:tc>
          <w:tcPr>
            <w:tcW w:w="920" w:type="dxa"/>
            <w:vAlign w:val="bottom"/>
          </w:tcPr>
          <w:p>
            <w:pPr>
              <w:ind w:left="100"/>
              <w:spacing w:after="0"/>
              <w:rPr>
                <w:sz w:val="20"/>
                <w:szCs w:val="20"/>
                <w:color w:val="auto"/>
              </w:rPr>
            </w:pPr>
            <w:r>
              <w:rPr>
                <w:rFonts w:ascii="Arial" w:cs="Arial" w:eastAsia="Arial" w:hAnsi="Arial"/>
                <w:sz w:val="17"/>
                <w:szCs w:val="17"/>
                <w:color w:val="0000FF"/>
              </w:rPr>
              <w:t>MI</w:t>
            </w:r>
          </w:p>
        </w:tc>
        <w:tc>
          <w:tcPr>
            <w:tcW w:w="1600" w:type="dxa"/>
            <w:vAlign w:val="bottom"/>
          </w:tcPr>
          <w:p>
            <w:pPr>
              <w:ind w:left="400"/>
              <w:spacing w:after="0"/>
              <w:rPr>
                <w:sz w:val="20"/>
                <w:szCs w:val="20"/>
                <w:color w:val="auto"/>
              </w:rPr>
            </w:pPr>
            <w:r>
              <w:rPr>
                <w:rFonts w:ascii="Arial" w:cs="Arial" w:eastAsia="Arial" w:hAnsi="Arial"/>
                <w:sz w:val="17"/>
                <w:szCs w:val="17"/>
                <w:color w:val="0000FF"/>
              </w:rPr>
              <w:t>48307</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Arial" w:cs="Arial" w:eastAsia="Arial" w:hAnsi="Arial"/>
                <w:sz w:val="17"/>
                <w:szCs w:val="17"/>
                <w:color w:val="0000FF"/>
                <w:w w:val="91"/>
              </w:rPr>
              <w:t>01/18/2022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3"/>
              </w:rPr>
              <w:t>8,140</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46.915</w:t>
            </w:r>
            <w:r>
              <w:rPr>
                <w:rFonts w:ascii="Arial" w:cs="Arial" w:eastAsia="Arial" w:hAnsi="Arial"/>
                <w:sz w:val="22"/>
                <w:szCs w:val="22"/>
                <w:color w:val="008000"/>
                <w:w w:val="93"/>
                <w:vertAlign w:val="superscript"/>
              </w:rPr>
              <w:t>(2)</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470,864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Arial" w:cs="Arial" w:eastAsia="Arial" w:hAnsi="Arial"/>
                <w:sz w:val="17"/>
                <w:szCs w:val="17"/>
                <w:color w:val="0000FF"/>
                <w:w w:val="91"/>
              </w:rPr>
              <w:t>01/18/2022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93"/>
              </w:rPr>
              <w:t>8,226</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47.572</w:t>
            </w:r>
            <w:r>
              <w:rPr>
                <w:rFonts w:ascii="Arial" w:cs="Arial" w:eastAsia="Arial" w:hAnsi="Arial"/>
                <w:sz w:val="22"/>
                <w:szCs w:val="22"/>
                <w:color w:val="008000"/>
                <w:w w:val="93"/>
                <w:vertAlign w:val="superscript"/>
              </w:rPr>
              <w:t>(3)</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462,638</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00" w:type="dxa"/>
            <w:vAlign w:val="bottom"/>
            <w:tcBorders>
              <w:bottom w:val="single" w:sz="8" w:color="2C2C2C"/>
            </w:tcBorders>
          </w:tcPr>
          <w:p>
            <w:pPr>
              <w:jc w:val="center"/>
              <w:ind w:left="527"/>
              <w:spacing w:after="0"/>
              <w:rPr>
                <w:sz w:val="20"/>
                <w:szCs w:val="20"/>
                <w:color w:val="auto"/>
              </w:rPr>
            </w:pPr>
            <w:r>
              <w:rPr>
                <w:rFonts w:ascii="Arial" w:cs="Arial" w:eastAsia="Arial" w:hAnsi="Arial"/>
                <w:sz w:val="17"/>
                <w:szCs w:val="17"/>
                <w:color w:val="0000FF"/>
                <w:w w:val="91"/>
              </w:rPr>
              <w:t>01/18/2022</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48.523</w:t>
            </w:r>
            <w:r>
              <w:rPr>
                <w:rFonts w:ascii="Arial" w:cs="Arial" w:eastAsia="Arial" w:hAnsi="Arial"/>
                <w:sz w:val="22"/>
                <w:szCs w:val="22"/>
                <w:color w:val="008000"/>
                <w:w w:val="93"/>
                <w:vertAlign w:val="superscript"/>
              </w:rPr>
              <w:t>(4)</w:t>
            </w:r>
          </w:p>
        </w:tc>
        <w:tc>
          <w:tcPr>
            <w:tcW w:w="11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462,338</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previously established Rule 10b5-1 trading plan, adopted on May 28, 2021.</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$46.30 to $47.28. The reporting person undertakes to provide to OptimizeRx Corporation, any security holder of OptimizeRx Corporation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$47.29 to $48.18. The reporting person undertakes to provide to OptimizeRx Corporation, any security holder of OptimizeRx Corporation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$48.385 to $48.80. The reporting person undertakes to provide to OptimizeRx Corporation, any security holder of OptimizeRx Corporation or the Staff of the Securities and Exchange Commission, upon request, full information regarding the number of shares sold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460"/>
        <w:spacing w:after="0" w:line="266"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William Febbo</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01/20/2022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398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2022-01-20T15:49:12Z</dcterms:created>
  <dcterms:modified xsi:type="dcterms:W3CDTF">2022-01-20T15:49:12Z</dcterms:modified>
</cp:coreProperties>
</file>