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0" w:type="dxa"/>
            <w:vAlign w:val="bottom"/>
            <w:gridSpan w:val="5"/>
          </w:tcPr>
          <w:p>
            <w:pPr>
              <w:jc w:val="center"/>
              <w:ind w:right="600"/>
              <w:spacing w:after="0"/>
              <w:rPr>
                <w:sz w:val="20"/>
                <w:szCs w:val="20"/>
                <w:color w:val="auto"/>
              </w:rPr>
            </w:pPr>
            <w:r>
              <w:rPr>
                <w:rFonts w:ascii="Arial" w:cs="Arial" w:eastAsia="Arial" w:hAnsi="Arial"/>
                <w:sz w:val="18"/>
                <w:szCs w:val="18"/>
                <w:b w:val="1"/>
                <w:bCs w:val="1"/>
                <w:color w:val="auto"/>
              </w:rPr>
              <w:t>FORM 8-K</w:t>
            </w:r>
          </w:p>
        </w:tc>
        <w:tc>
          <w:tcPr>
            <w:tcW w:w="322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0" w:type="dxa"/>
            <w:vAlign w:val="bottom"/>
            <w:gridSpan w:val="5"/>
          </w:tcPr>
          <w:p>
            <w:pPr>
              <w:jc w:val="center"/>
              <w:ind w:right="600"/>
              <w:spacing w:after="0"/>
              <w:rPr>
                <w:sz w:val="20"/>
                <w:szCs w:val="20"/>
                <w:color w:val="auto"/>
              </w:rPr>
            </w:pPr>
            <w:r>
              <w:rPr>
                <w:rFonts w:ascii="Arial" w:cs="Arial" w:eastAsia="Arial" w:hAnsi="Arial"/>
                <w:sz w:val="18"/>
                <w:szCs w:val="18"/>
                <w:b w:val="1"/>
                <w:bCs w:val="1"/>
                <w:color w:val="auto"/>
                <w:w w:val="99"/>
              </w:rPr>
              <w:t>CURRENT REPORT</w:t>
            </w:r>
          </w:p>
        </w:tc>
        <w:tc>
          <w:tcPr>
            <w:tcW w:w="3220" w:type="dxa"/>
            <w:vAlign w:val="bottom"/>
          </w:tcPr>
          <w:p>
            <w:pPr>
              <w:spacing w:after="0"/>
              <w:rPr>
                <w:sz w:val="24"/>
                <w:szCs w:val="24"/>
                <w:color w:val="auto"/>
              </w:rPr>
            </w:pPr>
          </w:p>
        </w:tc>
      </w:tr>
      <w:tr>
        <w:trPr>
          <w:trHeight w:val="414"/>
        </w:trPr>
        <w:tc>
          <w:tcPr>
            <w:tcW w:w="3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w w:val="89"/>
              </w:rPr>
              <w:t>Pursuant to Section 13 or 15(d) of</w:t>
            </w:r>
          </w:p>
        </w:tc>
        <w:tc>
          <w:tcPr>
            <w:tcW w:w="3220" w:type="dxa"/>
            <w:vAlign w:val="bottom"/>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w w:val="88"/>
              </w:rPr>
              <w:t>the Securities Exchange Act of 1934</w:t>
            </w:r>
          </w:p>
        </w:tc>
        <w:tc>
          <w:tcPr>
            <w:tcW w:w="322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5000" w:type="dxa"/>
            <w:vAlign w:val="bottom"/>
            <w:gridSpan w:val="7"/>
          </w:tcPr>
          <w:p>
            <w:pPr>
              <w:jc w:val="center"/>
              <w:ind w:left="110"/>
              <w:spacing w:after="0"/>
              <w:rPr>
                <w:sz w:val="20"/>
                <w:szCs w:val="20"/>
                <w:color w:val="auto"/>
              </w:rPr>
            </w:pPr>
            <w:r>
              <w:rPr>
                <w:rFonts w:ascii="Arial" w:cs="Arial" w:eastAsia="Arial" w:hAnsi="Arial"/>
                <w:sz w:val="18"/>
                <w:szCs w:val="18"/>
                <w:b w:val="1"/>
                <w:bCs w:val="1"/>
                <w:color w:val="auto"/>
                <w:w w:val="90"/>
              </w:rPr>
              <w:t>Date of Report (Date of earliest event reported): June 7, 2023</w:t>
            </w:r>
          </w:p>
        </w:tc>
        <w:tc>
          <w:tcPr>
            <w:tcW w:w="3220" w:type="dxa"/>
            <w:vAlign w:val="bottom"/>
          </w:tcPr>
          <w:p>
            <w:pPr>
              <w:spacing w:after="0"/>
              <w:rPr>
                <w:sz w:val="24"/>
                <w:szCs w:val="24"/>
                <w:color w:val="auto"/>
              </w:rPr>
            </w:pPr>
          </w:p>
        </w:tc>
      </w:tr>
      <w:tr>
        <w:trPr>
          <w:trHeight w:val="418"/>
        </w:trPr>
        <w:tc>
          <w:tcPr>
            <w:tcW w:w="3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w w:val="93"/>
              </w:rPr>
              <w:t>OptimizeRx Corporation</w:t>
            </w:r>
          </w:p>
        </w:tc>
        <w:tc>
          <w:tcPr>
            <w:tcW w:w="3220" w:type="dxa"/>
            <w:vAlign w:val="bottom"/>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20" w:type="dxa"/>
            <w:vAlign w:val="bottom"/>
            <w:gridSpan w:val="6"/>
          </w:tcPr>
          <w:p>
            <w:pPr>
              <w:jc w:val="center"/>
              <w:ind w:right="380"/>
              <w:spacing w:after="0"/>
              <w:rPr>
                <w:sz w:val="20"/>
                <w:szCs w:val="20"/>
                <w:color w:val="auto"/>
              </w:rPr>
            </w:pPr>
            <w:r>
              <w:rPr>
                <w:rFonts w:ascii="Arial" w:cs="Arial" w:eastAsia="Arial" w:hAnsi="Arial"/>
                <w:sz w:val="18"/>
                <w:szCs w:val="18"/>
                <w:color w:val="auto"/>
                <w:w w:val="90"/>
              </w:rPr>
              <w:t>(Exact name of registrant as specified in its charter)</w:t>
            </w:r>
          </w:p>
        </w:tc>
        <w:tc>
          <w:tcPr>
            <w:tcW w:w="3220" w:type="dxa"/>
            <w:vAlign w:val="bottom"/>
          </w:tcPr>
          <w:p>
            <w:pPr>
              <w:spacing w:after="0"/>
              <w:rPr>
                <w:sz w:val="20"/>
                <w:szCs w:val="20"/>
                <w:color w:val="auto"/>
              </w:rPr>
            </w:pPr>
          </w:p>
        </w:tc>
      </w:tr>
      <w:tr>
        <w:trPr>
          <w:trHeight w:val="453"/>
        </w:trPr>
        <w:tc>
          <w:tcPr>
            <w:tcW w:w="3020" w:type="dxa"/>
            <w:vAlign w:val="bottom"/>
          </w:tcPr>
          <w:p>
            <w:pPr>
              <w:jc w:val="center"/>
              <w:ind w:left="510"/>
              <w:spacing w:after="0"/>
              <w:rPr>
                <w:sz w:val="20"/>
                <w:szCs w:val="20"/>
                <w:color w:val="auto"/>
              </w:rPr>
            </w:pPr>
            <w:r>
              <w:rPr>
                <w:rFonts w:ascii="Arial" w:cs="Arial" w:eastAsia="Arial" w:hAnsi="Arial"/>
                <w:sz w:val="18"/>
                <w:szCs w:val="18"/>
                <w:b w:val="1"/>
                <w:bCs w:val="1"/>
                <w:color w:val="auto"/>
                <w:w w:val="90"/>
              </w:rPr>
              <w:t>Nevada</w:t>
            </w:r>
          </w:p>
        </w:tc>
        <w:tc>
          <w:tcPr>
            <w:tcW w:w="4400" w:type="dxa"/>
            <w:vAlign w:val="bottom"/>
            <w:gridSpan w:val="5"/>
          </w:tcPr>
          <w:p>
            <w:pPr>
              <w:jc w:val="center"/>
              <w:ind w:left="730"/>
              <w:spacing w:after="0"/>
              <w:rPr>
                <w:sz w:val="20"/>
                <w:szCs w:val="20"/>
                <w:color w:val="auto"/>
              </w:rPr>
            </w:pPr>
            <w:r>
              <w:rPr>
                <w:rFonts w:ascii="Arial" w:cs="Arial" w:eastAsia="Arial" w:hAnsi="Arial"/>
                <w:sz w:val="18"/>
                <w:szCs w:val="18"/>
                <w:b w:val="1"/>
                <w:bCs w:val="1"/>
                <w:color w:val="auto"/>
                <w:w w:val="90"/>
              </w:rPr>
              <w:t>001-38543</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3020" w:type="dxa"/>
            <w:vAlign w:val="bottom"/>
            <w:tcBorders>
              <w:top w:val="single" w:sz="8" w:color="auto"/>
            </w:tcBorders>
          </w:tcPr>
          <w:p>
            <w:pPr>
              <w:jc w:val="center"/>
              <w:ind w:left="510"/>
              <w:spacing w:after="0" w:line="201" w:lineRule="exact"/>
              <w:rPr>
                <w:sz w:val="20"/>
                <w:szCs w:val="20"/>
                <w:color w:val="auto"/>
              </w:rPr>
            </w:pPr>
            <w:r>
              <w:rPr>
                <w:rFonts w:ascii="Arial" w:cs="Arial" w:eastAsia="Arial" w:hAnsi="Arial"/>
                <w:sz w:val="18"/>
                <w:szCs w:val="18"/>
                <w:color w:val="auto"/>
                <w:w w:val="92"/>
              </w:rPr>
              <w:t>(State or other jurisdiction</w:t>
            </w: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center"/>
              <w:ind w:right="29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020" w:type="dxa"/>
            <w:vAlign w:val="bottom"/>
          </w:tcPr>
          <w:p>
            <w:pPr>
              <w:jc w:val="center"/>
              <w:ind w:left="510"/>
              <w:spacing w:after="0"/>
              <w:rPr>
                <w:sz w:val="20"/>
                <w:szCs w:val="20"/>
                <w:color w:val="auto"/>
              </w:rPr>
            </w:pPr>
            <w:r>
              <w:rPr>
                <w:rFonts w:ascii="Arial" w:cs="Arial" w:eastAsia="Arial" w:hAnsi="Arial"/>
                <w:sz w:val="18"/>
                <w:szCs w:val="18"/>
                <w:color w:val="auto"/>
                <w:w w:val="93"/>
              </w:rPr>
              <w:t>of incorporation)</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20" w:type="dxa"/>
            <w:vAlign w:val="bottom"/>
          </w:tcPr>
          <w:p>
            <w:pPr>
              <w:jc w:val="center"/>
              <w:ind w:right="330"/>
              <w:spacing w:after="0"/>
              <w:rPr>
                <w:sz w:val="20"/>
                <w:szCs w:val="20"/>
                <w:color w:val="auto"/>
              </w:rPr>
            </w:pPr>
            <w:r>
              <w:rPr>
                <w:rFonts w:ascii="Arial" w:cs="Arial" w:eastAsia="Arial" w:hAnsi="Arial"/>
                <w:sz w:val="18"/>
                <w:szCs w:val="18"/>
                <w:color w:val="auto"/>
                <w:w w:val="94"/>
              </w:rPr>
              <w:t>Identification No.)</w:t>
            </w:r>
          </w:p>
        </w:tc>
      </w:tr>
      <w:tr>
        <w:trPr>
          <w:trHeight w:val="439"/>
        </w:trPr>
        <w:tc>
          <w:tcPr>
            <w:tcW w:w="8020" w:type="dxa"/>
            <w:vAlign w:val="bottom"/>
            <w:gridSpan w:val="8"/>
          </w:tcPr>
          <w:p>
            <w:pPr>
              <w:jc w:val="center"/>
              <w:ind w:right="2500"/>
              <w:spacing w:after="0"/>
              <w:rPr>
                <w:sz w:val="20"/>
                <w:szCs w:val="20"/>
                <w:color w:val="auto"/>
              </w:rPr>
            </w:pPr>
            <w:r>
              <w:rPr>
                <w:rFonts w:ascii="Arial" w:cs="Arial" w:eastAsia="Arial" w:hAnsi="Arial"/>
                <w:sz w:val="18"/>
                <w:szCs w:val="18"/>
                <w:b w:val="1"/>
                <w:bCs w:val="1"/>
                <w:color w:val="auto"/>
                <w:w w:val="90"/>
              </w:rPr>
              <w:t>400 Water Street, Suite 200, Rochester, MI</w:t>
            </w:r>
          </w:p>
        </w:tc>
        <w:tc>
          <w:tcPr>
            <w:tcW w:w="3220" w:type="dxa"/>
            <w:vAlign w:val="bottom"/>
          </w:tcPr>
          <w:p>
            <w:pPr>
              <w:jc w:val="right"/>
              <w:ind w:right="2430"/>
              <w:spacing w:after="0"/>
              <w:rPr>
                <w:sz w:val="20"/>
                <w:szCs w:val="20"/>
                <w:color w:val="auto"/>
              </w:rPr>
            </w:pPr>
            <w:r>
              <w:rPr>
                <w:rFonts w:ascii="Arial" w:cs="Arial" w:eastAsia="Arial" w:hAnsi="Arial"/>
                <w:sz w:val="18"/>
                <w:szCs w:val="18"/>
                <w:b w:val="1"/>
                <w:bCs w:val="1"/>
                <w:color w:val="auto"/>
              </w:rPr>
              <w:t>48307</w:t>
            </w:r>
          </w:p>
        </w:tc>
      </w:tr>
      <w:tr>
        <w:trPr>
          <w:trHeight w:val="230"/>
        </w:trPr>
        <w:tc>
          <w:tcPr>
            <w:tcW w:w="55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2280" w:type="dxa"/>
            <w:vAlign w:val="bottom"/>
            <w:tcBorders>
              <w:top w:val="single" w:sz="8" w:color="auto"/>
            </w:tcBorders>
            <w:gridSpan w:val="3"/>
          </w:tcPr>
          <w:p>
            <w:pPr>
              <w:spacing w:after="0"/>
              <w:rPr>
                <w:sz w:val="20"/>
                <w:szCs w:val="20"/>
                <w:color w:val="auto"/>
              </w:rPr>
            </w:pPr>
          </w:p>
        </w:tc>
        <w:tc>
          <w:tcPr>
            <w:tcW w:w="3220" w:type="dxa"/>
            <w:vAlign w:val="bottom"/>
            <w:tcBorders>
              <w:top w:val="single" w:sz="8" w:color="auto"/>
            </w:tcBorders>
          </w:tcPr>
          <w:p>
            <w:pPr>
              <w:jc w:val="center"/>
              <w:ind w:right="2190"/>
              <w:spacing w:after="0"/>
              <w:rPr>
                <w:sz w:val="20"/>
                <w:szCs w:val="20"/>
                <w:color w:val="auto"/>
              </w:rPr>
            </w:pPr>
            <w:r>
              <w:rPr>
                <w:rFonts w:ascii="Arial" w:cs="Arial" w:eastAsia="Arial" w:hAnsi="Arial"/>
                <w:sz w:val="18"/>
                <w:szCs w:val="18"/>
                <w:color w:val="auto"/>
                <w:w w:val="91"/>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248-651-6568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20" w:type="dxa"/>
            <w:vAlign w:val="bottom"/>
            <w:tcBorders>
              <w:bottom w:val="single" w:sz="8" w:color="CCEEFF"/>
            </w:tcBorders>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20" w:type="dxa"/>
            <w:vAlign w:val="bottom"/>
            <w:tcBorders>
              <w:bottom w:val="single" w:sz="8" w:color="CCEEFF"/>
            </w:tcBorders>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Common Stock, $0.001 Par Value</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OPRX</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5.07 </w:t>
      </w:r>
      <w:r>
        <w:rPr>
          <w:rFonts w:ascii="Arial" w:cs="Arial" w:eastAsia="Arial" w:hAnsi="Arial"/>
          <w:sz w:val="18"/>
          <w:szCs w:val="18"/>
          <w:b w:val="1"/>
          <w:bCs w:val="1"/>
          <w:u w:val="single" w:color="auto"/>
          <w:color w:val="auto"/>
        </w:rPr>
        <w:t>Submission of Matters to a Vote of Security Holders</w:t>
      </w:r>
      <w:r>
        <w:rPr>
          <w:rFonts w:ascii="Arial" w:cs="Arial" w:eastAsia="Arial" w:hAnsi="Arial"/>
          <w:sz w:val="18"/>
          <w:szCs w:val="18"/>
          <w:b w:val="1"/>
          <w:bCs w:val="1"/>
          <w:color w:val="auto"/>
        </w:rPr>
        <w:t>.</w:t>
      </w:r>
    </w:p>
    <w:p>
      <w:pPr>
        <w:spacing w:after="0" w:line="22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Company’s 2023 Annual Meeting of Stockholders (“Annual Meeting”) was held on June 7, 2023. During the Annual Meeting, stockholders were asked to consider and vote upon three proposals: (1) to elect six directors, each to serve for a term that expires at the next annual meeting of stockholders and until his or her successor has been elected and qualified or until his or her earlier death, resignation or removal; (2) to approve, on an advisory basis, the compensation of the Company’s named executive officers (the “say on pay proposal”); and (3) to ratify UHY LLP as the Company’s independent registered public accounting firm for the 2023 fiscal year.</w:t>
      </w:r>
    </w:p>
    <w:p>
      <w:pPr>
        <w:spacing w:after="0" w:line="18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On the record date of April 12, 2023, there were 17,120,543 shares of the Company’s common stock issued and outstanding and entitled to vote at the Annual Meeting. For each proposal, the results of the stockholder voting were as follows:</w:t>
      </w:r>
    </w:p>
    <w:p>
      <w:pPr>
        <w:spacing w:after="0" w:line="170" w:lineRule="exact"/>
        <w:rPr>
          <w:sz w:val="20"/>
          <w:szCs w:val="20"/>
          <w:color w:val="auto"/>
        </w:rPr>
      </w:pPr>
    </w:p>
    <w:p>
      <w:pPr>
        <w:ind w:left="660" w:right="240" w:hanging="328"/>
        <w:spacing w:after="0" w:line="34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following nominees were each elected to serve as director for a term that expires at the next annual meeting of stockholders and until his or her successor has been elected and qualified or until his or her earlier death, resignation or removal based upon the following votes: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Votes</w:t>
            </w:r>
          </w:p>
        </w:tc>
        <w:tc>
          <w:tcPr>
            <w:tcW w:w="2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Broker</w:t>
            </w:r>
          </w:p>
        </w:tc>
      </w:tr>
      <w:tr>
        <w:trPr>
          <w:trHeight w:val="237"/>
        </w:trPr>
        <w:tc>
          <w:tcPr>
            <w:tcW w:w="6520" w:type="dxa"/>
            <w:vAlign w:val="bottom"/>
          </w:tcPr>
          <w:p>
            <w:pPr>
              <w:spacing w:after="0"/>
              <w:rPr>
                <w:sz w:val="20"/>
                <w:szCs w:val="20"/>
                <w:color w:val="auto"/>
              </w:rPr>
            </w:pPr>
            <w:r>
              <w:rPr>
                <w:rFonts w:ascii="Arial" w:cs="Arial" w:eastAsia="Arial" w:hAnsi="Arial"/>
                <w:sz w:val="18"/>
                <w:szCs w:val="18"/>
                <w:color w:val="auto"/>
              </w:rPr>
              <w:t>Nominee</w:t>
            </w:r>
          </w:p>
        </w:tc>
        <w:tc>
          <w:tcPr>
            <w:tcW w:w="120" w:type="dxa"/>
            <w:vAlign w:val="bottom"/>
          </w:tcPr>
          <w:p>
            <w:pPr>
              <w:spacing w:after="0"/>
              <w:rPr>
                <w:sz w:val="20"/>
                <w:szCs w:val="20"/>
                <w:color w:val="auto"/>
              </w:rPr>
            </w:pPr>
          </w:p>
        </w:tc>
        <w:tc>
          <w:tcPr>
            <w:tcW w:w="1340" w:type="dxa"/>
            <w:vAlign w:val="bottom"/>
          </w:tcPr>
          <w:p>
            <w:pPr>
              <w:ind w:left="320"/>
              <w:spacing w:after="0"/>
              <w:rPr>
                <w:sz w:val="20"/>
                <w:szCs w:val="20"/>
                <w:color w:val="auto"/>
              </w:rPr>
            </w:pPr>
            <w:r>
              <w:rPr>
                <w:rFonts w:ascii="Arial" w:cs="Arial" w:eastAsia="Arial" w:hAnsi="Arial"/>
                <w:sz w:val="18"/>
                <w:szCs w:val="18"/>
                <w:color w:val="auto"/>
              </w:rPr>
              <w:t>Votes For</w:t>
            </w:r>
          </w:p>
        </w:tc>
        <w:tc>
          <w:tcPr>
            <w:tcW w:w="2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Withheld</w:t>
            </w:r>
          </w:p>
        </w:tc>
        <w:tc>
          <w:tcPr>
            <w:tcW w:w="22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Non-Votes</w:t>
            </w:r>
          </w:p>
        </w:tc>
      </w:tr>
      <w:tr>
        <w:trPr>
          <w:trHeight w:val="216"/>
        </w:trPr>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William J. Febbo</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10,694,810</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1,159,446</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1,771,637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Gus D. Halas</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6,715,997</w:t>
            </w:r>
          </w:p>
        </w:tc>
        <w:tc>
          <w:tcPr>
            <w:tcW w:w="15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5,138,259</w:t>
            </w:r>
          </w:p>
        </w:tc>
        <w:tc>
          <w:tcPr>
            <w:tcW w:w="15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1,771,637</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Lynn O’Connor Vos</w:t>
            </w:r>
          </w:p>
        </w:tc>
        <w:tc>
          <w:tcPr>
            <w:tcW w:w="14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7,402,326</w:t>
            </w:r>
          </w:p>
        </w:tc>
        <w:tc>
          <w:tcPr>
            <w:tcW w:w="15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4,451,930</w:t>
            </w:r>
          </w:p>
        </w:tc>
        <w:tc>
          <w:tcPr>
            <w:tcW w:w="15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1,771,637</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James Lang</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7,097,971</w:t>
            </w:r>
          </w:p>
        </w:tc>
        <w:tc>
          <w:tcPr>
            <w:tcW w:w="15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4,756,285</w:t>
            </w:r>
          </w:p>
        </w:tc>
        <w:tc>
          <w:tcPr>
            <w:tcW w:w="15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1,771,637</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Patrick Spangler</w:t>
            </w:r>
          </w:p>
        </w:tc>
        <w:tc>
          <w:tcPr>
            <w:tcW w:w="14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8,072,200</w:t>
            </w:r>
          </w:p>
        </w:tc>
        <w:tc>
          <w:tcPr>
            <w:tcW w:w="15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3,782,056</w:t>
            </w:r>
          </w:p>
        </w:tc>
        <w:tc>
          <w:tcPr>
            <w:tcW w:w="15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1,771,637</w:t>
            </w:r>
          </w:p>
        </w:tc>
        <w:tc>
          <w:tcPr>
            <w:tcW w:w="100" w:type="dxa"/>
            <w:vAlign w:val="bottom"/>
            <w:shd w:val="clear" w:color="auto" w:fill="CCEEFF"/>
          </w:tcPr>
          <w:p>
            <w:pPr>
              <w:spacing w:after="0"/>
              <w:rPr>
                <w:sz w:val="18"/>
                <w:szCs w:val="18"/>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Gregory D. Wasson</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8,073,940</w:t>
            </w:r>
          </w:p>
        </w:tc>
        <w:tc>
          <w:tcPr>
            <w:tcW w:w="15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3,780,316</w:t>
            </w:r>
          </w:p>
        </w:tc>
        <w:tc>
          <w:tcPr>
            <w:tcW w:w="15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1,771,637</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say on pay proposal was not approved based upon the following votes: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Votes in Favor</w:t>
            </w:r>
          </w:p>
        </w:tc>
        <w:tc>
          <w:tcPr>
            <w:tcW w:w="240" w:type="dxa"/>
            <w:vAlign w:val="bottom"/>
            <w:tcBorders>
              <w:bottom w:val="single" w:sz="8" w:color="CCEEFF"/>
            </w:tcBorders>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Votes Against</w:t>
            </w:r>
          </w:p>
        </w:tc>
        <w:tc>
          <w:tcPr>
            <w:tcW w:w="220" w:type="dxa"/>
            <w:vAlign w:val="bottom"/>
            <w:tcBorders>
              <w:bottom w:val="single" w:sz="8" w:color="CCEEFF"/>
            </w:tcBorders>
          </w:tcPr>
          <w:p>
            <w:pPr>
              <w:spacing w:after="0"/>
              <w:rPr>
                <w:sz w:val="20"/>
                <w:szCs w:val="20"/>
                <w:color w:val="auto"/>
              </w:rPr>
            </w:pPr>
          </w:p>
        </w:tc>
        <w:tc>
          <w:tcPr>
            <w:tcW w:w="25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Abstain</w:t>
            </w:r>
          </w:p>
        </w:tc>
        <w:tc>
          <w:tcPr>
            <w:tcW w:w="240" w:type="dxa"/>
            <w:vAlign w:val="bottom"/>
            <w:tcBorders>
              <w:bottom w:val="single" w:sz="8" w:color="CCEEFF"/>
            </w:tcBorders>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Broker Non-Votes</w:t>
            </w:r>
          </w:p>
        </w:tc>
      </w:tr>
      <w:tr>
        <w:trPr>
          <w:trHeight w:val="216"/>
        </w:trPr>
        <w:tc>
          <w:tcPr>
            <w:tcW w:w="25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4,722,546</w:t>
            </w:r>
          </w:p>
        </w:tc>
        <w:tc>
          <w:tcPr>
            <w:tcW w:w="24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6,738,014</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393,696</w:t>
            </w:r>
          </w:p>
        </w:tc>
        <w:tc>
          <w:tcPr>
            <w:tcW w:w="240" w:type="dxa"/>
            <w:vAlign w:val="bottom"/>
            <w:shd w:val="clear" w:color="auto" w:fill="CCEEFF"/>
          </w:tcPr>
          <w:p>
            <w:pPr>
              <w:spacing w:after="0"/>
              <w:rPr>
                <w:sz w:val="18"/>
                <w:szCs w:val="18"/>
                <w:color w:val="auto"/>
              </w:rPr>
            </w:pPr>
          </w:p>
        </w:tc>
        <w:tc>
          <w:tcPr>
            <w:tcW w:w="280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1,771,637</w:t>
            </w:r>
          </w:p>
        </w:tc>
      </w:tr>
    </w:tbl>
    <w:p>
      <w:pPr>
        <w:spacing w:after="0" w:line="202" w:lineRule="exact"/>
        <w:rPr>
          <w:sz w:val="20"/>
          <w:szCs w:val="20"/>
          <w:color w:val="auto"/>
        </w:rPr>
      </w:pPr>
    </w:p>
    <w:p>
      <w:pPr>
        <w:ind w:left="660" w:right="80"/>
        <w:spacing w:after="0" w:line="263" w:lineRule="auto"/>
        <w:rPr>
          <w:sz w:val="20"/>
          <w:szCs w:val="20"/>
          <w:color w:val="auto"/>
        </w:rPr>
      </w:pPr>
      <w:r>
        <w:rPr>
          <w:rFonts w:ascii="Arial" w:cs="Arial" w:eastAsia="Arial" w:hAnsi="Arial"/>
          <w:sz w:val="18"/>
          <w:szCs w:val="18"/>
          <w:color w:val="auto"/>
        </w:rPr>
        <w:t>Although this vote is advisory, the Board takes the results of this vote seriously. The Board and its Compensation Committee are committed to the continuous evaluation of our compensation programs and to considering appropriate adjustments to those programs in order to reflect input from stockholders.</w:t>
      </w:r>
    </w:p>
    <w:p>
      <w:pPr>
        <w:spacing w:after="0" w:line="18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UHY LLP was ratified as the Company’s independent registered public accounting firm for the 2023 fiscal year based upon the following votes: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Votes in Favor</w:t>
            </w:r>
          </w:p>
        </w:tc>
        <w:tc>
          <w:tcPr>
            <w:tcW w:w="220" w:type="dxa"/>
            <w:vAlign w:val="bottom"/>
            <w:tcBorders>
              <w:bottom w:val="single" w:sz="8" w:color="CCEEFF"/>
            </w:tcBorders>
          </w:tcPr>
          <w:p>
            <w:pPr>
              <w:spacing w:after="0"/>
              <w:rPr>
                <w:sz w:val="20"/>
                <w:szCs w:val="20"/>
                <w:color w:val="auto"/>
              </w:rPr>
            </w:pPr>
          </w:p>
        </w:tc>
        <w:tc>
          <w:tcPr>
            <w:tcW w:w="360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Votes Against</w:t>
            </w:r>
          </w:p>
        </w:tc>
        <w:tc>
          <w:tcPr>
            <w:tcW w:w="220" w:type="dxa"/>
            <w:vAlign w:val="bottom"/>
            <w:tcBorders>
              <w:bottom w:val="single" w:sz="8" w:color="CCEEFF"/>
            </w:tcBorders>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Abstain</w:t>
            </w:r>
          </w:p>
        </w:tc>
      </w:tr>
      <w:tr>
        <w:trPr>
          <w:trHeight w:val="216"/>
        </w:trPr>
        <w:tc>
          <w:tcPr>
            <w:tcW w:w="360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13,611,868</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12,645</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right"/>
              <w:ind w:right="1510"/>
              <w:spacing w:after="0"/>
              <w:rPr>
                <w:sz w:val="20"/>
                <w:szCs w:val="20"/>
                <w:color w:val="auto"/>
              </w:rPr>
            </w:pPr>
            <w:r>
              <w:rPr>
                <w:rFonts w:ascii="Arial" w:cs="Arial" w:eastAsia="Arial" w:hAnsi="Arial"/>
                <w:sz w:val="18"/>
                <w:szCs w:val="18"/>
                <w:color w:val="auto"/>
              </w:rPr>
              <w:t>1,380</w:t>
            </w:r>
          </w:p>
        </w:tc>
      </w:tr>
      <w:tr>
        <w:trPr>
          <w:trHeight w:val="655"/>
        </w:trPr>
        <w:tc>
          <w:tcPr>
            <w:tcW w:w="36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2"/>
          </w:tcPr>
          <w:p>
            <w:pPr>
              <w:jc w:val="right"/>
              <w:ind w:right="167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6720" w:val="left"/>
          <w:tab w:leader="none" w:pos="7180" w:val="left"/>
        </w:tabs>
        <w:rPr>
          <w:sz w:val="20"/>
          <w:szCs w:val="20"/>
          <w:color w:val="auto"/>
        </w:rPr>
      </w:pPr>
      <w:r>
        <w:rPr>
          <w:rFonts w:ascii="Arial" w:cs="Arial" w:eastAsia="Arial" w:hAnsi="Arial"/>
          <w:sz w:val="18"/>
          <w:szCs w:val="18"/>
          <w:color w:val="auto"/>
        </w:rPr>
        <w:t>Date: June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Marion Odence-Ford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Marion Odence-Ford</w:t>
      </w:r>
    </w:p>
    <w:p>
      <w:pPr>
        <w:spacing w:after="0" w:line="23"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2023-06-07T15:18:45Z</dcterms:created>
  <dcterms:modified xsi:type="dcterms:W3CDTF">2023-06-07T15:18:45Z</dcterms:modified>
</cp:coreProperties>
</file>