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5, 2020</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2"/>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09"/>
        </w:trPr>
        <w:tc>
          <w:tcPr>
            <w:tcW w:w="3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5, 2020, we issued a press release announcing the results of operations for the quarter ended June 30, 2020. The press release is furnished with this Current Report on Form 8-K as Exhibit 99.1.</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4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40" w:type="dxa"/>
            <w:vAlign w:val="bottom"/>
            <w:shd w:val="clear" w:color="auto" w:fill="CCEEFF"/>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5, 2020</w:t>
              </w:r>
            </w:hyperlink>
          </w:p>
        </w:tc>
      </w:tr>
      <w:tr>
        <w:trPr>
          <w:trHeight w:val="331"/>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188595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OptimizeRx Reports Second Quarter 2020 Revenue Up 25% to a Record $8.8 Million; First Half Revenue up 34% to Record $16.4 Million, with Accelerated Growth Expected in Second Half</w:t>
      </w:r>
    </w:p>
    <w:p>
      <w:pPr>
        <w:spacing w:after="0" w:line="8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Mich., (August 5,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and patients, reported results for the second quarter and six months ended June 30, 2020. Quarterly and first half comparisons are to the same year-ago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25% to a record $8.8 million in second quarter of 2020, first half of 2020 up 34% to a record $16.4 million.</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19% to $5.1 million in the second quarter of 2020.</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totaled $14.1 million at June 30, 2020.</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Closed additional enterprise deals, bringing total value of enterprise-level engagements to $21 million in annualized revenue.</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Accelerated growth expected in second half of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2020 Operational Highlights</w:t>
      </w:r>
    </w:p>
    <w:p>
      <w:pPr>
        <w:spacing w:after="0" w:line="121" w:lineRule="exact"/>
        <w:rPr>
          <w:sz w:val="20"/>
          <w:szCs w:val="20"/>
          <w:color w:val="auto"/>
        </w:rPr>
      </w:pPr>
    </w:p>
    <w:p>
      <w:pPr>
        <w:ind w:left="340" w:right="42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Finalized a new partnership that expands the company’s digital communication platform by more than 300 health systems and 125,000 healthcare providers that use the market-leading Epic and Cerner electronic health records systems (EHRs).</w:t>
      </w:r>
    </w:p>
    <w:p>
      <w:pPr>
        <w:spacing w:after="0" w:line="62"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TelaRep™ for on-demand virtual consults that support physicians treating patients with complex diseases in COVID-19 world.</w:t>
      </w:r>
    </w:p>
    <w:p>
      <w:pPr>
        <w:spacing w:after="0" w:line="117" w:lineRule="exact"/>
        <w:rPr>
          <w:rFonts w:ascii="Arial" w:cs="Arial" w:eastAsia="Arial" w:hAnsi="Arial"/>
          <w:sz w:val="18"/>
          <w:szCs w:val="18"/>
          <w:color w:val="auto"/>
        </w:rPr>
      </w:pPr>
    </w:p>
    <w:p>
      <w:pPr>
        <w:ind w:left="340" w:right="22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True™ Women’s Health launched a new mobile app powered by OptimizeRx’s RMDY digital health tools that enables the clinic to use telehealth to treat patients nationwide with personalized health and wellness programs during the COVID-19 pandemic.</w:t>
      </w:r>
    </w:p>
    <w:p>
      <w:pPr>
        <w:spacing w:after="0" w:line="62"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Recognized as one of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Americas' 500 Fastest-Growing Companies by The Financial Times.</w:t>
      </w:r>
    </w:p>
    <w:p>
      <w:pPr>
        <w:spacing w:after="0" w:line="117" w:lineRule="exact"/>
        <w:rPr>
          <w:rFonts w:ascii="Arial" w:cs="Arial" w:eastAsia="Arial" w:hAnsi="Arial"/>
          <w:sz w:val="18"/>
          <w:szCs w:val="18"/>
          <w:color w:val="auto"/>
        </w:rPr>
      </w:pPr>
    </w:p>
    <w:p>
      <w:pPr>
        <w:ind w:left="340" w:right="46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Chief commercial officer, Stephen Silvestro, was honored with the 2020 PM360 ELITE 100 Award for his organizational leadership and positive impact on the healthcare industry.</w:t>
      </w:r>
    </w:p>
    <w:p>
      <w:pPr>
        <w:spacing w:after="0" w:line="62" w:lineRule="exact"/>
        <w:rPr>
          <w:rFonts w:ascii="Arial" w:cs="Arial" w:eastAsia="Arial" w:hAnsi="Arial"/>
          <w:sz w:val="18"/>
          <w:szCs w:val="18"/>
          <w:color w:val="auto"/>
        </w:rPr>
      </w:pPr>
    </w:p>
    <w:p>
      <w:pPr>
        <w:ind w:left="340" w:right="2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Hosted new webinar series featuring industry thought leaders covering a range of topics around using digital health technology to improve patient care, engagement and outcomes.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Q2 2020 Financial Summary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 in the second quarter of 2020 increased 25% to a record $8.8 million versus $7.0 million in the same year-ago quarter. The quarterly increase was due to increased sales of messaging solutions.</w:t>
      </w:r>
    </w:p>
    <w:p>
      <w:pPr>
        <w:spacing w:after="0" w:line="8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Gross margin decreased to 58.6% in the second quarter of 2020 from 61.6% in the year-ago quarter. The decrease was due to an unusually favorable product mix in the year-ago period that had a high percentage of launch assistance services and other nonrecurring revenue that was not subject to revenue share expense. The company expects its gross margin to improve on a quarter-over-quarter basis for the balance of the year, with a target of 63% for 2020.</w:t>
      </w:r>
    </w:p>
    <w:p>
      <w:pPr>
        <w:spacing w:after="0" w:line="6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Operating expenses totaled $6.2 million, up from $3.8 million in the same year-ago quarter. The increase was related to the company building a stronger base for future growth by expanding its product line, building out its sales organization, and integrating two acquisitions over the last 21 months.</w:t>
      </w:r>
    </w:p>
    <w:p>
      <w:pPr>
        <w:spacing w:after="0" w:line="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loss on a GAAP basis in the second quarter of 2020 was $1.1 million or $(0.07) per share, as compared to a net income of $407,000 or $0.03 per share in the year-ago quarter.</w:t>
      </w:r>
    </w:p>
    <w:p>
      <w:pPr>
        <w:spacing w:after="0" w:line="8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Non-GAAP net income for the second quarter of 2020 was $254,000 or $0.02 per share, compared to non-GAAP net income of $1.3 million or $0.09 per diluted share in the same year-ago period (see definition of these non-GAAP measures and reconciliation to GAAP, below).</w:t>
      </w:r>
    </w:p>
    <w:p>
      <w:pPr>
        <w:spacing w:after="0" w:line="6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While the company expects to return to GAAP profitability as its revenue grows, expenses related to investments in growth initiatives or non-cash charges could result in a loss in any given quarter. Given the opportunity at hand as discussed below, the company is focused on top-line growth while maintaining a strong balance sheet.</w:t>
      </w:r>
    </w:p>
    <w:p>
      <w:pPr>
        <w:spacing w:after="0" w:line="10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Cash and cash equivalents totaled $14.1 million at June 30, 2020, as compared to $15.2 million at March 31, 2020. The decrease was due to an earnout payment related to the CareSpeak acquisition based on the achievement of revenue goals for 2019. Excluding the earning out payment, the company was cash flow positive for the quarter. The company has continued to operate debt-free and expects to be cash-flow positive for the remainder of the year.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Q2, we generated another record topline along with sequential margin improvement,” said OptimizeRx CEO William Febbo. “For the first half of the year, which is traditionally our slowest, we grew at a faster pace than anticipated at 34%, and our closing ratio exceeded 50%.</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we expanded our digital health platform with greater reach into Epic and Cerner, and we secured revenue from new solutions born out of our Innovation Lab. Our performance also benefited from the fine-tuning our patient engagement market strategy at a time when demand has never been greater due to the COVID-19 pandemic.</w:t>
      </w:r>
    </w:p>
    <w:p>
      <w:pPr>
        <w:spacing w:after="0" w:line="10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all, we beat our internal goals across the board as we continued to build a highly impactful digital communications platform that is situated between all the major stakeholders---a nationwide network helping doctors, patients and industry improve adherence and affordability.</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5" w:name="page6"/>
    <w:bookmarkEnd w:id="5"/>
    <w:p>
      <w:pPr>
        <w:ind w:right="180"/>
        <w:spacing w:after="0" w:line="308" w:lineRule="auto"/>
        <w:rPr>
          <w:sz w:val="20"/>
          <w:szCs w:val="20"/>
          <w:color w:val="auto"/>
        </w:rPr>
      </w:pPr>
      <w:r>
        <w:rPr>
          <w:rFonts w:ascii="Arial" w:cs="Arial" w:eastAsia="Arial" w:hAnsi="Arial"/>
          <w:sz w:val="17"/>
          <w:szCs w:val="17"/>
          <w:color w:val="auto"/>
        </w:rPr>
        <w:t>“As COVID-19 continues to disrupt the traditional pathways of communication between industry, doctors and patients due to the drop in office visits and widespread transition to virtual care, OptimizeRx has emerged with optimal solutions that improve these essential lines of communication.</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“We’ve also been working to enhance our corporate governance and we recently welcomed to our board Greg Wasson, the former president and CEO of Walgreens Boots Alliance. Greg’s many years of experience building Walgreens into a Fortune 50 company with global reach makes him an exceptionally valuable and timely addition to our board, and particularly as we look to enhance patient connectivity at the point-of-dispense.</w:t>
      </w:r>
    </w:p>
    <w:p>
      <w:pPr>
        <w:spacing w:after="0" w:line="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built meaningful physician reach over the years, and with some measure of exclusivity, by integrating our platform into the leading EHR and e-prescribe systems. Today we reach 60% of the ambulatory market. That is, where most prescribing occurs. Now we have another great opportunity to improve care by integrating with pharmacies at the point-of-dispense.</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seeing great traction with our clients on multiple levels. We are deeply entrenched in our client base as we work with 45% of the top 20 brands by revenue with continued interest from the remaining 55%.</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powerful position reflects the trust we’ve gained with our clients at a time when digital communication is absolutely needed, and it is supporting our continued shift to a SaaS-based, recurring revenue model. We recently secured two new SaaS-based enterprise-level deals, bringing to total the value of our enterprise-level engagements to $21 million in annualized revenue.</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“Most of our growth this year has been organic, as our pharma clients increasingly recognize that addressing the point of care is critical to an effective marketing strategy. Our newer solutions, like patient engagement, hub enrollment and TelaRep, are all generating interest and beginning to generate revenue within our client base. We see these helping to drive growth this year and even stronger growth next year. We came in ahead of our internal budget for the first half and now expect to far exceed our earlier goals for the second, keeping us on pace for another year of record growth and market expansion.”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August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1-866-248-8441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1-323-289-6576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1161129</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ind w:right="3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26, 2020,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1161129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85"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company defines non-GAAP net income (loss) as GAAP net income (loss) with an adjustment to add back depreciation, amortization, non-cash lease expense,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months and six months periods ended June 30,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the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32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14,114,294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18,852,680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10,805,191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7,418,025</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2,701,249</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871,043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27,620,734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27,141,748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156,550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176,014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14,740,031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5,722,762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6,238,453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2,442,409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2,550,587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4,835,327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5,151,102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503,506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559,863</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deposits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35,943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80,727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28,279,978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29,320,763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56,057,262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56,638,525</w:t>
            </w:r>
          </w:p>
        </w:tc>
        <w:tc>
          <w:tcPr>
            <w:tcW w:w="80" w:type="dxa"/>
            <w:vAlign w:val="bottom"/>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492,995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2,044,335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1,800,635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3,496,489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1,618,438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119,512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115.431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5,360,812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648,692</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580,014</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12,166,582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6,107,513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387,654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448,753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5,220,000</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5,668,753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12,554,236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11,776,266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Preferred stock, $0.001 par value, 10,000,000 shares authorized, no issued and outstanding at June 30, 2020 or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500,000,000 shares authorized, 14,752,600 and 14,600,579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at June 30, 2020 and December 31,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14,753</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14,601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80,194,282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78,272,268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(36,706,009)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(33,424,610)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43,503,026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44,862,259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56,057,262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56,638,525</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0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Six Months</w:t>
            </w: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center"/>
              <w:ind w:left="571"/>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left="551"/>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71"/>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8,783,230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7,006,291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16,367,832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12,215,725</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3,639,016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2,687,143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6,880,779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4,270,623</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5,144,214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4,319,148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9,487,053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7,945,102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6,200,027</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3,839,105</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12,802,118</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7,332,894</w:t>
            </w: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(1,055,813</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480,043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(3,315,065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612,208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8,345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63,666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55,938</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(107,000)</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(255,000)</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(21,655)</w:t>
            </w: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(73,426)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33,666</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(199,062)</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INCOME(LOSS)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(1,077,468)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(3,281,399)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413,146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(1,077,468</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406,617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(3,281,399</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413,146</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14,667,216</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12,743,379</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14,638,359</w:t>
            </w:r>
          </w:p>
        </w:tc>
        <w:tc>
          <w:tcPr>
            <w:tcW w:w="2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12,412,442</w:t>
            </w: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14,667,216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13,806,761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14,638,359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13,467,562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(0.07</w:t>
            </w:r>
            <w:r>
              <w:rPr>
                <w:rFonts w:ascii="Arial" w:cs="Arial" w:eastAsia="Arial" w:hAnsi="Arial"/>
                <w:sz w:val="29"/>
                <w:szCs w:val="29"/>
                <w:color w:val="auto"/>
                <w:vertAlign w:val="superscript"/>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(0.22</w:t>
            </w:r>
            <w:r>
              <w:rPr>
                <w:rFonts w:ascii="Arial" w:cs="Arial" w:eastAsia="Arial" w:hAnsi="Arial"/>
                <w:sz w:val="29"/>
                <w:szCs w:val="29"/>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(3,281,399)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non-cash lease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1,040,463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425,873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1,435,156</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938,399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issued for board services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200,027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Provision for loss on accounts receivable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(3.427,166)</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(966,658)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(1,785,422)</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(202,036)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3,747</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1,878,051</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186,682</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(511,976)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68,678</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158,766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(3,611,183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(24,998)</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(47,739)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(24,998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(1,047,739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commission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286,983</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21,163,636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Expenses related to issuance cost of common stock</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(301,711)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(1,389,188)</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(1,102,205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21,861,925</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(4,738,386)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21,622,386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18,852,680</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8,914,034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14,114,294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30,536,420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Intangible asset additions included in accounts payable</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Non-cash effect of cumulative adjustments to accumulated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right="1300"/>
        <w:spacing w:after="0" w:line="250" w:lineRule="auto"/>
        <w:rPr>
          <w:sz w:val="20"/>
          <w:szCs w:val="20"/>
          <w:color w:val="auto"/>
        </w:rPr>
      </w:pPr>
      <w:r>
        <w:rPr>
          <w:rFonts w:ascii="Arial" w:cs="Arial" w:eastAsia="Arial" w:hAnsi="Arial"/>
          <w:sz w:val="18"/>
          <w:szCs w:val="18"/>
          <w:color w:val="auto"/>
        </w:rPr>
        <w:t>Depreciation, amortization and non-cash lease expense Stock-based compensation</w:t>
      </w:r>
    </w:p>
    <w:p>
      <w:pPr>
        <w:spacing w:after="0" w:line="1"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Income or loss related to the fair value of contingent consideration Non-GAAP 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50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w:t>
            </w:r>
          </w:p>
        </w:tc>
        <w:tc>
          <w:tcPr>
            <w:tcW w:w="220" w:type="dxa"/>
            <w:vAlign w:val="bottom"/>
          </w:tcPr>
          <w:p>
            <w:pPr>
              <w:spacing w:after="0"/>
              <w:rPr>
                <w:sz w:val="18"/>
                <w:szCs w:val="18"/>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220" w:type="dxa"/>
            <w:vAlign w:val="bottom"/>
          </w:tcPr>
          <w:p>
            <w:pPr>
              <w:spacing w:after="0"/>
              <w:rPr>
                <w:sz w:val="20"/>
                <w:szCs w:val="20"/>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37"/>
        </w:trPr>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5"/>
              </w:rPr>
              <w:t>(1,077,468)</w:t>
            </w:r>
          </w:p>
        </w:tc>
        <w:tc>
          <w:tcPr>
            <w:tcW w:w="2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406,617</w:t>
            </w:r>
          </w:p>
        </w:tc>
        <w:tc>
          <w:tcPr>
            <w:tcW w:w="220" w:type="dxa"/>
            <w:vAlign w:val="bottom"/>
          </w:tcPr>
          <w:p>
            <w:pPr>
              <w:spacing w:after="0"/>
              <w:rPr>
                <w:sz w:val="17"/>
                <w:szCs w:val="17"/>
                <w:color w:val="auto"/>
              </w:rPr>
            </w:pP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3"/>
              </w:rPr>
              <w:t>(3,281,398)</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413,146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520,794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235,571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1,040,463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425,817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780,670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543,866</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1,635,182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1,179,476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107,000</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253,996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1,293,054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(575,753</w:t>
            </w:r>
          </w:p>
        </w:tc>
        <w:tc>
          <w:tcPr>
            <w:tcW w:w="22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2,273,439</w:t>
            </w:r>
          </w:p>
        </w:tc>
        <w:tc>
          <w:tcPr>
            <w:tcW w:w="0" w:type="dxa"/>
            <w:vAlign w:val="bottom"/>
          </w:tcPr>
          <w:p>
            <w:pPr>
              <w:spacing w:after="0"/>
              <w:rPr>
                <w:sz w:val="1"/>
                <w:szCs w:val="1"/>
                <w:color w:val="auto"/>
              </w:rPr>
            </w:pP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012"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(0.04</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14,667,216</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12,743,379</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14,638,359</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12,412,442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15,626,367</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13,806,761</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14,638,359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13,467,562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2020-08-06T10:57:52Z</dcterms:created>
  <dcterms:modified xsi:type="dcterms:W3CDTF">2020-08-06T10:57:52Z</dcterms:modified>
</cp:coreProperties>
</file>