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27"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OptimizeRx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68401U204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12/31/2020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20" w:right="9280" w:hanging="2"/>
        <w:spacing w:after="0" w:line="311" w:lineRule="auto"/>
        <w:tabs>
          <w:tab w:leader="none" w:pos="90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4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32320" cy="7397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397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w:t>
      </w:r>
    </w:p>
    <w:p>
      <w:pPr>
        <w:spacing w:after="0" w:line="207" w:lineRule="exact"/>
        <w:rPr>
          <w:sz w:val="20"/>
          <w:szCs w:val="20"/>
          <w:color w:val="auto"/>
        </w:rPr>
      </w:pPr>
    </w:p>
    <w:p>
      <w:pPr>
        <w:sectPr>
          <w:pgSz w:w="11900" w:h="16838" w:orient="portrait"/>
          <w:cols w:equalWidth="0" w:num="2">
            <w:col w:w="9900" w:space="720"/>
            <w:col w:w="480"/>
          </w:cols>
          <w:pgMar w:left="340" w:top="702" w:right="4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000" w:right="7400" w:hanging="627"/>
        <w:spacing w:after="0" w:line="57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William Blair &amp; Company, L.L.C.</w:t>
      </w:r>
    </w:p>
    <w:p>
      <w:pPr>
        <w:ind w:left="1000" w:right="5120" w:hanging="627"/>
        <w:spacing w:after="0" w:line="258"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jc w:val="both"/>
        <w:ind w:left="10580"/>
        <w:spacing w:after="0"/>
        <w:tabs>
          <w:tab w:leader="none" w:pos="10980" w:val="left"/>
        </w:tabs>
        <w:rPr>
          <w:sz w:val="20"/>
          <w:szCs w:val="20"/>
          <w:color w:val="auto"/>
        </w:rPr>
      </w:pPr>
      <w:r>
        <w:rPr>
          <w:rFonts w:ascii="Arial" w:cs="Arial" w:eastAsia="Arial" w:hAnsi="Arial"/>
          <w:sz w:val="18"/>
          <w:szCs w:val="18"/>
          <w:color w:val="auto"/>
        </w:rPr>
        <w:t>(a)</w:t>
        <w:tab/>
        <w:t>o</w:t>
      </w:r>
    </w:p>
    <w:p>
      <w:pPr>
        <w:spacing w:after="0" w:line="9" w:lineRule="exact"/>
        <w:rPr>
          <w:sz w:val="20"/>
          <w:szCs w:val="20"/>
          <w:color w:val="auto"/>
        </w:rPr>
      </w:pPr>
    </w:p>
    <w:p>
      <w:pPr>
        <w:jc w:val="both"/>
        <w:ind w:left="10560"/>
        <w:spacing w:after="0"/>
        <w:tabs>
          <w:tab w:leader="none" w:pos="10980" w:val="left"/>
        </w:tabs>
        <w:rPr>
          <w:sz w:val="20"/>
          <w:szCs w:val="20"/>
          <w:color w:val="auto"/>
        </w:rPr>
      </w:pPr>
      <w:r>
        <w:rPr>
          <w:rFonts w:ascii="Arial" w:cs="Arial" w:eastAsia="Arial" w:hAnsi="Arial"/>
          <w:sz w:val="18"/>
          <w:szCs w:val="18"/>
          <w:color w:val="auto"/>
        </w:rPr>
        <w:t>(b)</w:t>
        <w:tab/>
        <w:t>o</w:t>
      </w:r>
    </w:p>
    <w:p>
      <w:pPr>
        <w:spacing w:after="0" w:line="200" w:lineRule="exact"/>
        <w:rPr>
          <w:sz w:val="20"/>
          <w:szCs w:val="20"/>
          <w:color w:val="auto"/>
        </w:rPr>
      </w:pPr>
    </w:p>
    <w:p>
      <w:pPr>
        <w:spacing w:after="0" w:line="240" w:lineRule="exact"/>
        <w:rPr>
          <w:sz w:val="20"/>
          <w:szCs w:val="20"/>
          <w:color w:val="auto"/>
        </w:rPr>
      </w:pPr>
    </w:p>
    <w:p>
      <w:pPr>
        <w:ind w:left="1000" w:hanging="62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00" w:right="6420" w:hanging="627"/>
        <w:spacing w:after="0" w:line="50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ectPr>
          <w:pgSz w:w="11900" w:h="16838" w:orient="portrait"/>
          <w:cols w:equalWidth="0" w:num="1">
            <w:col w:w="11100"/>
          </w:cols>
          <w:pgMar w:left="340" w:top="70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99"/>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579" w:right="490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713,264</w:t>
      </w:r>
    </w:p>
    <w:p>
      <w:pPr>
        <w:spacing w:after="0" w:line="1" w:lineRule="exact"/>
        <w:rPr>
          <w:rFonts w:ascii="Arial" w:cs="Arial" w:eastAsia="Arial" w:hAnsi="Arial"/>
          <w:sz w:val="18"/>
          <w:szCs w:val="18"/>
          <w:color w:val="auto"/>
        </w:rPr>
      </w:pPr>
    </w:p>
    <w:p>
      <w:pPr>
        <w:ind w:left="579" w:right="462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579" w:right="4500" w:hanging="579"/>
        <w:spacing w:after="0" w:line="508"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779,924</w:t>
      </w:r>
    </w:p>
    <w:p>
      <w:pPr>
        <w:spacing w:after="0" w:line="1" w:lineRule="exact"/>
        <w:rPr>
          <w:rFonts w:ascii="Arial" w:cs="Arial" w:eastAsia="Arial" w:hAnsi="Arial"/>
          <w:sz w:val="18"/>
          <w:szCs w:val="18"/>
          <w:color w:val="auto"/>
        </w:rPr>
      </w:pPr>
    </w:p>
    <w:p>
      <w:pPr>
        <w:ind w:left="579" w:right="4220" w:hanging="579"/>
        <w:spacing w:after="0" w:line="527"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84" w:lineRule="exact"/>
        <w:rPr>
          <w:sz w:val="20"/>
          <w:szCs w:val="20"/>
          <w:color w:val="auto"/>
        </w:rPr>
      </w:pPr>
    </w:p>
    <w:p>
      <w:pPr>
        <w:sectPr>
          <w:pgSz w:w="11900" w:h="16838" w:orient="portrait"/>
          <w:cols w:equalWidth="0" w:num="2">
            <w:col w:w="3041" w:space="720"/>
            <w:col w:w="7339"/>
          </w:cols>
          <w:pgMar w:left="340" w:top="702" w:right="459" w:bottom="1440" w:gutter="0" w:footer="0" w:header="0"/>
          <w:type w:val="continuous"/>
        </w:sectPr>
      </w:pPr>
    </w:p>
    <w:p>
      <w:pPr>
        <w:ind w:left="1000" w:right="3540" w:hanging="627"/>
        <w:spacing w:after="0" w:line="50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779,924</w:t>
      </w:r>
    </w:p>
    <w:p>
      <w:pPr>
        <w:spacing w:after="0" w:line="1" w:lineRule="exact"/>
        <w:rPr>
          <w:sz w:val="20"/>
          <w:szCs w:val="20"/>
          <w:color w:val="auto"/>
        </w:rPr>
      </w:pPr>
    </w:p>
    <w:p>
      <w:pPr>
        <w:ind w:left="1000" w:right="3460" w:hanging="672"/>
        <w:spacing w:after="0" w:line="25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pacing w:after="0" w:line="224" w:lineRule="exact"/>
        <w:rPr>
          <w:sz w:val="20"/>
          <w:szCs w:val="20"/>
          <w:color w:val="auto"/>
        </w:rPr>
      </w:pPr>
    </w:p>
    <w:p>
      <w:pPr>
        <w:ind w:left="1000" w:right="5040" w:hanging="669"/>
        <w:spacing w:after="0" w:line="50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color w:val="2A2A2A"/>
        </w:rPr>
        <w:t>5.20%</w:t>
      </w:r>
    </w:p>
    <w:p>
      <w:pPr>
        <w:spacing w:after="0" w:line="1" w:lineRule="exact"/>
        <w:rPr>
          <w:rFonts w:ascii="Arial" w:cs="Arial" w:eastAsia="Arial" w:hAnsi="Arial"/>
          <w:sz w:val="18"/>
          <w:szCs w:val="18"/>
          <w:color w:val="auto"/>
        </w:rPr>
      </w:pPr>
    </w:p>
    <w:p>
      <w:pPr>
        <w:ind w:left="1000" w:right="5760" w:hanging="672"/>
        <w:spacing w:after="0" w:line="52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BD,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40" w:top="702" w:right="45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20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68401U204</w:t>
            </w:r>
          </w:p>
        </w:tc>
        <w:tc>
          <w:tcPr>
            <w:tcW w:w="37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3</w:t>
            </w:r>
          </w:p>
        </w:tc>
      </w:tr>
      <w:tr>
        <w:trPr>
          <w:trHeight w:val="627"/>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OptimizeRx Corp</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1(b).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400 Water Street, Suite 200, Rochester, MI 48307</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2(a).</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Name of Person Filing:</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William Blair &amp; Company, L.L.C.</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2(b).</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150 North Riverside Plaza, Chicago, IL 60606</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2(c).</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Delaware</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2(d).</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Common Stock</w:t>
            </w:r>
          </w:p>
        </w:tc>
      </w:tr>
      <w:tr>
        <w:trPr>
          <w:trHeight w:val="418"/>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2(e).</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color w:val="auto"/>
              </w:rPr>
              <w:t>68401U204</w:t>
            </w:r>
          </w:p>
        </w:tc>
      </w:tr>
      <w:tr>
        <w:trPr>
          <w:trHeight w:val="414"/>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Item 3.</w:t>
            </w: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w w:val="92"/>
              </w:rPr>
              <w:t>If this statement is filed pursuant to §§ 240.13d-1(b), or 240.13d-2(b) or (c), check whether the person filing is</w:t>
            </w:r>
          </w:p>
        </w:tc>
      </w:tr>
      <w:tr>
        <w:trPr>
          <w:trHeight w:val="234"/>
        </w:trPr>
        <w:tc>
          <w:tcPr>
            <w:tcW w:w="2060" w:type="dxa"/>
            <w:vAlign w:val="bottom"/>
          </w:tcPr>
          <w:p>
            <w:pPr>
              <w:spacing w:after="0"/>
              <w:rPr>
                <w:sz w:val="20"/>
                <w:szCs w:val="20"/>
                <w:color w:val="auto"/>
              </w:rPr>
            </w:pPr>
          </w:p>
        </w:tc>
        <w:tc>
          <w:tcPr>
            <w:tcW w:w="9180" w:type="dxa"/>
            <w:vAlign w:val="bottom"/>
            <w:gridSpan w:val="2"/>
          </w:tcPr>
          <w:p>
            <w:pPr>
              <w:ind w:left="520"/>
              <w:spacing w:after="0"/>
              <w:rPr>
                <w:sz w:val="20"/>
                <w:szCs w:val="20"/>
                <w:color w:val="auto"/>
              </w:rPr>
            </w:pPr>
            <w:r>
              <w:rPr>
                <w:rFonts w:ascii="Arial" w:cs="Arial" w:eastAsia="Arial" w:hAnsi="Arial"/>
                <w:sz w:val="18"/>
                <w:szCs w:val="18"/>
                <w:b w:val="1"/>
                <w:bCs w:val="1"/>
                <w:color w:val="auto"/>
              </w:rPr>
              <w:t>a:</w:t>
            </w:r>
          </w:p>
        </w:tc>
      </w:tr>
    </w:tbl>
    <w:p>
      <w:pPr>
        <w:spacing w:after="0" w:line="202" w:lineRule="exact"/>
        <w:rPr>
          <w:sz w:val="20"/>
          <w:szCs w:val="20"/>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Broker or dealer registered under Section 15 of the Act (15 U.S.C. 78o);</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76"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76" w:lineRule="exact"/>
        <w:rPr>
          <w:rFonts w:ascii="Arial" w:cs="Arial" w:eastAsia="Arial" w:hAnsi="Arial"/>
          <w:sz w:val="18"/>
          <w:szCs w:val="18"/>
          <w:color w:val="auto"/>
        </w:rPr>
      </w:pPr>
    </w:p>
    <w:p>
      <w:pPr>
        <w:ind w:left="3820" w:right="22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oInvestment company registered under Section 8 of the Investment Company Act of 1940 (15 U.S.C. 80a-8);</w:t>
      </w:r>
    </w:p>
    <w:p>
      <w:pPr>
        <w:spacing w:after="0" w:line="21" w:lineRule="exact"/>
        <w:rPr>
          <w:rFonts w:ascii="Arial" w:cs="Arial" w:eastAsia="Arial" w:hAnsi="Arial"/>
          <w:sz w:val="18"/>
          <w:szCs w:val="18"/>
          <w:color w:val="auto"/>
        </w:rPr>
      </w:pPr>
    </w:p>
    <w:p>
      <w:pPr>
        <w:ind w:left="3160" w:hanging="43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76" w:lineRule="exact"/>
        <w:rPr>
          <w:rFonts w:ascii="Arial" w:cs="Arial" w:eastAsia="Arial" w:hAnsi="Arial"/>
          <w:sz w:val="18"/>
          <w:szCs w:val="18"/>
          <w:color w:val="auto"/>
        </w:rPr>
      </w:pPr>
    </w:p>
    <w:p>
      <w:pPr>
        <w:ind w:left="3160" w:hanging="420"/>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 240.13d-1(b)(1)(ii)(F);</w:t>
      </w:r>
    </w:p>
    <w:p>
      <w:pPr>
        <w:spacing w:after="0" w:line="76" w:lineRule="exact"/>
        <w:rPr>
          <w:rFonts w:ascii="Arial" w:cs="Arial" w:eastAsia="Arial" w:hAnsi="Arial"/>
          <w:sz w:val="18"/>
          <w:szCs w:val="18"/>
          <w:color w:val="auto"/>
        </w:rPr>
      </w:pPr>
    </w:p>
    <w:p>
      <w:pPr>
        <w:ind w:left="3160" w:hanging="435"/>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76" w:lineRule="exact"/>
        <w:rPr>
          <w:rFonts w:ascii="Arial" w:cs="Arial" w:eastAsia="Arial" w:hAnsi="Arial"/>
          <w:sz w:val="18"/>
          <w:szCs w:val="18"/>
          <w:color w:val="auto"/>
        </w:rPr>
      </w:pPr>
    </w:p>
    <w:p>
      <w:pPr>
        <w:ind w:left="3820" w:right="440" w:hanging="1095"/>
        <w:spacing w:after="0" w:line="277" w:lineRule="auto"/>
        <w:tabs>
          <w:tab w:leader="none" w:pos="3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savings association as defined in Section 3(b) of the Federal Deposit Insurance Act (12 U.S.C. 1813);</w:t>
      </w:r>
    </w:p>
    <w:p>
      <w:pPr>
        <w:spacing w:after="0" w:line="22" w:lineRule="exact"/>
        <w:rPr>
          <w:sz w:val="20"/>
          <w:szCs w:val="20"/>
          <w:color w:val="auto"/>
        </w:rPr>
      </w:pPr>
    </w:p>
    <w:p>
      <w:pPr>
        <w:ind w:left="3820" w:right="200" w:hanging="1076"/>
        <w:spacing w:after="0" w:line="277" w:lineRule="auto"/>
        <w:tabs>
          <w:tab w:leader="none" w:pos="31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(15 U.S.C. 80a-3);</w:t>
      </w:r>
    </w:p>
    <w:p>
      <w:pPr>
        <w:spacing w:after="0" w:line="21" w:lineRule="exact"/>
        <w:rPr>
          <w:rFonts w:ascii="Arial" w:cs="Arial" w:eastAsia="Arial" w:hAnsi="Arial"/>
          <w:sz w:val="18"/>
          <w:szCs w:val="18"/>
          <w:color w:val="auto"/>
        </w:rPr>
      </w:pPr>
    </w:p>
    <w:p>
      <w:pPr>
        <w:ind w:left="3160" w:hanging="416"/>
        <w:spacing w:after="0"/>
        <w:tabs>
          <w:tab w:leader="none" w:pos="3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77" w:lineRule="exact"/>
        <w:rPr>
          <w:sz w:val="20"/>
          <w:szCs w:val="20"/>
          <w:color w:val="auto"/>
        </w:rPr>
      </w:pPr>
    </w:p>
    <w:p>
      <w:pPr>
        <w:ind w:left="3160" w:hanging="435"/>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240.13d-1(b)(1)(ii)(K).</w:t>
      </w: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200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68401U204</w:t>
            </w:r>
          </w:p>
        </w:tc>
        <w:tc>
          <w:tcPr>
            <w:tcW w:w="9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Arial" w:cs="Arial" w:eastAsia="Arial" w:hAnsi="Arial"/>
                <w:sz w:val="18"/>
                <w:szCs w:val="18"/>
                <w:color w:val="auto"/>
                <w:w w:val="98"/>
              </w:rPr>
              <w:t>Page 4</w:t>
            </w:r>
          </w:p>
        </w:tc>
      </w:tr>
      <w:tr>
        <w:trPr>
          <w:trHeight w:val="627"/>
        </w:trPr>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Item 4.</w:t>
            </w:r>
          </w:p>
        </w:tc>
        <w:tc>
          <w:tcPr>
            <w:tcW w:w="9240" w:type="dxa"/>
            <w:vAlign w:val="bottom"/>
            <w:gridSpan w:val="3"/>
          </w:tcPr>
          <w:p>
            <w:pPr>
              <w:ind w:left="460"/>
              <w:spacing w:after="0"/>
              <w:rPr>
                <w:sz w:val="20"/>
                <w:szCs w:val="20"/>
                <w:color w:val="auto"/>
              </w:rPr>
            </w:pPr>
            <w:r>
              <w:rPr>
                <w:rFonts w:ascii="Arial" w:cs="Arial" w:eastAsia="Arial" w:hAnsi="Arial"/>
                <w:sz w:val="18"/>
                <w:szCs w:val="18"/>
                <w:b w:val="1"/>
                <w:bCs w:val="1"/>
                <w:color w:val="auto"/>
              </w:rPr>
              <w:t>Ownership:</w:t>
            </w:r>
          </w:p>
        </w:tc>
      </w:tr>
      <w:tr>
        <w:trPr>
          <w:trHeight w:val="216"/>
        </w:trPr>
        <w:tc>
          <w:tcPr>
            <w:tcW w:w="2000" w:type="dxa"/>
            <w:vAlign w:val="bottom"/>
          </w:tcPr>
          <w:p>
            <w:pPr>
              <w:spacing w:after="0"/>
              <w:rPr>
                <w:sz w:val="18"/>
                <w:szCs w:val="18"/>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w w:val="91"/>
              </w:rPr>
              <w:t>Provide the following information regarding the aggregate number and percentage of the class of securities of the issuer</w:t>
            </w:r>
          </w:p>
        </w:tc>
      </w:tr>
      <w:tr>
        <w:trPr>
          <w:trHeight w:val="230"/>
        </w:trPr>
        <w:tc>
          <w:tcPr>
            <w:tcW w:w="2000" w:type="dxa"/>
            <w:vAlign w:val="bottom"/>
          </w:tcPr>
          <w:p>
            <w:pPr>
              <w:spacing w:after="0"/>
              <w:rPr>
                <w:sz w:val="20"/>
                <w:szCs w:val="20"/>
                <w:color w:val="auto"/>
              </w:rPr>
            </w:pPr>
          </w:p>
        </w:tc>
        <w:tc>
          <w:tcPr>
            <w:tcW w:w="9240" w:type="dxa"/>
            <w:vAlign w:val="bottom"/>
            <w:gridSpan w:val="3"/>
          </w:tcPr>
          <w:p>
            <w:pPr>
              <w:ind w:left="460"/>
              <w:spacing w:after="0"/>
              <w:rPr>
                <w:sz w:val="20"/>
                <w:szCs w:val="20"/>
                <w:color w:val="auto"/>
              </w:rPr>
            </w:pPr>
            <w:r>
              <w:rPr>
                <w:rFonts w:ascii="Arial" w:cs="Arial" w:eastAsia="Arial" w:hAnsi="Arial"/>
                <w:sz w:val="18"/>
                <w:szCs w:val="18"/>
                <w:color w:val="auto"/>
              </w:rPr>
              <w:t>identified in Item 1.</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(a)</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779,924</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(b)</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color w:val="2A2A2A"/>
              </w:rPr>
              <w:t>5.20%</w:t>
            </w:r>
          </w:p>
        </w:tc>
      </w:tr>
      <w:tr>
        <w:trPr>
          <w:trHeight w:val="432"/>
        </w:trPr>
        <w:tc>
          <w:tcPr>
            <w:tcW w:w="2000" w:type="dxa"/>
            <w:vAlign w:val="bottom"/>
          </w:tcPr>
          <w:p>
            <w:pPr>
              <w:spacing w:after="0"/>
              <w:rPr>
                <w:sz w:val="24"/>
                <w:szCs w:val="24"/>
                <w:color w:val="auto"/>
              </w:rPr>
            </w:pPr>
          </w:p>
        </w:tc>
        <w:tc>
          <w:tcPr>
            <w:tcW w:w="980" w:type="dxa"/>
            <w:vAlign w:val="bottom"/>
          </w:tcPr>
          <w:p>
            <w:pPr>
              <w:ind w:left="600"/>
              <w:spacing w:after="0"/>
              <w:rPr>
                <w:sz w:val="20"/>
                <w:szCs w:val="20"/>
                <w:color w:val="auto"/>
              </w:rPr>
            </w:pPr>
            <w:r>
              <w:rPr>
                <w:rFonts w:ascii="Arial" w:cs="Arial" w:eastAsia="Arial" w:hAnsi="Arial"/>
                <w:sz w:val="18"/>
                <w:szCs w:val="18"/>
                <w:color w:val="auto"/>
              </w:rPr>
              <w:t>(c)</w:t>
            </w: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Number of shares as to which the person has:</w:t>
            </w:r>
          </w:p>
        </w:tc>
      </w:tr>
    </w:tbl>
    <w:p>
      <w:pPr>
        <w:spacing w:after="0" w:line="20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Sole power to vote or to direct the vote: 713,264</w:t>
      </w:r>
    </w:p>
    <w:p>
      <w:pPr>
        <w:spacing w:after="0" w:line="225" w:lineRule="exact"/>
        <w:rPr>
          <w:sz w:val="20"/>
          <w:szCs w:val="20"/>
          <w:color w:val="auto"/>
        </w:rPr>
      </w:pPr>
    </w:p>
    <w:p>
      <w:pPr>
        <w:ind w:left="3220"/>
        <w:spacing w:after="0"/>
        <w:tabs>
          <w:tab w:leader="none" w:pos="370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 0</w:t>
      </w:r>
    </w:p>
    <w:p>
      <w:pPr>
        <w:spacing w:after="0" w:line="225" w:lineRule="exact"/>
        <w:rPr>
          <w:sz w:val="20"/>
          <w:szCs w:val="20"/>
          <w:color w:val="auto"/>
        </w:rPr>
      </w:pPr>
    </w:p>
    <w:p>
      <w:pPr>
        <w:ind w:left="3200"/>
        <w:spacing w:after="0"/>
        <w:tabs>
          <w:tab w:leader="none" w:pos="3700" w:val="left"/>
        </w:tabs>
        <w:rPr>
          <w:sz w:val="20"/>
          <w:szCs w:val="20"/>
          <w:color w:val="auto"/>
        </w:rPr>
      </w:pPr>
      <w:r>
        <w:rPr>
          <w:rFonts w:ascii="Arial" w:cs="Arial" w:eastAsia="Arial" w:hAnsi="Arial"/>
          <w:sz w:val="18"/>
          <w:szCs w:val="18"/>
          <w:color w:val="auto"/>
        </w:rPr>
        <w:t>(iii)</w:t>
        <w:tab/>
        <w:t>Sole power to dispose or to direct the disposition of: 779,924</w:t>
      </w:r>
    </w:p>
    <w:p>
      <w:pPr>
        <w:spacing w:after="0" w:line="225" w:lineRule="exact"/>
        <w:rPr>
          <w:sz w:val="20"/>
          <w:szCs w:val="20"/>
          <w:color w:val="auto"/>
        </w:rPr>
      </w:pPr>
    </w:p>
    <w:p>
      <w:pPr>
        <w:jc w:val="center"/>
        <w:ind w:left="2940"/>
        <w:spacing w:after="0"/>
        <w:tabs>
          <w:tab w:leader="none" w:pos="240" w:val="left"/>
        </w:tabs>
        <w:rPr>
          <w:sz w:val="20"/>
          <w:szCs w:val="20"/>
          <w:color w:val="auto"/>
        </w:rPr>
      </w:pPr>
      <w:r>
        <w:rPr>
          <w:rFonts w:ascii="Arial" w:cs="Arial" w:eastAsia="Arial" w:hAnsi="Arial"/>
          <w:sz w:val="18"/>
          <w:szCs w:val="18"/>
          <w:color w:val="auto"/>
        </w:rPr>
        <w:t>(iv)</w:t>
        <w:tab/>
        <w:t>Shared power to dispose or to direct the disposition of: 0</w:t>
      </w:r>
    </w:p>
    <w:p>
      <w:pPr>
        <w:sectPr>
          <w:pgSz w:w="11900" w:h="16838" w:orient="portrait"/>
          <w:cols w:equalWidth="0" w:num="1">
            <w:col w:w="11240"/>
          </w:cols>
          <w:pgMar w:left="320" w:top="687" w:right="339" w:bottom="1440" w:gutter="0" w:footer="0" w:header="0"/>
        </w:sectPr>
      </w:pPr>
    </w:p>
    <w:p>
      <w:pPr>
        <w:spacing w:after="0" w:line="22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more than 5 percent of the class of securities, check the following. o</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the Subsidiary Which Acquired the Security Being Reported on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are held in the ordinary course of business and were not acquired and are not held for the purpose of or with the</w:t>
      </w:r>
    </w:p>
    <w:p>
      <w:pPr>
        <w:spacing w:after="0" w:line="32" w:lineRule="exact"/>
        <w:rPr>
          <w:sz w:val="20"/>
          <w:szCs w:val="20"/>
          <w:color w:val="auto"/>
        </w:rPr>
      </w:pPr>
    </w:p>
    <w:p>
      <w:pPr>
        <w:sectPr>
          <w:pgSz w:w="11900" w:h="16838" w:orient="portrait"/>
          <w:cols w:equalWidth="0" w:num="2">
            <w:col w:w="1740" w:space="720"/>
            <w:col w:w="8780"/>
          </w:cols>
          <w:pgMar w:left="320" w:top="687" w:right="339" w:bottom="1440" w:gutter="0" w:footer="0" w:header="0"/>
          <w:type w:val="continuous"/>
        </w:sectPr>
      </w:pPr>
    </w:p>
    <w:p>
      <w:pPr>
        <w:ind w:left="2460" w:right="100"/>
        <w:spacing w:after="0" w:line="260" w:lineRule="auto"/>
        <w:rPr>
          <w:sz w:val="20"/>
          <w:szCs w:val="20"/>
          <w:color w:val="auto"/>
        </w:rPr>
      </w:pPr>
      <w:r>
        <w:rPr>
          <w:rFonts w:ascii="Arial" w:cs="Arial" w:eastAsia="Arial" w:hAnsi="Arial"/>
          <w:sz w:val="18"/>
          <w:szCs w:val="18"/>
          <w:color w:val="auto"/>
        </w:rPr>
        <w:t>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68401U204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w:t>
      </w:r>
    </w:p>
    <w:p>
      <w:pPr>
        <w:spacing w:after="0" w:line="207" w:lineRule="exact"/>
        <w:rPr>
          <w:sz w:val="20"/>
          <w:szCs w:val="20"/>
          <w:color w:val="auto"/>
        </w:rPr>
      </w:pPr>
    </w:p>
    <w:p>
      <w:pPr>
        <w:sectPr>
          <w:pgSz w:w="11900" w:h="16838" w:orient="portrait"/>
          <w:cols w:equalWidth="0" w:num="2">
            <w:col w:w="9920" w:space="720"/>
            <w:col w:w="600"/>
          </w:cols>
          <w:pgMar w:left="320" w:top="702" w:right="339" w:bottom="1440"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tbl>
      <w:tblPr>
        <w:tblLayout w:type="fixed"/>
        <w:tblInd w:w="530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2/11/2021</w:t>
            </w: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40"/>
              <w:spacing w:after="0"/>
              <w:rPr>
                <w:sz w:val="20"/>
                <w:szCs w:val="20"/>
                <w:color w:val="auto"/>
              </w:rPr>
            </w:pPr>
            <w:r>
              <w:rPr>
                <w:rFonts w:ascii="Arial" w:cs="Arial" w:eastAsia="Arial" w:hAnsi="Arial"/>
                <w:sz w:val="18"/>
                <w:szCs w:val="18"/>
                <w:color w:val="auto"/>
              </w:rPr>
              <w:t>/s/ Ryan DeVore</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ind w:left="40"/>
              <w:spacing w:after="0"/>
              <w:rPr>
                <w:sz w:val="20"/>
                <w:szCs w:val="20"/>
                <w:color w:val="auto"/>
              </w:rPr>
            </w:pPr>
            <w:r>
              <w:rPr>
                <w:rFonts w:ascii="Arial" w:cs="Arial" w:eastAsia="Arial" w:hAnsi="Arial"/>
                <w:sz w:val="18"/>
                <w:szCs w:val="18"/>
                <w:color w:val="auto"/>
              </w:rPr>
              <w:t>Ryan DeVore</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40"/>
              <w:spacing w:after="0"/>
              <w:rPr>
                <w:sz w:val="20"/>
                <w:szCs w:val="20"/>
                <w:color w:val="auto"/>
              </w:rPr>
            </w:pPr>
            <w:r>
              <w:rPr>
                <w:rFonts w:ascii="Arial" w:cs="Arial" w:eastAsia="Arial" w:hAnsi="Arial"/>
                <w:sz w:val="18"/>
                <w:szCs w:val="18"/>
                <w:color w:val="auto"/>
              </w:rPr>
              <w:t>Partner, Head of Private Wealth Management</w:t>
            </w:r>
          </w:p>
        </w:tc>
      </w:tr>
      <w:tr>
        <w:trPr>
          <w:trHeight w:val="40"/>
        </w:trPr>
        <w:tc>
          <w:tcPr>
            <w:tcW w:w="100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9"/>
    </w:lvl>
  </w:abstractNum>
  <w:abstractNum w:abstractNumId="9">
    <w:nsid w:val="4DB127F8"/>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2021-02-11T14:24:48Z</dcterms:created>
  <dcterms:modified xsi:type="dcterms:W3CDTF">2021-02-11T14:24:48Z</dcterms:modified>
</cp:coreProperties>
</file>