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-231140</wp:posOffset>
            </wp:positionV>
            <wp:extent cx="128270" cy="128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5231130</wp:posOffset>
            </wp:positionH>
            <wp:positionV relativeFrom="paragraph">
              <wp:posOffset>-614680</wp:posOffset>
            </wp:positionV>
            <wp:extent cx="57785" cy="628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-614680</wp:posOffset>
            </wp:positionV>
            <wp:extent cx="57785" cy="6280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13335</wp:posOffset>
            </wp:positionV>
            <wp:extent cx="7047865" cy="41052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105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400"/>
            <w:col w:w="846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Silvestro Stephen L</w:t>
        </w:r>
      </w:hyperlink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OPRX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03/11/2020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34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CHIEF COMMERCIAL OFFICER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1" w:space="720"/>
            <w:col w:w="3339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ROCHESTER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48307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24" w:lineRule="auto"/>
        <w:tabs>
          <w:tab w:leader="none" w:pos="43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7.51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03/11/2020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03/11/2020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105,933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03/31/2020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03/11/2025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105,933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105,933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0"/>
              </w:rPr>
              <w:t>1. The Stock Option will vest 25% at the end of each quarter starting on 3/31/2020.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/s/ Stephen Silvestro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03/13/2020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40" w:hanging="1"/>
        <w:spacing w:after="0" w:line="32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73461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2020-03-13T16:22:20Z</dcterms:created>
  <dcterms:modified xsi:type="dcterms:W3CDTF">2020-03-13T16:22:20Z</dcterms:modified>
</cp:coreProperties>
</file>