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rPr>
              <w:t>FORM 8-K</w:t>
            </w:r>
          </w:p>
        </w:tc>
        <w:tc>
          <w:tcPr>
            <w:tcW w:w="3340" w:type="dxa"/>
            <w:vAlign w:val="bottom"/>
          </w:tcPr>
          <w:p>
            <w:pPr>
              <w:spacing w:after="0"/>
              <w:rPr>
                <w:sz w:val="20"/>
                <w:szCs w:val="20"/>
                <w:color w:val="auto"/>
              </w:rPr>
            </w:pPr>
          </w:p>
        </w:tc>
      </w:tr>
      <w:tr>
        <w:trPr>
          <w:trHeight w:val="414"/>
        </w:trPr>
        <w:tc>
          <w:tcPr>
            <w:tcW w:w="3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w w:val="99"/>
              </w:rPr>
              <w:t>CURRENT REPORT</w:t>
            </w:r>
          </w:p>
        </w:tc>
        <w:tc>
          <w:tcPr>
            <w:tcW w:w="3340" w:type="dxa"/>
            <w:vAlign w:val="bottom"/>
          </w:tcPr>
          <w:p>
            <w:pPr>
              <w:spacing w:after="0"/>
              <w:rPr>
                <w:sz w:val="24"/>
                <w:szCs w:val="24"/>
                <w:color w:val="auto"/>
              </w:rPr>
            </w:pPr>
          </w:p>
        </w:tc>
      </w:tr>
      <w:tr>
        <w:trPr>
          <w:trHeight w:val="216"/>
        </w:trPr>
        <w:tc>
          <w:tcPr>
            <w:tcW w:w="3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7"/>
          </w:tcPr>
          <w:p>
            <w:pPr>
              <w:jc w:val="center"/>
              <w:ind w:right="560"/>
              <w:spacing w:after="0"/>
              <w:rPr>
                <w:sz w:val="20"/>
                <w:szCs w:val="20"/>
                <w:color w:val="auto"/>
              </w:rPr>
            </w:pPr>
            <w:r>
              <w:rPr>
                <w:rFonts w:ascii="Arial" w:cs="Arial" w:eastAsia="Arial" w:hAnsi="Arial"/>
                <w:sz w:val="18"/>
                <w:szCs w:val="18"/>
                <w:b w:val="1"/>
                <w:bCs w:val="1"/>
                <w:color w:val="auto"/>
                <w:w w:val="97"/>
              </w:rPr>
              <w:t>PURSUANT TO SECTION 13 OR 15(d) OF</w:t>
            </w:r>
          </w:p>
        </w:tc>
        <w:tc>
          <w:tcPr>
            <w:tcW w:w="3340" w:type="dxa"/>
            <w:vAlign w:val="bottom"/>
          </w:tcPr>
          <w:p>
            <w:pPr>
              <w:spacing w:after="0"/>
              <w:rPr>
                <w:sz w:val="18"/>
                <w:szCs w:val="18"/>
                <w:color w:val="auto"/>
              </w:rPr>
            </w:pPr>
          </w:p>
        </w:tc>
      </w:tr>
      <w:tr>
        <w:trPr>
          <w:trHeight w:val="234"/>
        </w:trPr>
        <w:tc>
          <w:tcPr>
            <w:tcW w:w="3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30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40" w:type="dxa"/>
            <w:vAlign w:val="bottom"/>
          </w:tcPr>
          <w:p>
            <w:pPr>
              <w:spacing w:after="0"/>
              <w:rPr>
                <w:sz w:val="20"/>
                <w:szCs w:val="20"/>
                <w:color w:val="auto"/>
              </w:rPr>
            </w:pPr>
          </w:p>
        </w:tc>
      </w:tr>
      <w:tr>
        <w:trPr>
          <w:trHeight w:val="432"/>
        </w:trPr>
        <w:tc>
          <w:tcPr>
            <w:tcW w:w="3180" w:type="dxa"/>
            <w:vAlign w:val="bottom"/>
          </w:tcPr>
          <w:p>
            <w:pPr>
              <w:spacing w:after="0"/>
              <w:rPr>
                <w:sz w:val="24"/>
                <w:szCs w:val="24"/>
                <w:color w:val="auto"/>
              </w:rPr>
            </w:pPr>
          </w:p>
        </w:tc>
        <w:tc>
          <w:tcPr>
            <w:tcW w:w="4900" w:type="dxa"/>
            <w:vAlign w:val="bottom"/>
            <w:gridSpan w:val="9"/>
          </w:tcPr>
          <w:p>
            <w:pPr>
              <w:jc w:val="center"/>
              <w:ind w:left="70"/>
              <w:spacing w:after="0"/>
              <w:rPr>
                <w:sz w:val="20"/>
                <w:szCs w:val="20"/>
                <w:color w:val="auto"/>
              </w:rPr>
            </w:pPr>
            <w:r>
              <w:rPr>
                <w:rFonts w:ascii="Arial" w:cs="Arial" w:eastAsia="Arial" w:hAnsi="Arial"/>
                <w:sz w:val="18"/>
                <w:szCs w:val="18"/>
                <w:color w:val="auto"/>
                <w:w w:val="91"/>
              </w:rPr>
              <w:t>Date of Report (Date of earliest event reported): May 2, 2018</w:t>
            </w:r>
          </w:p>
        </w:tc>
        <w:tc>
          <w:tcPr>
            <w:tcW w:w="3340" w:type="dxa"/>
            <w:vAlign w:val="bottom"/>
          </w:tcPr>
          <w:p>
            <w:pPr>
              <w:spacing w:after="0"/>
              <w:rPr>
                <w:sz w:val="24"/>
                <w:szCs w:val="24"/>
                <w:color w:val="auto"/>
              </w:rPr>
            </w:pPr>
          </w:p>
        </w:tc>
      </w:tr>
      <w:tr>
        <w:trPr>
          <w:trHeight w:val="392"/>
        </w:trPr>
        <w:tc>
          <w:tcPr>
            <w:tcW w:w="3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460" w:type="dxa"/>
            <w:vAlign w:val="bottom"/>
            <w:gridSpan w:val="3"/>
          </w:tcPr>
          <w:p>
            <w:pPr>
              <w:spacing w:after="0"/>
              <w:rPr>
                <w:sz w:val="24"/>
                <w:szCs w:val="24"/>
                <w:color w:val="auto"/>
              </w:rPr>
            </w:pPr>
          </w:p>
        </w:tc>
        <w:tc>
          <w:tcPr>
            <w:tcW w:w="3340" w:type="dxa"/>
            <w:vAlign w:val="bottom"/>
          </w:tcPr>
          <w:p>
            <w:pPr>
              <w:spacing w:after="0"/>
              <w:rPr>
                <w:sz w:val="24"/>
                <w:szCs w:val="24"/>
                <w:color w:val="auto"/>
              </w:rPr>
            </w:pPr>
          </w:p>
        </w:tc>
      </w:tr>
      <w:tr>
        <w:trPr>
          <w:trHeight w:val="237"/>
        </w:trPr>
        <w:tc>
          <w:tcPr>
            <w:tcW w:w="3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300" w:type="dxa"/>
            <w:vAlign w:val="bottom"/>
            <w:gridSpan w:val="8"/>
          </w:tcPr>
          <w:p>
            <w:pPr>
              <w:jc w:val="center"/>
              <w:ind w:right="420"/>
              <w:spacing w:after="0"/>
              <w:rPr>
                <w:sz w:val="20"/>
                <w:szCs w:val="20"/>
                <w:color w:val="auto"/>
              </w:rPr>
            </w:pPr>
            <w:r>
              <w:rPr>
                <w:rFonts w:ascii="Arial" w:cs="Arial" w:eastAsia="Arial" w:hAnsi="Arial"/>
                <w:sz w:val="18"/>
                <w:szCs w:val="18"/>
                <w:color w:val="auto"/>
                <w:w w:val="90"/>
              </w:rPr>
              <w:t>(Exact name of registrant as specified in its charter)</w:t>
            </w:r>
          </w:p>
        </w:tc>
        <w:tc>
          <w:tcPr>
            <w:tcW w:w="3340" w:type="dxa"/>
            <w:vAlign w:val="bottom"/>
          </w:tcPr>
          <w:p>
            <w:pPr>
              <w:spacing w:after="0"/>
              <w:rPr>
                <w:sz w:val="20"/>
                <w:szCs w:val="20"/>
                <w:color w:val="auto"/>
              </w:rPr>
            </w:pPr>
          </w:p>
        </w:tc>
      </w:tr>
      <w:tr>
        <w:trPr>
          <w:trHeight w:val="439"/>
        </w:trPr>
        <w:tc>
          <w:tcPr>
            <w:tcW w:w="3180" w:type="dxa"/>
            <w:vAlign w:val="bottom"/>
          </w:tcPr>
          <w:p>
            <w:pPr>
              <w:jc w:val="center"/>
              <w:ind w:left="510"/>
              <w:spacing w:after="0"/>
              <w:rPr>
                <w:sz w:val="20"/>
                <w:szCs w:val="20"/>
                <w:color w:val="auto"/>
              </w:rPr>
            </w:pPr>
            <w:r>
              <w:rPr>
                <w:rFonts w:ascii="Arial" w:cs="Arial" w:eastAsia="Arial" w:hAnsi="Arial"/>
                <w:sz w:val="18"/>
                <w:szCs w:val="18"/>
                <w:color w:val="auto"/>
                <w:w w:val="86"/>
              </w:rPr>
              <w:t>Nevada</w:t>
            </w:r>
          </w:p>
        </w:tc>
        <w:tc>
          <w:tcPr>
            <w:tcW w:w="3440" w:type="dxa"/>
            <w:vAlign w:val="bottom"/>
            <w:gridSpan w:val="6"/>
          </w:tcPr>
          <w:p>
            <w:pPr>
              <w:jc w:val="center"/>
              <w:ind w:left="157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40" w:type="dxa"/>
            <w:vAlign w:val="bottom"/>
          </w:tcPr>
          <w:p>
            <w:pPr>
              <w:jc w:val="center"/>
              <w:ind w:right="330"/>
              <w:spacing w:after="0"/>
              <w:rPr>
                <w:sz w:val="20"/>
                <w:szCs w:val="20"/>
                <w:color w:val="auto"/>
              </w:rPr>
            </w:pPr>
            <w:r>
              <w:rPr>
                <w:rFonts w:ascii="Arial" w:cs="Arial" w:eastAsia="Arial" w:hAnsi="Arial"/>
                <w:sz w:val="18"/>
                <w:szCs w:val="18"/>
                <w:color w:val="auto"/>
                <w:w w:val="91"/>
              </w:rPr>
              <w:t>26-1265381</w:t>
            </w:r>
          </w:p>
        </w:tc>
      </w:tr>
      <w:tr>
        <w:trPr>
          <w:trHeight w:val="202"/>
        </w:trPr>
        <w:tc>
          <w:tcPr>
            <w:tcW w:w="3180" w:type="dxa"/>
            <w:vAlign w:val="bottom"/>
            <w:tcBorders>
              <w:top w:val="single" w:sz="8" w:color="auto"/>
            </w:tcBorders>
          </w:tcPr>
          <w:p>
            <w:pPr>
              <w:jc w:val="center"/>
              <w:ind w:left="510"/>
              <w:spacing w:after="0" w:line="201" w:lineRule="exact"/>
              <w:rPr>
                <w:sz w:val="20"/>
                <w:szCs w:val="20"/>
                <w:color w:val="auto"/>
              </w:rPr>
            </w:pPr>
            <w:r>
              <w:rPr>
                <w:rFonts w:ascii="Arial" w:cs="Arial" w:eastAsia="Arial" w:hAnsi="Arial"/>
                <w:sz w:val="18"/>
                <w:szCs w:val="18"/>
                <w:color w:val="auto"/>
                <w:w w:val="92"/>
              </w:rPr>
              <w:t>(State or other jurisdiction</w:t>
            </w: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340" w:type="dxa"/>
            <w:vAlign w:val="bottom"/>
            <w:tcBorders>
              <w:top w:val="single" w:sz="8" w:color="auto"/>
            </w:tcBorders>
          </w:tcPr>
          <w:p>
            <w:pPr>
              <w:jc w:val="center"/>
              <w:ind w:right="3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80" w:type="dxa"/>
            <w:vAlign w:val="bottom"/>
          </w:tcPr>
          <w:p>
            <w:pPr>
              <w:jc w:val="center"/>
              <w:ind w:left="510"/>
              <w:spacing w:after="0"/>
              <w:rPr>
                <w:sz w:val="20"/>
                <w:szCs w:val="20"/>
                <w:color w:val="auto"/>
              </w:rPr>
            </w:pPr>
            <w:r>
              <w:rPr>
                <w:rFonts w:ascii="Arial" w:cs="Arial" w:eastAsia="Arial" w:hAnsi="Arial"/>
                <w:sz w:val="18"/>
                <w:szCs w:val="18"/>
                <w:color w:val="auto"/>
                <w:w w:val="93"/>
              </w:rPr>
              <w:t>of incorporation)</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40" w:type="dxa"/>
            <w:vAlign w:val="bottom"/>
          </w:tcPr>
          <w:p>
            <w:pPr>
              <w:jc w:val="center"/>
              <w:ind w:right="31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8080" w:type="dxa"/>
            <w:vAlign w:val="bottom"/>
            <w:gridSpan w:val="10"/>
          </w:tcPr>
          <w:p>
            <w:pPr>
              <w:jc w:val="center"/>
              <w:ind w:right="2460"/>
              <w:spacing w:after="0"/>
              <w:rPr>
                <w:sz w:val="20"/>
                <w:szCs w:val="20"/>
                <w:color w:val="auto"/>
              </w:rPr>
            </w:pPr>
            <w:r>
              <w:rPr>
                <w:rFonts w:ascii="Arial" w:cs="Arial" w:eastAsia="Arial" w:hAnsi="Arial"/>
                <w:sz w:val="18"/>
                <w:szCs w:val="18"/>
                <w:color w:val="auto"/>
                <w:w w:val="90"/>
              </w:rPr>
              <w:t>400 Water Street, Suite 200, Rochester, MI</w:t>
            </w:r>
          </w:p>
        </w:tc>
        <w:tc>
          <w:tcPr>
            <w:tcW w:w="334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3"/>
          </w:tcPr>
          <w:p>
            <w:pPr>
              <w:spacing w:after="0"/>
              <w:rPr>
                <w:sz w:val="20"/>
                <w:szCs w:val="20"/>
                <w:color w:val="auto"/>
              </w:rPr>
            </w:pPr>
          </w:p>
        </w:tc>
        <w:tc>
          <w:tcPr>
            <w:tcW w:w="3340" w:type="dxa"/>
            <w:vAlign w:val="bottom"/>
            <w:tcBorders>
              <w:top w:val="single" w:sz="8" w:color="auto"/>
            </w:tcBorders>
          </w:tcPr>
          <w:p>
            <w:pPr>
              <w:jc w:val="center"/>
              <w:ind w:right="21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289560</wp:posOffset>
            </wp:positionV>
            <wp:extent cx="50685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6857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May 2, 2018, we issued a press release announcing the results of operations for the quarter ended March 31, 2018. The press release is furnished with this Current Report on Form 8-K as Exhibit 99.1.</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May 2, 2018, we issued a press release about our $9 million private offering. The press release is furnished with this Current Report on Form 8-K as Exhibit 99.2.</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information furnished under this Item 8.01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220" w:type="dxa"/>
            <w:vAlign w:val="bottom"/>
            <w:tcBorders>
              <w:top w:val="single" w:sz="8" w:color="CCEEFF"/>
            </w:tcBorders>
            <w:shd w:val="clear" w:color="auto" w:fill="CCEEFF"/>
          </w:tcPr>
          <w:p>
            <w:pPr>
              <w:spacing w:after="0"/>
              <w:rPr>
                <w:sz w:val="15"/>
                <w:szCs w:val="15"/>
                <w:color w:val="auto"/>
              </w:rPr>
            </w:pPr>
          </w:p>
        </w:tc>
        <w:tc>
          <w:tcPr>
            <w:tcW w:w="10040" w:type="dxa"/>
            <w:vAlign w:val="bottom"/>
            <w:tcBorders>
              <w:top w:val="single" w:sz="8" w:color="auto"/>
            </w:tcBorders>
            <w:gridSpan w:val="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May 2, 2018</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99.2</w:t>
            </w:r>
          </w:p>
        </w:tc>
        <w:tc>
          <w:tcPr>
            <w:tcW w:w="220" w:type="dxa"/>
            <w:vAlign w:val="bottom"/>
          </w:tcPr>
          <w:p>
            <w:pPr>
              <w:spacing w:after="0"/>
              <w:rPr>
                <w:sz w:val="15"/>
                <w:szCs w:val="15"/>
                <w:color w:val="auto"/>
              </w:rPr>
            </w:pPr>
          </w:p>
        </w:tc>
        <w:tc>
          <w:tcPr>
            <w:tcW w:w="2380" w:type="dxa"/>
            <w:vAlign w:val="bottom"/>
            <w:tcBorders>
              <w:bottom w:val="single" w:sz="8" w:color="0000EE"/>
            </w:tcBorders>
            <w:gridSpan w:val="2"/>
          </w:tcPr>
          <w:p>
            <w:pPr>
              <w:spacing w:after="0" w:line="17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Press release, dated May 2, 2018</w:t>
              </w:r>
            </w:hyperlink>
          </w:p>
        </w:tc>
        <w:tc>
          <w:tcPr>
            <w:tcW w:w="7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165735</wp:posOffset>
            </wp:positionV>
            <wp:extent cx="2152650"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26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OptimizeRx Reports First Quarter 2018 Results; Q1 Net Revenue Up 91% to Record $4.1 Million</w:t>
      </w:r>
    </w:p>
    <w:p>
      <w:pPr>
        <w:spacing w:after="0" w:line="215" w:lineRule="exact"/>
        <w:rPr>
          <w:sz w:val="20"/>
          <w:szCs w:val="20"/>
          <w:color w:val="auto"/>
        </w:rPr>
      </w:pPr>
    </w:p>
    <w:p>
      <w:pPr>
        <w:ind w:right="1100"/>
        <w:spacing w:after="0" w:line="347" w:lineRule="auto"/>
        <w:rPr>
          <w:sz w:val="20"/>
          <w:szCs w:val="20"/>
          <w:color w:val="auto"/>
        </w:rPr>
      </w:pPr>
      <w:r>
        <w:rPr>
          <w:rFonts w:ascii="Arial" w:cs="Arial" w:eastAsia="Arial" w:hAnsi="Arial"/>
          <w:sz w:val="16"/>
          <w:szCs w:val="16"/>
          <w:b w:val="1"/>
          <w:bCs w:val="1"/>
          <w:color w:val="auto"/>
        </w:rPr>
        <w:t xml:space="preserve">ROCHESTER, Mich., May 2, 2018 — </w:t>
      </w:r>
      <w:r>
        <w:rPr>
          <w:rFonts w:ascii="Arial" w:cs="Arial" w:eastAsia="Arial" w:hAnsi="Arial"/>
          <w:sz w:val="16"/>
          <w:szCs w:val="16"/>
          <w:color w:val="auto"/>
        </w:rPr>
        <w:t>OptimizeRx Corp. (OTCQB: OPRX), the nation’s leading provider of digital health messaging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pharmaceutical industry, reported results for the first quarter ended March 31, 2018. Quarterly comparisons are to the same year-ago quarter.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2018 Highlights</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revenue increased 91% to a record $4.1 million.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improved from 35.8% to 51.2%.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expense as a percentage of net revenue reduced from 77% to 56%.</w:t>
      </w:r>
    </w:p>
    <w:p>
      <w:pPr>
        <w:spacing w:after="0" w:line="225"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Acquired new pharmaceutical manufacturer brands for OptimizeRx’s core offerings of financial and brand messaging that are distributed through the company’s expanding network of EHR channel partners.</w:t>
      </w:r>
    </w:p>
    <w:p>
      <w:pPr>
        <w:spacing w:after="0" w:line="170" w:lineRule="exact"/>
        <w:rPr>
          <w:rFonts w:ascii="Arial" w:cs="Arial" w:eastAsia="Arial" w:hAnsi="Arial"/>
          <w:sz w:val="18"/>
          <w:szCs w:val="18"/>
          <w:color w:val="auto"/>
        </w:rPr>
      </w:pPr>
    </w:p>
    <w:p>
      <w:pPr>
        <w:ind w:left="340" w:right="7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Appointed two new independent directors, Patrick Spangler and Bryan Archambault, and established an audit committee to continue to improve corporate governance.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2018 Financial Summary</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revenue in the first quarter of 2018 increased 91% to a record $4.1 million from $2.2 million in the same year-ago quarter. The increase was primarily due to revenue from OptimizeRx’s two core products of financial and brand messaging coupled with broader distribution with the company’s new channel partners. The launch of new pharmaceutical brands also contributed to the increase.</w:t>
      </w:r>
    </w:p>
    <w:p>
      <w:pPr>
        <w:spacing w:after="0" w:line="1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Gross margin improved to 51.2% in the first quarter of 2018 from 35.8% in the year-ago quarter. The improvement was due primarily to brand messaging products costs which decreased as a percentage of sales throughout 2017 as brand messaging volume increased. The company is focused on improving margins, targeting gross margin of at least 55% by the fourth quarter of 2018.</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Operating expenses in the first quarter of 2018 were $2.3 million, up from $1.7 million in the same year-ago quarter. The increase was primarily due to additional expenses related to growth initiatives, including in the company’s executive and sales team. However, operating expense as a percentage of revenue decreased to 56% as compared to 77% in the same year-ago quarter.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Net loss for the first quarter of 2018 was $189,000 or $(0.01) per share, as compared to a net loss of $883,000 or $(0.03) per share in the first quarter of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improvement in net loss was primarily due to the increase in revenue and decrease in operating expense as a percentage of revenue.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ind w:right="60"/>
        <w:spacing w:after="0" w:line="286" w:lineRule="auto"/>
        <w:rPr>
          <w:sz w:val="20"/>
          <w:szCs w:val="20"/>
          <w:color w:val="auto"/>
        </w:rPr>
      </w:pPr>
      <w:r>
        <w:rPr>
          <w:rFonts w:ascii="Arial" w:cs="Arial" w:eastAsia="Arial" w:hAnsi="Arial"/>
          <w:sz w:val="17"/>
          <w:szCs w:val="17"/>
          <w:color w:val="auto"/>
        </w:rPr>
        <w:t>Cash and cash equivalents totaled $4.3 million at March 31, 2018, as compared to $5.1 million at December 31, 2017. The decrease in cash was due to use of cash in operating activities, primarily a reduction in revenue share payable resulting from a change in payment terms with one of our partners. The company expects to have positive cashflow from operations in future quarters in 2018. The company continued to operate debt-free.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Q1, we achieved our sixth consecutive quarter of revenue growth as our topline increased 91%,” said William Febbo, CEO of OptimizeRx. “This strong performance was driven by growth across all of our messaging products as well a brand support. The sequential growth also means we bucked the typical seasonal downtick in Q1, which was largely due to exceptional execution by our sales team and account managers.</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big jump in gross margin to 51.2% was primarily due to increased brand messaging revenues which has a large fixed-cost component, and we expect to maintain if not expand gross margin throughout the year.</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“Q1 also demonstrated the substantial leverage in our operating model in how it supports greater market reach and revenue growth without lockstep increases in operating cost. This means, as we grow, we expect our operating expense as a percentage of revenue to continue to decrease as our cashflow from operations strengthens.</w:t>
      </w:r>
    </w:p>
    <w:p>
      <w:pPr>
        <w:spacing w:after="0" w:line="18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“Through to the end of the year, we expect our actual operating expenses to continue at the Q1 2018 level or perhaps only slightly above, as we further implement our business plan and expand our operations to grow the business in a very dynamic and active marketplace.</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effort will be supported by our strengthened ability to acquire, integrate and expand into new EHR, eRx and other platforms. In fact, in Q1 we launched with two EHRs and signed for the first time a clinical decision support tool used in both ambulatory and hospital settings. As a result, we have more master service agreements now more than ever, and we anticipate revenue from these channels to accelerate in 2018.</w:t>
      </w:r>
    </w:p>
    <w:p>
      <w:pPr>
        <w:spacing w:after="0" w:line="18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“We’ve received the approval of our board for a reverse stock split in order to meet the minimum price requirement for NASDAQ. It will be a one-for-three, and we expect to uplist within the next couple of months. We believe a NASDAQ listing will help broaden our shareholder base by increasing our appeal to both retail and institutional investors. We also expect it to provide investors with greater liquidity and ultimately increase shareholder value.</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“Driven by the launch of additional channels, brands and products, as well as the ongoing growth in our nationwide EHR network, we expect continued revenue growth in 2018. While we are focused on the top-line, we are also carefully managing our expenses. Together, we believe this will keep us on track to achieving profitability on quarterly basis by the end of the year.”</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presentation,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Wednesday, May 2,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1-800-263-0877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1-323-794-2094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4411468</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May 23, 2018, as well as available for replay via the Investors section of the OptimizeRx website at www.optimizerxcorp.com.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4411468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OptimizeRx® (OTCQB: OPRX) is the nation’s leading provider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education, and critical clinical information. The company’s network is comprised of leading EHR platforms like Allscripts, Amazing Charts and Quest, and provides more than half of the ambulatory market access to these benefits within their workflow at the point of care. For more information, follow the company on Twitter, LinkedIn or visit www.optimizerx.com.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right="820"/>
        <w:spacing w:after="0" w:line="300" w:lineRule="auto"/>
        <w:rPr>
          <w:sz w:val="20"/>
          <w:szCs w:val="20"/>
          <w:color w:val="auto"/>
        </w:rPr>
      </w:pPr>
      <w:r>
        <w:rPr>
          <w:rFonts w:ascii="Arial" w:cs="Arial" w:eastAsia="Arial" w:hAnsi="Arial"/>
          <w:sz w:val="15"/>
          <w:szCs w:val="15"/>
          <w:color w:val="auto"/>
        </w:rPr>
        <w:t>Cash and cash equivalents Accounts receivable</w:t>
      </w:r>
    </w:p>
    <w:p>
      <w:pPr>
        <w:spacing w:after="0" w:line="1" w:lineRule="exact"/>
        <w:rPr>
          <w:sz w:val="20"/>
          <w:szCs w:val="20"/>
          <w:color w:val="auto"/>
        </w:rPr>
      </w:pPr>
    </w:p>
    <w:p>
      <w:pPr>
        <w:ind w:right="160" w:firstLine="162"/>
        <w:spacing w:after="0" w:line="257" w:lineRule="auto"/>
        <w:rPr>
          <w:sz w:val="20"/>
          <w:szCs w:val="20"/>
          <w:color w:val="auto"/>
        </w:rPr>
      </w:pPr>
      <w:r>
        <w:rPr>
          <w:rFonts w:ascii="Arial" w:cs="Arial" w:eastAsia="Arial" w:hAnsi="Arial"/>
          <w:sz w:val="18"/>
          <w:szCs w:val="18"/>
          <w:color w:val="auto"/>
        </w:rPr>
        <w:t>Accounts receivable – related party Prepaid expenses</w:t>
      </w:r>
    </w:p>
    <w:p>
      <w:pPr>
        <w:spacing w:after="0" w:line="2" w:lineRule="exact"/>
        <w:rPr>
          <w:sz w:val="20"/>
          <w:szCs w:val="20"/>
          <w:color w:val="auto"/>
        </w:rPr>
      </w:pPr>
    </w:p>
    <w:p>
      <w:pPr>
        <w:ind w:right="840"/>
        <w:spacing w:after="0" w:line="325" w:lineRule="auto"/>
        <w:rPr>
          <w:sz w:val="20"/>
          <w:szCs w:val="20"/>
          <w:color w:val="auto"/>
        </w:rPr>
      </w:pPr>
      <w:r>
        <w:rPr>
          <w:rFonts w:ascii="Arial" w:cs="Arial" w:eastAsia="Arial" w:hAnsi="Arial"/>
          <w:sz w:val="16"/>
          <w:szCs w:val="16"/>
          <w:color w:val="auto"/>
        </w:rPr>
        <w:t>Total Current Assets Property and equipment, 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Patent rights, net</w:t>
      </w:r>
    </w:p>
    <w:p>
      <w:pPr>
        <w:spacing w:after="0" w:line="9" w:lineRule="exact"/>
        <w:rPr>
          <w:sz w:val="20"/>
          <w:szCs w:val="20"/>
          <w:color w:val="auto"/>
        </w:rPr>
      </w:pPr>
    </w:p>
    <w:p>
      <w:pPr>
        <w:ind w:left="180" w:right="700"/>
        <w:spacing w:after="0" w:line="257" w:lineRule="auto"/>
        <w:rPr>
          <w:sz w:val="20"/>
          <w:szCs w:val="20"/>
          <w:color w:val="auto"/>
        </w:rPr>
      </w:pPr>
      <w:r>
        <w:rPr>
          <w:rFonts w:ascii="Arial" w:cs="Arial" w:eastAsia="Arial" w:hAnsi="Arial"/>
          <w:sz w:val="18"/>
          <w:szCs w:val="18"/>
          <w:color w:val="auto"/>
        </w:rPr>
        <w:t>Web development costs, net Security deposit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Other 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 OF MARCH 31, 2018 AND DECEMBER 31, 2017</w:t>
      </w:r>
    </w:p>
    <w:p>
      <w:pPr>
        <w:spacing w:after="0" w:line="211"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March 31,</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30"/>
        </w:trPr>
        <w:tc>
          <w:tcPr>
            <w:tcW w:w="4900" w:type="dxa"/>
            <w:vAlign w:val="bottom"/>
            <w:gridSpan w:val="2"/>
            <w:vMerge w:val="restart"/>
          </w:tcPr>
          <w:p>
            <w:pPr>
              <w:jc w:val="right"/>
              <w:ind w:right="4240"/>
              <w:spacing w:after="0"/>
              <w:rPr>
                <w:sz w:val="20"/>
                <w:szCs w:val="20"/>
                <w:color w:val="auto"/>
              </w:rPr>
            </w:pPr>
            <w:r>
              <w:rPr>
                <w:rFonts w:ascii="Arial" w:cs="Arial" w:eastAsia="Arial" w:hAnsi="Arial"/>
                <w:sz w:val="18"/>
                <w:szCs w:val="18"/>
                <w:b w:val="1"/>
                <w:bCs w:val="1"/>
                <w:color w:val="auto"/>
                <w:w w:val="88"/>
              </w:rPr>
              <w:t>ASSETS</w:t>
            </w: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0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4,298,619</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5,122,573</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1,871,255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2,257,276</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1,974,143</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1,173,614</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191,413</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255,428</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8,335,430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8,808,891</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157,608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167,305</w:t>
            </w:r>
          </w:p>
        </w:tc>
        <w:tc>
          <w:tcPr>
            <w:tcW w:w="0" w:type="dxa"/>
            <w:vAlign w:val="bottom"/>
          </w:tcPr>
          <w:p>
            <w:pPr>
              <w:spacing w:after="0"/>
              <w:rPr>
                <w:sz w:val="1"/>
                <w:szCs w:val="1"/>
                <w:color w:val="auto"/>
              </w:rPr>
            </w:pPr>
          </w:p>
        </w:tc>
      </w:tr>
      <w:tr>
        <w:trPr>
          <w:trHeight w:val="418"/>
        </w:trPr>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621,793</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638,766</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152,493</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143,730</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5,049</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779,335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787,545</w:t>
            </w:r>
          </w:p>
        </w:tc>
        <w:tc>
          <w:tcPr>
            <w:tcW w:w="0" w:type="dxa"/>
            <w:vAlign w:val="bottom"/>
          </w:tcPr>
          <w:p>
            <w:pPr>
              <w:spacing w:after="0"/>
              <w:rPr>
                <w:sz w:val="1"/>
                <w:szCs w:val="1"/>
                <w:color w:val="auto"/>
              </w:rPr>
            </w:pPr>
          </w:p>
        </w:tc>
      </w:tr>
      <w:tr>
        <w:trPr>
          <w:trHeight w:val="250"/>
        </w:trPr>
        <w:tc>
          <w:tcPr>
            <w:tcW w:w="4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9,272,373</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9,763,741</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-1809115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-1534160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-1242695</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-934085</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-650875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-359410</wp:posOffset>
            </wp:positionV>
            <wp:extent cx="72466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880" w:space="720"/>
            <w:col w:w="7820"/>
          </w:cols>
          <w:pgMar w:left="240" w:top="904"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8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133,870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457,289</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549,656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953,947</w:t>
            </w: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898,478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1,177,136</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share payable – related party</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447,670</w:t>
            </w:r>
          </w:p>
        </w:tc>
        <w:tc>
          <w:tcPr>
            <w:tcW w:w="0" w:type="dxa"/>
            <w:vAlign w:val="bottom"/>
          </w:tcPr>
          <w:p>
            <w:pPr>
              <w:spacing w:after="0"/>
              <w:rPr>
                <w:sz w:val="1"/>
                <w:szCs w:val="1"/>
                <w:color w:val="auto"/>
              </w:rPr>
            </w:pPr>
          </w:p>
        </w:tc>
      </w:tr>
      <w:tr>
        <w:trPr>
          <w:trHeight w:val="237"/>
        </w:trPr>
        <w:tc>
          <w:tcPr>
            <w:tcW w:w="85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856,914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507,160</w:t>
            </w:r>
          </w:p>
        </w:tc>
        <w:tc>
          <w:tcPr>
            <w:tcW w:w="0" w:type="dxa"/>
            <w:vAlign w:val="bottom"/>
          </w:tcPr>
          <w:p>
            <w:pPr>
              <w:spacing w:after="0"/>
              <w:rPr>
                <w:sz w:val="1"/>
                <w:szCs w:val="1"/>
                <w:color w:val="auto"/>
              </w:rPr>
            </w:pPr>
          </w:p>
        </w:tc>
      </w:tr>
      <w:tr>
        <w:trPr>
          <w:trHeight w:val="236"/>
        </w:trPr>
        <w:tc>
          <w:tcPr>
            <w:tcW w:w="85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2,438,918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line="203" w:lineRule="exact"/>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5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Preferred stock, $0.001 par value, 10,000,000 shares authorized, no issued and outstanding at March 31, 2018 or</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2017</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540" w:type="dxa"/>
            <w:vAlign w:val="bottom"/>
          </w:tcPr>
          <w:p>
            <w:pPr>
              <w:ind w:left="160"/>
              <w:spacing w:after="0" w:line="201" w:lineRule="exact"/>
              <w:rPr>
                <w:sz w:val="20"/>
                <w:szCs w:val="20"/>
                <w:color w:val="auto"/>
              </w:rPr>
            </w:pPr>
            <w:r>
              <w:rPr>
                <w:rFonts w:ascii="Arial" w:cs="Arial" w:eastAsia="Arial" w:hAnsi="Arial"/>
                <w:sz w:val="18"/>
                <w:szCs w:val="18"/>
                <w:color w:val="auto"/>
                <w:w w:val="92"/>
              </w:rPr>
              <w:t>Common stock, $0.001 par value, 500,000,000 shares authorized, 29,636,831 and 29,318,081 shares issued and</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340"/>
              <w:spacing w:after="0"/>
              <w:rPr>
                <w:sz w:val="20"/>
                <w:szCs w:val="20"/>
                <w:color w:val="auto"/>
              </w:rPr>
            </w:pPr>
            <w:r>
              <w:rPr>
                <w:rFonts w:ascii="Arial" w:cs="Arial" w:eastAsia="Arial" w:hAnsi="Arial"/>
                <w:sz w:val="18"/>
                <w:szCs w:val="18"/>
                <w:color w:val="auto"/>
              </w:rPr>
              <w:t>outstanding at March 31, 2018 and December 31, 2017, respectively</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29,637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29,318</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warrants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1,286,424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1,286,424</w:t>
            </w: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36,211,722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35,267,919</w:t>
            </w:r>
          </w:p>
        </w:tc>
        <w:tc>
          <w:tcPr>
            <w:tcW w:w="0" w:type="dxa"/>
            <w:vAlign w:val="bottom"/>
          </w:tcPr>
          <w:p>
            <w:pPr>
              <w:spacing w:after="0"/>
              <w:rPr>
                <w:sz w:val="1"/>
                <w:szCs w:val="1"/>
                <w:color w:val="auto"/>
              </w:rPr>
            </w:pPr>
          </w:p>
        </w:tc>
      </w:tr>
      <w:tr>
        <w:trPr>
          <w:trHeight w:val="250"/>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(30,694,328)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(30,363,122)</w:t>
            </w: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6,833,455</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6,220,539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9,272,373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9,763,741</w:t>
            </w:r>
          </w:p>
        </w:tc>
        <w:tc>
          <w:tcPr>
            <w:tcW w:w="0" w:type="dxa"/>
            <w:vAlign w:val="bottom"/>
          </w:tcPr>
          <w:p>
            <w:pPr>
              <w:spacing w:after="0"/>
              <w:rPr>
                <w:sz w:val="1"/>
                <w:szCs w:val="1"/>
                <w:color w:val="auto"/>
              </w:rPr>
            </w:pPr>
          </w:p>
        </w:tc>
      </w:tr>
      <w:tr>
        <w:trPr>
          <w:trHeight w:val="21"/>
        </w:trPr>
        <w:tc>
          <w:tcPr>
            <w:tcW w:w="8540" w:type="dxa"/>
            <w:vAlign w:val="bottom"/>
            <w:tcBorders>
              <w:top w:val="single" w:sz="8" w:color="CCEEFF"/>
              <w:bottom w:val="single" w:sz="8" w:color="CCEEFF"/>
            </w:tcBorders>
            <w:vMerge w:val="restart"/>
          </w:tcPr>
          <w:p>
            <w:pPr>
              <w:ind w:left="5680"/>
              <w:spacing w:after="0"/>
              <w:rPr>
                <w:sz w:val="20"/>
                <w:szCs w:val="20"/>
                <w:color w:val="auto"/>
              </w:rPr>
            </w:pPr>
            <w:r>
              <w:rPr>
                <w:rFonts w:ascii="Arial" w:cs="Arial" w:eastAsia="Arial" w:hAnsi="Arial"/>
                <w:sz w:val="18"/>
                <w:szCs w:val="18"/>
                <w:color w:val="auto"/>
              </w:rPr>
              <w:t>4</w:t>
            </w: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54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211"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For the Three Months</w:t>
      </w:r>
    </w:p>
    <w:p>
      <w:pPr>
        <w:spacing w:after="0" w:line="2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3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4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$2,781,621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1,400,318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Revenue – Related Party</w:t>
            </w:r>
          </w:p>
        </w:tc>
        <w:tc>
          <w:tcPr>
            <w:tcW w:w="4500" w:type="dxa"/>
            <w:vAlign w:val="bottom"/>
            <w:gridSpan w:val="3"/>
          </w:tcPr>
          <w:p>
            <w:pPr>
              <w:jc w:val="right"/>
              <w:ind w:right="100"/>
              <w:spacing w:after="0"/>
              <w:rPr>
                <w:sz w:val="20"/>
                <w:szCs w:val="20"/>
                <w:color w:val="auto"/>
              </w:rPr>
            </w:pPr>
            <w:r>
              <w:rPr>
                <w:rFonts w:ascii="Arial" w:cs="Arial" w:eastAsia="Arial" w:hAnsi="Arial"/>
                <w:sz w:val="18"/>
                <w:szCs w:val="18"/>
                <w:color w:val="auto"/>
              </w:rPr>
              <w:t>1,330,616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3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4,112,237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2,152,073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REVENUE SHARE EXPENSE</w:t>
            </w:r>
          </w:p>
        </w:tc>
        <w:tc>
          <w:tcPr>
            <w:tcW w:w="4500" w:type="dxa"/>
            <w:vAlign w:val="bottom"/>
            <w:gridSpan w:val="3"/>
          </w:tcPr>
          <w:p>
            <w:pPr>
              <w:jc w:val="right"/>
              <w:ind w:right="100"/>
              <w:spacing w:after="0"/>
              <w:rPr>
                <w:sz w:val="20"/>
                <w:szCs w:val="20"/>
                <w:color w:val="auto"/>
              </w:rPr>
            </w:pPr>
            <w:r>
              <w:rPr>
                <w:rFonts w:ascii="Arial" w:cs="Arial" w:eastAsia="Arial" w:hAnsi="Arial"/>
                <w:sz w:val="18"/>
                <w:szCs w:val="18"/>
                <w:color w:val="auto"/>
              </w:rPr>
              <w:t>2,008,092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GROSS MARGIN</w:t>
            </w:r>
          </w:p>
        </w:tc>
        <w:tc>
          <w:tcPr>
            <w:tcW w:w="4500" w:type="dxa"/>
            <w:vAlign w:val="bottom"/>
            <w:gridSpan w:val="3"/>
          </w:tcPr>
          <w:p>
            <w:pPr>
              <w:jc w:val="right"/>
              <w:ind w:right="100"/>
              <w:spacing w:after="0"/>
              <w:rPr>
                <w:sz w:val="20"/>
                <w:szCs w:val="20"/>
                <w:color w:val="auto"/>
              </w:rPr>
            </w:pPr>
            <w:r>
              <w:rPr>
                <w:rFonts w:ascii="Arial" w:cs="Arial" w:eastAsia="Arial" w:hAnsi="Arial"/>
                <w:sz w:val="18"/>
                <w:szCs w:val="18"/>
                <w:color w:val="auto"/>
              </w:rPr>
              <w:t>2,104,145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770,340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OPERATING EXPENSES</w:t>
            </w:r>
          </w:p>
        </w:tc>
        <w:tc>
          <w:tcPr>
            <w:tcW w:w="4500" w:type="dxa"/>
            <w:vAlign w:val="bottom"/>
            <w:gridSpan w:val="3"/>
          </w:tcPr>
          <w:p>
            <w:pPr>
              <w:jc w:val="right"/>
              <w:ind w:right="100"/>
              <w:spacing w:after="0"/>
              <w:rPr>
                <w:sz w:val="20"/>
                <w:szCs w:val="20"/>
                <w:color w:val="auto"/>
              </w:rPr>
            </w:pPr>
            <w:r>
              <w:rPr>
                <w:rFonts w:ascii="Arial" w:cs="Arial" w:eastAsia="Arial" w:hAnsi="Arial"/>
                <w:sz w:val="18"/>
                <w:szCs w:val="18"/>
                <w:color w:val="auto"/>
              </w:rPr>
              <w:t>2,295,341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1,660,778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ind w:left="180"/>
        <w:spacing w:after="0"/>
        <w:rPr>
          <w:sz w:val="20"/>
          <w:szCs w:val="20"/>
          <w:color w:val="auto"/>
        </w:rPr>
      </w:pPr>
      <w:r>
        <w:rPr>
          <w:rFonts w:ascii="Arial" w:cs="Arial" w:eastAsia="Arial" w:hAnsi="Arial"/>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Interest Expense</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LOSS BEFORE PROVISION FOR INCOME TAXES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(191,196)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(890,438)</w:t>
            </w:r>
          </w:p>
        </w:tc>
      </w:tr>
      <w:tr>
        <w:trPr>
          <w:trHeight w:val="633"/>
        </w:trPr>
        <w:tc>
          <w:tcPr>
            <w:tcW w:w="30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7,756</w:t>
            </w:r>
          </w:p>
        </w:tc>
        <w:tc>
          <w:tcPr>
            <w:tcW w:w="40" w:type="dxa"/>
            <w:vAlign w:val="bottom"/>
          </w:tcPr>
          <w:p>
            <w:pPr>
              <w:spacing w:after="0"/>
              <w:rPr>
                <w:sz w:val="24"/>
                <w:szCs w:val="24"/>
                <w:color w:val="auto"/>
              </w:rPr>
            </w:pPr>
          </w:p>
        </w:tc>
      </w:tr>
      <w:tr>
        <w:trPr>
          <w:trHeight w:val="237"/>
        </w:trPr>
        <w:tc>
          <w:tcPr>
            <w:tcW w:w="3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(189,179)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(882,682)</w:t>
            </w:r>
          </w:p>
        </w:tc>
        <w:tc>
          <w:tcPr>
            <w:tcW w:w="40" w:type="dxa"/>
            <w:vAlign w:val="bottom"/>
          </w:tcPr>
          <w:p>
            <w:pPr>
              <w:spacing w:after="0"/>
              <w:rPr>
                <w:sz w:val="18"/>
                <w:szCs w:val="18"/>
                <w:color w:val="auto"/>
              </w:rPr>
            </w:pPr>
          </w:p>
        </w:tc>
      </w:tr>
      <w:tr>
        <w:trPr>
          <w:trHeight w:val="237"/>
        </w:trPr>
        <w:tc>
          <w:tcPr>
            <w:tcW w:w="3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0"/>
        </w:trPr>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(189,179</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(882,682</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8100" w:space="720"/>
            <w:col w:w="260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29,358,081</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29,718,867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LOSS PER SHARE</w:t>
            </w:r>
          </w:p>
        </w:tc>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4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040" w:type="dxa"/>
            <w:vAlign w:val="bottom"/>
            <w:gridSpan w:val="2"/>
          </w:tcPr>
          <w:p>
            <w:pPr>
              <w:jc w:val="right"/>
              <w:ind w:right="40"/>
              <w:spacing w:after="0" w:line="256" w:lineRule="exact"/>
              <w:rPr>
                <w:sz w:val="20"/>
                <w:szCs w:val="20"/>
                <w:color w:val="auto"/>
              </w:rPr>
            </w:pPr>
            <w:r>
              <w:rPr>
                <w:rFonts w:ascii="Arial" w:cs="Arial" w:eastAsia="Arial" w:hAnsi="Arial"/>
                <w:sz w:val="16"/>
                <w:szCs w:val="16"/>
                <w:color w:val="auto"/>
              </w:rPr>
              <w:t>(0.03</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40" w:type="dxa"/>
            <w:vAlign w:val="bottom"/>
            <w:vMerge w:val="restart"/>
          </w:tcPr>
          <w:p>
            <w:pPr>
              <w:jc w:val="right"/>
              <w:ind w:right="2970"/>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20"/>
              <w:spacing w:after="0"/>
              <w:rPr>
                <w:sz w:val="20"/>
                <w:szCs w:val="20"/>
                <w:color w:val="auto"/>
              </w:rPr>
            </w:pPr>
            <w:r>
              <w:rPr>
                <w:rFonts w:ascii="Arial" w:cs="Arial" w:eastAsia="Arial" w:hAnsi="Arial"/>
                <w:sz w:val="18"/>
                <w:szCs w:val="18"/>
                <w:color w:val="auto"/>
              </w:rPr>
              <w:t>For the Three Months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660"/>
              <w:spacing w:after="0"/>
              <w:rPr>
                <w:sz w:val="20"/>
                <w:szCs w:val="20"/>
                <w:color w:val="auto"/>
              </w:rPr>
            </w:pPr>
            <w:r>
              <w:rPr>
                <w:rFonts w:ascii="Arial" w:cs="Arial" w:eastAsia="Arial" w:hAnsi="Arial"/>
                <w:sz w:val="18"/>
                <w:szCs w:val="18"/>
                <w:color w:val="auto"/>
              </w:rPr>
              <w:t>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for the period</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(189,179)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54,473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Stock and options issued for services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497,122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129,444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(414,508)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253,074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(323,419)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161,228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 share payable</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(279,328)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(404,291)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(230,975)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207,727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12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(787,388</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(297,236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Development costs</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(32,763)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p>
      <w:pPr>
        <w:spacing w:after="0" w:line="211" w:lineRule="exact"/>
        <w:rPr>
          <w:sz w:val="20"/>
          <w:szCs w:val="20"/>
          <w:color w:val="auto"/>
        </w:rPr>
      </w:pPr>
    </w:p>
    <w:p>
      <w:pPr>
        <w:ind w:right="2740"/>
        <w:spacing w:after="0" w:line="281" w:lineRule="auto"/>
        <w:rPr>
          <w:sz w:val="20"/>
          <w:szCs w:val="20"/>
          <w:color w:val="auto"/>
        </w:rPr>
      </w:pPr>
      <w:r>
        <w:rPr>
          <w:rFonts w:ascii="Arial" w:cs="Arial" w:eastAsia="Arial" w:hAnsi="Arial"/>
          <w:sz w:val="17"/>
          <w:szCs w:val="17"/>
          <w:color w:val="auto"/>
        </w:rPr>
        <w:t>NET INCREASE (DECREASE) IN CASH AND CASH EQUIVALENTS CASH AND CASH EQUIVALENTS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AND CASH EQUIVALENTS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both"/>
        <w:ind w:left="500"/>
        <w:spacing w:after="0"/>
        <w:tabs>
          <w:tab w:leader="none" w:pos="1820" w:val="left"/>
        </w:tabs>
        <w:rPr>
          <w:sz w:val="20"/>
          <w:szCs w:val="20"/>
          <w:color w:val="auto"/>
        </w:rPr>
      </w:pPr>
      <w:r>
        <w:rPr>
          <w:rFonts w:ascii="Arial" w:cs="Arial" w:eastAsia="Arial" w:hAnsi="Arial"/>
          <w:sz w:val="18"/>
          <w:szCs w:val="18"/>
          <w:color w:val="auto"/>
        </w:rPr>
        <w:t>(823,954)</w:t>
      </w:r>
      <w:r>
        <w:rPr>
          <w:sz w:val="20"/>
          <w:szCs w:val="20"/>
          <w:color w:val="auto"/>
        </w:rPr>
        <w:tab/>
      </w:r>
      <w:r>
        <w:rPr>
          <w:rFonts w:ascii="Arial" w:cs="Arial" w:eastAsia="Arial" w:hAnsi="Arial"/>
          <w:sz w:val="18"/>
          <w:szCs w:val="18"/>
          <w:color w:val="auto"/>
        </w:rPr>
        <w:t>(313,382)</w:t>
      </w:r>
    </w:p>
    <w:p>
      <w:pPr>
        <w:spacing w:after="0" w:line="23" w:lineRule="exact"/>
        <w:rPr>
          <w:sz w:val="20"/>
          <w:szCs w:val="20"/>
          <w:color w:val="auto"/>
        </w:rPr>
      </w:pPr>
    </w:p>
    <w:p>
      <w:pPr>
        <w:ind w:left="420"/>
        <w:spacing w:after="0"/>
        <w:tabs>
          <w:tab w:leader="none" w:pos="1760" w:val="left"/>
        </w:tabs>
        <w:rPr>
          <w:sz w:val="20"/>
          <w:szCs w:val="20"/>
          <w:color w:val="auto"/>
        </w:rPr>
      </w:pPr>
      <w:r>
        <w:rPr>
          <w:rFonts w:ascii="Arial" w:cs="Arial" w:eastAsia="Arial" w:hAnsi="Arial"/>
          <w:sz w:val="17"/>
          <w:szCs w:val="17"/>
          <w:color w:val="auto"/>
        </w:rPr>
        <w:t>5,122,573</w:t>
      </w:r>
      <w:r>
        <w:rPr>
          <w:sz w:val="20"/>
          <w:szCs w:val="20"/>
          <w:color w:val="auto"/>
        </w:rPr>
        <w:tab/>
      </w:r>
      <w:r>
        <w:rPr>
          <w:rFonts w:ascii="Arial" w:cs="Arial" w:eastAsia="Arial" w:hAnsi="Arial"/>
          <w:sz w:val="17"/>
          <w:szCs w:val="17"/>
          <w:color w:val="auto"/>
        </w:rPr>
        <w:t>7,034,647</w:t>
      </w:r>
    </w:p>
    <w:p>
      <w:pPr>
        <w:spacing w:after="0" w:line="74" w:lineRule="exact"/>
        <w:rPr>
          <w:sz w:val="20"/>
          <w:szCs w:val="20"/>
          <w:color w:val="auto"/>
        </w:rPr>
      </w:pPr>
    </w:p>
    <w:p>
      <w:pPr>
        <w:spacing w:after="0"/>
        <w:tabs>
          <w:tab w:leader="none" w:pos="400" w:val="left"/>
          <w:tab w:leader="none" w:pos="1340" w:val="left"/>
          <w:tab w:leader="none" w:pos="1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4,298,619</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6,721,265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89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540" w:lineRule="exact"/>
        <w:rPr>
          <w:sz w:val="20"/>
          <w:szCs w:val="20"/>
          <w:color w:val="auto"/>
        </w:rPr>
      </w:pPr>
    </w:p>
    <w:p>
      <w:pPr>
        <w:sectPr>
          <w:pgSz w:w="11900" w:h="16838" w:orient="portrait"/>
          <w:cols w:equalWidth="0" w:num="2">
            <w:col w:w="8100" w:space="720"/>
            <w:col w:w="260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4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49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2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4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vMerge w:val="continue"/>
          </w:tcPr>
          <w:p>
            <w:pPr>
              <w:spacing w:after="0"/>
              <w:rPr>
                <w:sz w:val="22"/>
                <w:szCs w:val="22"/>
                <w:color w:val="auto"/>
              </w:rPr>
            </w:pPr>
          </w:p>
        </w:tc>
        <w:tc>
          <w:tcPr>
            <w:tcW w:w="4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Non-cash issuance of shares to WPP</w:t>
            </w:r>
          </w:p>
        </w:tc>
        <w:tc>
          <w:tcPr>
            <w:tcW w:w="45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4580" w:type="dxa"/>
            <w:vAlign w:val="bottom"/>
            <w:vMerge w:val="restart"/>
          </w:tcPr>
          <w:p>
            <w:pPr>
              <w:jc w:val="right"/>
              <w:ind w:right="2970"/>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contact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165735</wp:posOffset>
            </wp:positionV>
            <wp:extent cx="2152650" cy="4286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26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Announces $9 Million Private Placement</w:t>
      </w:r>
    </w:p>
    <w:p>
      <w:pPr>
        <w:spacing w:after="0" w:line="225"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 xml:space="preserve">ROCHESTER, Mich., (May 2, 2018) — </w:t>
      </w:r>
      <w:r>
        <w:rPr>
          <w:rFonts w:ascii="Arial" w:cs="Arial" w:eastAsia="Arial" w:hAnsi="Arial"/>
          <w:sz w:val="18"/>
          <w:szCs w:val="18"/>
          <w:color w:val="auto"/>
        </w:rPr>
        <w:t>OptimizeRx Corp. (OTCQB: OPRX), the nation’s leading provider of digital health messaging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industry, has entered into a definitive agreement with two institutional investors and a large family office for a private offering of common stock.</w:t>
      </w:r>
    </w:p>
    <w:p>
      <w:pPr>
        <w:spacing w:after="0" w:line="1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OptimizeRx will issue 5 million shares of its common stock to the investors at $1.80 per share, resulting in aggregate gross proceeds of $9 million to the company. The company intends to use the proceeds for general corporate purposes.</w:t>
      </w:r>
    </w:p>
    <w:p>
      <w:pPr>
        <w:spacing w:after="0" w:line="170"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“Our record Q1 results demonstrate the strong momentum in our business, including growth in pharma brands, channel partners, and healthcare providers on the OptimizeRx network,” said OptimizeRx CEO, William Febbo. “We expect to use some of the proceeds from this capital raise to fund additional sales and channel investments in our core ambulatory market, where we continue to demonstrate high ROI for our pharma clients’ marketing spend. It will also support our further expansion into the hospital channel, which represents a significant growth opportunity.”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Lake Street Capital Markets is acting as the sole placement agent, with B. Riley FBR acting as an advisor to the transaction.</w:t>
      </w:r>
    </w:p>
    <w:p>
      <w:pPr>
        <w:spacing w:after="0" w:line="22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OptimizeRx® (OTCQB: OPRX) is the nation’s leading provider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education, and critical clinical information. The company’s network is comprised of leading EHR platforms like Allscripts, Amazing Charts and Quest, and provides more than half of the ambulatory market access to these benefits within their workflow at the point of care. For more information, follow the company on Twitter, LinkedIn or visit www.optimizerx.com.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2019-12-28T22:49:16Z</dcterms:created>
  <dcterms:modified xsi:type="dcterms:W3CDTF">2019-12-28T22:49:16Z</dcterms:modified>
</cp:coreProperties>
</file>