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(Amendment No.)*</w:t>
      </w:r>
    </w:p>
    <w:p>
      <w:pPr>
        <w:spacing w:after="0" w:line="200" w:lineRule="exact"/>
        <w:rPr>
          <w:sz w:val="24"/>
          <w:szCs w:val="24"/>
          <w:color w:val="auto"/>
        </w:rPr>
      </w:pPr>
    </w:p>
    <w:p>
      <w:pPr>
        <w:spacing w:after="0" w:line="2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right="8560" w:firstLine="4"/>
        <w:spacing w:after="0" w:line="500" w:lineRule="auto"/>
        <w:tabs>
          <w:tab w:leader="none" w:pos="15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 [ ] Rule 13d-1(c)</w:t>
      </w:r>
    </w:p>
    <w:p>
      <w:pPr>
        <w:spacing w:after="0" w:line="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4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198"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Samjo Management, LLC</w:t>
      </w: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right="6080" w:hanging="895"/>
        <w:spacing w:after="0" w:line="53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790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62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545,600</w:t>
      </w:r>
    </w:p>
    <w:p>
      <w:pPr>
        <w:spacing w:after="0" w:line="1" w:lineRule="exact"/>
        <w:rPr>
          <w:rFonts w:ascii="Times New Roman" w:cs="Times New Roman" w:eastAsia="Times New Roman" w:hAnsi="Times New Roman"/>
          <w:sz w:val="18"/>
          <w:szCs w:val="18"/>
          <w:color w:val="auto"/>
        </w:rPr>
      </w:pPr>
    </w:p>
    <w:p>
      <w:pPr>
        <w:ind w:left="900" w:right="750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22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1,044,800</w:t>
      </w:r>
    </w:p>
    <w:p>
      <w:pPr>
        <w:spacing w:after="0" w:line="1" w:lineRule="exact"/>
        <w:rPr>
          <w:rFonts w:ascii="Times New Roman" w:cs="Times New Roman" w:eastAsia="Times New Roman" w:hAnsi="Times New Roman"/>
          <w:sz w:val="18"/>
          <w:szCs w:val="18"/>
          <w:color w:val="auto"/>
        </w:rPr>
      </w:pPr>
    </w:p>
    <w:p>
      <w:pPr>
        <w:ind w:left="900" w:right="320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1,044,800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00" w:right="470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5.7%</w:t>
      </w:r>
    </w:p>
    <w:p>
      <w:pPr>
        <w:spacing w:after="0" w:line="1" w:lineRule="exact"/>
        <w:rPr>
          <w:rFonts w:ascii="Times New Roman" w:cs="Times New Roman" w:eastAsia="Times New Roman" w:hAnsi="Times New Roman"/>
          <w:sz w:val="18"/>
          <w:szCs w:val="18"/>
          <w:color w:val="auto"/>
        </w:rPr>
      </w:pPr>
    </w:p>
    <w:p>
      <w:pPr>
        <w:ind w:left="900" w:right="5420" w:hanging="895"/>
        <w:spacing w:after="0" w:line="53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68401U204</w:t>
            </w:r>
          </w:p>
        </w:tc>
      </w:tr>
    </w:tbl>
    <w:p>
      <w:pPr>
        <w:spacing w:after="0" w:line="198" w:lineRule="exact"/>
        <w:rPr>
          <w:sz w:val="20"/>
          <w:szCs w:val="20"/>
          <w:color w:val="auto"/>
        </w:rPr>
      </w:pPr>
    </w:p>
    <w:p>
      <w:pPr>
        <w:ind w:left="900" w:hanging="8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Andrew N. Wiener</w:t>
      </w:r>
    </w:p>
    <w:p>
      <w:pPr>
        <w:ind w:left="900" w:hanging="8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right="6080" w:hanging="895"/>
        <w:spacing w:after="0" w:line="53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900" w:right="790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62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545,600</w:t>
      </w:r>
    </w:p>
    <w:p>
      <w:pPr>
        <w:spacing w:after="0" w:line="1" w:lineRule="exact"/>
        <w:rPr>
          <w:rFonts w:ascii="Times New Roman" w:cs="Times New Roman" w:eastAsia="Times New Roman" w:hAnsi="Times New Roman"/>
          <w:sz w:val="18"/>
          <w:szCs w:val="18"/>
          <w:color w:val="auto"/>
        </w:rPr>
      </w:pPr>
    </w:p>
    <w:p>
      <w:pPr>
        <w:ind w:left="900" w:right="750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22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1,044,800</w:t>
      </w:r>
    </w:p>
    <w:p>
      <w:pPr>
        <w:spacing w:after="0" w:line="1" w:lineRule="exact"/>
        <w:rPr>
          <w:rFonts w:ascii="Times New Roman" w:cs="Times New Roman" w:eastAsia="Times New Roman" w:hAnsi="Times New Roman"/>
          <w:sz w:val="18"/>
          <w:szCs w:val="18"/>
          <w:color w:val="auto"/>
        </w:rPr>
      </w:pPr>
    </w:p>
    <w:p>
      <w:pPr>
        <w:ind w:left="900" w:right="320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1,044,800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00" w:right="4700" w:hanging="895"/>
        <w:spacing w:after="0" w:line="500"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5.7%</w:t>
      </w:r>
    </w:p>
    <w:p>
      <w:pPr>
        <w:spacing w:after="0" w:line="1" w:lineRule="exact"/>
        <w:rPr>
          <w:rFonts w:ascii="Times New Roman" w:cs="Times New Roman" w:eastAsia="Times New Roman" w:hAnsi="Times New Roman"/>
          <w:sz w:val="18"/>
          <w:szCs w:val="18"/>
          <w:color w:val="auto"/>
        </w:rPr>
      </w:pPr>
    </w:p>
    <w:p>
      <w:pPr>
        <w:ind w:left="900" w:right="5420" w:hanging="895"/>
        <w:spacing w:after="0" w:line="53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420" w:top="688" w:right="8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500" w:type="dxa"/>
            <w:vAlign w:val="bottom"/>
          </w:tcPr>
          <w:p>
            <w:pPr>
              <w:spacing w:after="0"/>
              <w:rPr>
                <w:sz w:val="20"/>
                <w:szCs w:val="20"/>
                <w:color w:val="auto"/>
              </w:rPr>
            </w:pPr>
          </w:p>
        </w:tc>
        <w:tc>
          <w:tcPr>
            <w:tcW w:w="24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68401U204</w:t>
            </w: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6"/>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Name of Issuer: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OptimizeRx Corporation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6"/>
        </w:trPr>
        <w:tc>
          <w:tcPr>
            <w:tcW w:w="108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4"/>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260 Charles Street, Suite 302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Waltham, MA 02453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6"/>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person filing: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4"/>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Samjo Management, LLC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Andrew N. Wiener</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or principal business office or, if none, residence: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7"/>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Samjo Management, LLC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3"/>
        </w:trPr>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80" w:type="dxa"/>
            <w:vAlign w:val="bottom"/>
            <w:gridSpan w:val="2"/>
          </w:tcPr>
          <w:p>
            <w:pPr>
              <w:ind w:left="100"/>
              <w:spacing w:after="0" w:line="252" w:lineRule="exact"/>
              <w:rPr>
                <w:sz w:val="20"/>
                <w:szCs w:val="20"/>
                <w:color w:val="auto"/>
              </w:rPr>
            </w:pPr>
            <w:r>
              <w:rPr>
                <w:rFonts w:ascii="Times New Roman" w:cs="Times New Roman" w:eastAsia="Times New Roman" w:hAnsi="Times New Roman"/>
                <w:sz w:val="18"/>
                <w:szCs w:val="18"/>
                <w:color w:val="auto"/>
              </w:rPr>
              <w:t>880 Third Avenue,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Andrew N. Wiener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Samjo Management, LLC</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3"/>
        </w:trPr>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80" w:type="dxa"/>
            <w:vAlign w:val="bottom"/>
            <w:gridSpan w:val="2"/>
          </w:tcPr>
          <w:p>
            <w:pPr>
              <w:ind w:left="100"/>
              <w:spacing w:after="0" w:line="252" w:lineRule="exact"/>
              <w:rPr>
                <w:sz w:val="20"/>
                <w:szCs w:val="20"/>
                <w:color w:val="auto"/>
              </w:rPr>
            </w:pPr>
            <w:r>
              <w:rPr>
                <w:rFonts w:ascii="Times New Roman" w:cs="Times New Roman" w:eastAsia="Times New Roman" w:hAnsi="Times New Roman"/>
                <w:sz w:val="18"/>
                <w:szCs w:val="18"/>
                <w:color w:val="auto"/>
              </w:rPr>
              <w:t>880 Third Avenue,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426"/>
        </w:trPr>
        <w:tc>
          <w:tcPr>
            <w:tcW w:w="108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Citizenship:</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4"/>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Samjo Management, LLC – Delaware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Andrew N. Wiener – United States of America</w:t>
            </w:r>
          </w:p>
        </w:tc>
        <w:tc>
          <w:tcPr>
            <w:tcW w:w="12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425"/>
        </w:trPr>
        <w:tc>
          <w:tcPr>
            <w:tcW w:w="108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12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425"/>
        </w:trPr>
        <w:tc>
          <w:tcPr>
            <w:tcW w:w="108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68401U204</w:t>
            </w:r>
          </w:p>
        </w:tc>
        <w:tc>
          <w:tcPr>
            <w:tcW w:w="12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473"/>
        </w:trPr>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ind w:left="100"/>
        <w:spacing w:after="0"/>
        <w:tabs>
          <w:tab w:leader="none" w:pos="12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225" w:lineRule="exact"/>
        <w:rPr>
          <w:sz w:val="20"/>
          <w:szCs w:val="20"/>
          <w:color w:val="auto"/>
        </w:rPr>
      </w:pPr>
    </w:p>
    <w:p>
      <w:pPr>
        <w:ind w:left="2020" w:hanging="781"/>
        <w:spacing w:after="0"/>
        <w:tabs>
          <w:tab w:leader="none" w:pos="2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Exchange Act (15 U.S.C. 78c).</w:t>
      </w:r>
    </w:p>
    <w:p>
      <w:pPr>
        <w:spacing w:after="0" w:line="225" w:lineRule="exact"/>
        <w:rPr>
          <w:rFonts w:ascii="Times New Roman" w:cs="Times New Roman" w:eastAsia="Times New Roman" w:hAnsi="Times New Roman"/>
          <w:sz w:val="18"/>
          <w:szCs w:val="18"/>
          <w:color w:val="auto"/>
        </w:rPr>
      </w:pPr>
    </w:p>
    <w:p>
      <w:pPr>
        <w:ind w:left="2020" w:hanging="781"/>
        <w:spacing w:after="0"/>
        <w:tabs>
          <w:tab w:leader="none" w:pos="2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[_]Bank as defined in Section 3(a)(6) of the Exchange Act (15 U.S.C. 78c).</w:t>
      </w:r>
    </w:p>
    <w:p>
      <w:pPr>
        <w:spacing w:after="0" w:line="225" w:lineRule="exact"/>
        <w:rPr>
          <w:rFonts w:ascii="Times New Roman" w:cs="Times New Roman" w:eastAsia="Times New Roman" w:hAnsi="Times New Roman"/>
          <w:sz w:val="18"/>
          <w:szCs w:val="18"/>
          <w:color w:val="auto"/>
        </w:rPr>
      </w:pPr>
    </w:p>
    <w:p>
      <w:pPr>
        <w:ind w:left="2020" w:hanging="781"/>
        <w:spacing w:after="0"/>
        <w:tabs>
          <w:tab w:leader="none" w:pos="2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[_]Insurance company as defined in Section 3(a)(19) of the Exchange Act (15 U.S.C. 78c).</w:t>
      </w:r>
    </w:p>
    <w:p>
      <w:pPr>
        <w:spacing w:after="0" w:line="225" w:lineRule="exact"/>
        <w:rPr>
          <w:rFonts w:ascii="Times New Roman" w:cs="Times New Roman" w:eastAsia="Times New Roman" w:hAnsi="Times New Roman"/>
          <w:sz w:val="18"/>
          <w:szCs w:val="18"/>
          <w:color w:val="auto"/>
        </w:rPr>
      </w:pPr>
    </w:p>
    <w:p>
      <w:pPr>
        <w:ind w:left="2020" w:hanging="781"/>
        <w:spacing w:after="0"/>
        <w:tabs>
          <w:tab w:leader="none" w:pos="2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020" w:hanging="781"/>
        <w:spacing w:after="0"/>
        <w:tabs>
          <w:tab w:leader="none" w:pos="2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2020" w:hanging="781"/>
        <w:spacing w:after="0"/>
        <w:tabs>
          <w:tab w:leader="none" w:pos="2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2020" w:hanging="781"/>
        <w:spacing w:after="0"/>
        <w:tabs>
          <w:tab w:leader="none" w:pos="2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2020" w:hanging="781"/>
        <w:spacing w:after="0"/>
        <w:tabs>
          <w:tab w:leader="none" w:pos="2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savings association as defined in Section 3(b) of the Federal Deposit Insurance Act (12 U.S.C.1813);</w:t>
      </w:r>
    </w:p>
    <w:p>
      <w:pPr>
        <w:spacing w:after="0" w:line="225" w:lineRule="exact"/>
        <w:rPr>
          <w:rFonts w:ascii="Times New Roman" w:cs="Times New Roman" w:eastAsia="Times New Roman" w:hAnsi="Times New Roman"/>
          <w:sz w:val="18"/>
          <w:szCs w:val="18"/>
          <w:color w:val="auto"/>
        </w:rPr>
      </w:pPr>
    </w:p>
    <w:p>
      <w:pPr>
        <w:ind w:left="2800" w:right="760" w:hanging="1561"/>
        <w:spacing w:after="0" w:line="282" w:lineRule="auto"/>
        <w:tabs>
          <w:tab w:leader="none" w:pos="20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spacing w:after="0" w:line="378" w:lineRule="exact"/>
        <w:rPr>
          <w:sz w:val="20"/>
          <w:szCs w:val="20"/>
          <w:color w:val="auto"/>
        </w:rPr>
      </w:pPr>
    </w:p>
    <w:p>
      <w:pPr>
        <w:ind w:left="1240"/>
        <w:spacing w:after="0"/>
        <w:tabs>
          <w:tab w:leader="none" w:pos="2000" w:val="left"/>
          <w:tab w:leader="none" w:pos="278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[_]</w:t>
      </w:r>
      <w:r>
        <w:rPr>
          <w:sz w:val="20"/>
          <w:szCs w:val="20"/>
          <w:color w:val="auto"/>
        </w:rPr>
        <w:tab/>
      </w:r>
      <w:r>
        <w:rPr>
          <w:rFonts w:ascii="Times New Roman" w:cs="Times New Roman" w:eastAsia="Times New Roman" w:hAnsi="Times New Roman"/>
          <w:sz w:val="18"/>
          <w:szCs w:val="18"/>
          <w:color w:val="auto"/>
        </w:rPr>
        <w:t>A non-U.S. institution in accordance with s.240.13d-1(b)(ii)(J); If filing as a non-U.S. institution in accordance</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with s.240.13d-1(b)(ii)(J), please specify the type of institution: _____</w:t>
      </w:r>
    </w:p>
    <w:p>
      <w:pPr>
        <w:spacing w:after="0" w:line="207" w:lineRule="exact"/>
        <w:rPr>
          <w:sz w:val="20"/>
          <w:szCs w:val="20"/>
          <w:color w:val="auto"/>
        </w:rPr>
      </w:pPr>
    </w:p>
    <w:p>
      <w:pPr>
        <w:ind w:left="2020" w:hanging="781"/>
        <w:spacing w:after="0"/>
        <w:tabs>
          <w:tab w:leader="none" w:pos="2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[_]Group, in accordance with s.240.13d-1(b)(1)(ii)(K).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20" w:hanging="781"/>
        <w:spacing w:after="0"/>
        <w:tabs>
          <w:tab w:leader="none" w:pos="2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2020" w:right="6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Samjo Management, LLC – 1,044,800 Andrew N. Wiener – 1,044,800</w:t>
      </w:r>
    </w:p>
    <w:p>
      <w:pPr>
        <w:spacing w:after="0" w:line="175" w:lineRule="exact"/>
        <w:rPr>
          <w:rFonts w:ascii="Times New Roman" w:cs="Times New Roman" w:eastAsia="Times New Roman" w:hAnsi="Times New Roman"/>
          <w:sz w:val="18"/>
          <w:szCs w:val="18"/>
          <w:color w:val="auto"/>
        </w:rPr>
      </w:pPr>
    </w:p>
    <w:p>
      <w:pPr>
        <w:ind w:left="2020" w:hanging="781"/>
        <w:spacing w:after="0"/>
        <w:tabs>
          <w:tab w:leader="none" w:pos="2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2020" w:right="6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Samjo Management, LLC – 5.7% Andrew N. Wiener – 5.7%</w:t>
      </w:r>
    </w:p>
    <w:p>
      <w:pPr>
        <w:spacing w:after="0" w:line="175" w:lineRule="exact"/>
        <w:rPr>
          <w:rFonts w:ascii="Times New Roman" w:cs="Times New Roman" w:eastAsia="Times New Roman" w:hAnsi="Times New Roman"/>
          <w:sz w:val="18"/>
          <w:szCs w:val="18"/>
          <w:color w:val="auto"/>
        </w:rPr>
      </w:pPr>
    </w:p>
    <w:p>
      <w:pPr>
        <w:ind w:left="2020" w:hanging="781"/>
        <w:spacing w:after="0"/>
        <w:tabs>
          <w:tab w:leader="none" w:pos="2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2820" w:hanging="784"/>
        <w:spacing w:after="0"/>
        <w:tabs>
          <w:tab w:leader="none" w:pos="2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-1233805</wp:posOffset>
            </wp:positionV>
            <wp:extent cx="5915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-539115</wp:posOffset>
            </wp:positionV>
            <wp:extent cx="5915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5"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Samjo Management,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Andrew N. Wiener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2820" w:hanging="784"/>
        <w:spacing w:after="0"/>
        <w:tabs>
          <w:tab w:leader="none" w:pos="2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Samjo Management, LLC</w:t>
            </w:r>
          </w:p>
        </w:tc>
        <w:tc>
          <w:tcPr>
            <w:tcW w:w="440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545,600</w:t>
            </w:r>
          </w:p>
        </w:tc>
      </w:tr>
      <w:tr>
        <w:trPr>
          <w:trHeight w:val="432"/>
        </w:trPr>
        <w:tc>
          <w:tcPr>
            <w:tcW w:w="68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Andrew N. Wiener</w:t>
            </w:r>
          </w:p>
        </w:tc>
        <w:tc>
          <w:tcPr>
            <w:tcW w:w="440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545,600</w:t>
            </w:r>
          </w:p>
        </w:tc>
      </w:tr>
      <w:tr>
        <w:trPr>
          <w:trHeight w:val="506"/>
        </w:trPr>
        <w:tc>
          <w:tcPr>
            <w:tcW w:w="68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ind w:left="2820" w:hanging="784"/>
        <w:spacing w:after="0"/>
        <w:tabs>
          <w:tab w:leader="none" w:pos="2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Samjo Management,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Andrew N. Wiener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2820" w:hanging="784"/>
        <w:spacing w:after="0"/>
        <w:tabs>
          <w:tab w:leader="none" w:pos="2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Samjo Management, LLC</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1,044,800</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Andrew N. Wiener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137160</wp:posOffset>
            </wp:positionV>
            <wp:extent cx="6412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
        <w:spacing w:after="0"/>
        <w:tabs>
          <w:tab w:leader="none" w:pos="122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1240" w:right="28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19" w:lineRule="exact"/>
        <w:rPr>
          <w:sz w:val="20"/>
          <w:szCs w:val="20"/>
          <w:color w:val="auto"/>
        </w:rPr>
      </w:pPr>
    </w:p>
    <w:p>
      <w:pPr>
        <w:ind w:left="100"/>
        <w:spacing w:after="0"/>
        <w:tabs>
          <w:tab w:leader="none" w:pos="122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240" w:right="80"/>
        <w:spacing w:after="0" w:line="282" w:lineRule="auto"/>
        <w:rPr>
          <w:sz w:val="20"/>
          <w:szCs w:val="20"/>
          <w:color w:val="auto"/>
        </w:rPr>
      </w:pPr>
      <w:r>
        <w:rPr>
          <w:rFonts w:ascii="Times New Roman" w:cs="Times New Roman" w:eastAsia="Times New Roman" w:hAnsi="Times New Roman"/>
          <w:sz w:val="18"/>
          <w:szCs w:val="18"/>
          <w:color w:val="auto"/>
        </w:rPr>
        <w:t>All securities reported in this Schedule 13G are directly owned by advisory clients of Samjo Management, LLC. None of those advisory clients may be deemed to beneficially own more than 5% of the outstanding Common Stock, par value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-22225</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71" w:lineRule="exact"/>
        <w:rPr>
          <w:sz w:val="20"/>
          <w:szCs w:val="20"/>
          <w:color w:val="auto"/>
        </w:rPr>
      </w:pPr>
    </w:p>
    <w:p>
      <w:pPr>
        <w:ind w:left="1240" w:right="200" w:hanging="1133"/>
        <w:spacing w:after="0" w:line="282" w:lineRule="auto"/>
        <w:tabs>
          <w:tab w:leader="none" w:pos="122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Please 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
        <w:spacing w:after="0"/>
        <w:tabs>
          <w:tab w:leader="none" w:pos="122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
        <w:spacing w:after="0"/>
        <w:tabs>
          <w:tab w:leader="none" w:pos="122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
        <w:spacing w:after="0"/>
        <w:tabs>
          <w:tab w:leader="none" w:pos="122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jc w:val="both"/>
        <w:ind w:left="12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Joint Acquisition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SAMJO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Andrew N. Wiener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Andrew N. Wiener,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ANDREW N. WIENER*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Andrew N. Wiener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36" w:lineRule="exact"/>
        <w:rPr>
          <w:sz w:val="20"/>
          <w:szCs w:val="20"/>
          <w:color w:val="auto"/>
        </w:rPr>
      </w:pPr>
    </w:p>
    <w:p>
      <w:pPr>
        <w:jc w:val="both"/>
        <w:ind w:firstLine="8"/>
        <w:spacing w:after="0" w:line="266" w:lineRule="auto"/>
        <w:tabs>
          <w:tab w:leader="none" w:pos="1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Act, or for any other purpose.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dated November 13, 2024 relating to the Common Stock, par value $0.001, of OptimizeRx Corporation shall be filed on behalf of the undersigned.</w:t>
      </w:r>
    </w:p>
    <w:p>
      <w:pPr>
        <w:spacing w:after="0" w:line="200" w:lineRule="exact"/>
        <w:rPr>
          <w:sz w:val="20"/>
          <w:szCs w:val="20"/>
          <w:color w:val="auto"/>
        </w:rPr>
      </w:pPr>
    </w:p>
    <w:p>
      <w:pPr>
        <w:spacing w:after="0" w:line="39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SAMJO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Andrew N. Wiener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Andrew N. Wiener,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ANDREW N. WIENER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Andrew N. Wiener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Samjo Management, LLC is the relevant entity for which Andrew N. Wiener may be considered a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1089025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1"/>
    </w:lvl>
  </w:abstractNum>
  <w:abstractNum w:abstractNumId="11">
    <w:nsid w:val="DED7263"/>
    <w:multiLevelType w:val="hybridMultilevel"/>
    <w:lvl w:ilvl="0">
      <w:lvlJc w:val="left"/>
      <w:lvlText w:val="(%1)"/>
      <w:numFmt w:val="lowerLetter"/>
      <w:start w:val="1"/>
    </w:lvl>
    <w:lvl w:ilvl="1">
      <w:lvlJc w:val="left"/>
      <w:lvlText w:val="(%2)"/>
      <w:numFmt w:val="lowerLetter"/>
      <w:start w:val="9"/>
    </w:lvl>
  </w:abstractNum>
  <w:abstractNum w:abstractNumId="12">
    <w:nsid w:val="7FDCC233"/>
    <w:multiLevelType w:val="hybridMultilevel"/>
    <w:lvl w:ilvl="0">
      <w:lvlJc w:val="left"/>
      <w:lvlText w:val="(%1)"/>
      <w:numFmt w:val="lowerRoman"/>
      <w:start w:val="2"/>
    </w:lvl>
  </w:abstractNum>
  <w:abstractNum w:abstractNumId="13">
    <w:nsid w:val="1BEFD79F"/>
    <w:multiLevelType w:val="hybridMultilevel"/>
    <w:lvl w:ilvl="0">
      <w:lvlJc w:val="left"/>
      <w:lvlText w:val="(%1)"/>
      <w:numFmt w:val="lowerRoman"/>
      <w:start w:val="3"/>
    </w:lvl>
  </w:abstractNum>
  <w:abstractNum w:abstractNumId="14">
    <w:nsid w:val="41A7C4C9"/>
    <w:multiLevelType w:val="hybridMultilevel"/>
    <w:lvl w:ilvl="0">
      <w:lvlJc w:val="left"/>
      <w:lvlText w:val="(%1)"/>
      <w:numFmt w:val="lowerRoman"/>
      <w:start w:val="4"/>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2024-11-13T09:33:56Z</dcterms:created>
  <dcterms:modified xsi:type="dcterms:W3CDTF">2024-11-13T09:33:56Z</dcterms:modified>
</cp:coreProperties>
</file>