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FORM 8-K</w:t>
            </w:r>
          </w:p>
        </w:tc>
        <w:tc>
          <w:tcPr>
            <w:tcW w:w="324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4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4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14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November 5, 2019</w:t>
            </w:r>
          </w:p>
        </w:tc>
        <w:tc>
          <w:tcPr>
            <w:tcW w:w="324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3"/>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39"/>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0"/>
              </w:rPr>
              <w:t>Nevada</w:t>
            </w:r>
          </w:p>
        </w:tc>
        <w:tc>
          <w:tcPr>
            <w:tcW w:w="3580" w:type="dxa"/>
            <w:vAlign w:val="bottom"/>
            <w:gridSpan w:val="6"/>
          </w:tcPr>
          <w:p>
            <w:pPr>
              <w:jc w:val="center"/>
              <w:ind w:left="1710"/>
              <w:spacing w:after="0"/>
              <w:rPr>
                <w:sz w:val="20"/>
                <w:szCs w:val="20"/>
                <w:color w:val="auto"/>
              </w:rPr>
            </w:pPr>
            <w:r>
              <w:rPr>
                <w:rFonts w:ascii="Arial" w:cs="Arial" w:eastAsia="Arial" w:hAnsi="Arial"/>
                <w:sz w:val="18"/>
                <w:szCs w:val="18"/>
                <w:color w:val="auto"/>
                <w:w w:val="90"/>
              </w:rPr>
              <w:t>001-38543</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jc w:val="center"/>
              <w:ind w:right="310"/>
              <w:spacing w:after="0"/>
              <w:rPr>
                <w:sz w:val="20"/>
                <w:szCs w:val="20"/>
                <w:color w:val="auto"/>
              </w:rPr>
            </w:pPr>
            <w:r>
              <w:rPr>
                <w:rFonts w:ascii="Arial" w:cs="Arial" w:eastAsia="Arial" w:hAnsi="Arial"/>
                <w:sz w:val="18"/>
                <w:szCs w:val="18"/>
                <w:color w:val="auto"/>
                <w:w w:val="91"/>
              </w:rPr>
              <w:t>26-1265381</w:t>
            </w:r>
          </w:p>
        </w:tc>
      </w:tr>
      <w:tr>
        <w:trPr>
          <w:trHeight w:val="202"/>
        </w:trPr>
        <w:tc>
          <w:tcPr>
            <w:tcW w:w="3040" w:type="dxa"/>
            <w:vAlign w:val="bottom"/>
            <w:tcBorders>
              <w:top w:val="single" w:sz="8" w:color="auto"/>
            </w:tcBorders>
          </w:tcPr>
          <w:p>
            <w:pPr>
              <w:jc w:val="center"/>
              <w:ind w:left="550"/>
              <w:spacing w:after="0" w:line="201" w:lineRule="exact"/>
              <w:rPr>
                <w:sz w:val="20"/>
                <w:szCs w:val="20"/>
                <w:color w:val="auto"/>
              </w:rPr>
            </w:pPr>
            <w:r>
              <w:rPr>
                <w:rFonts w:ascii="Arial" w:cs="Arial" w:eastAsia="Arial" w:hAnsi="Arial"/>
                <w:sz w:val="18"/>
                <w:szCs w:val="18"/>
                <w:color w:val="auto"/>
                <w:w w:val="91"/>
              </w:rPr>
              <w:t>(State or other jurisdiction</w:t>
            </w: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3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5"/>
              </w:rPr>
              <w:t>of incorporation)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180" w:type="dxa"/>
            <w:vAlign w:val="bottom"/>
            <w:gridSpan w:val="10"/>
          </w:tcPr>
          <w:p>
            <w:pPr>
              <w:jc w:val="center"/>
              <w:ind w:right="256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spacing w:after="0"/>
              <w:rPr>
                <w:sz w:val="20"/>
                <w:szCs w:val="20"/>
                <w:color w:val="auto"/>
              </w:rPr>
            </w:pPr>
          </w:p>
        </w:tc>
        <w:tc>
          <w:tcPr>
            <w:tcW w:w="3240" w:type="dxa"/>
            <w:vAlign w:val="bottom"/>
            <w:tcBorders>
              <w:top w:val="single" w:sz="8" w:color="auto"/>
            </w:tcBorders>
          </w:tcPr>
          <w:p>
            <w:pPr>
              <w:jc w:val="center"/>
              <w:ind w:right="22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289560</wp:posOffset>
            </wp:positionV>
            <wp:extent cx="39878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3"/>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Markets</w:t>
            </w:r>
          </w:p>
        </w:tc>
      </w:tr>
      <w:tr>
        <w:trPr>
          <w:trHeight w:val="216"/>
        </w:trPr>
        <w:tc>
          <w:tcPr>
            <w:tcW w:w="3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682"/>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5, 2019, we issued a press release announcing the results of operations for the quarter ended September 30, 2019. The press release is furnished with this Current Report on Form 8-K as Exhibit 99.1.</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26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November 5, 2019</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0000EE"/>
            </w:tcBorders>
            <w:shd w:val="clear" w:color="auto" w:fill="CCEEFF"/>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688"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154940</wp:posOffset>
            </wp:positionV>
            <wp:extent cx="180086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8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Third Quarter 2019 Results</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ROCHESTER, MI., (November 5, 2019) — </w:t>
      </w:r>
      <w:r>
        <w:rPr>
          <w:rFonts w:ascii="Arial" w:cs="Arial" w:eastAsia="Arial" w:hAnsi="Arial"/>
          <w:sz w:val="18"/>
          <w:szCs w:val="18"/>
          <w:color w:val="auto"/>
        </w:rPr>
        <w:t>OptimizeRx Corp. (NASDAQ: OPRX), a leading provider of digital health solutions for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payers, medtech and medical associations, reported results for the third quarter and nine months ended September 30, 2019, with all comparisons to the same year-ago period unless otherwise noted.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left="340" w:right="4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 Q3 2019 decreased 8% to $5.0 million, with gross margin improving 230 basis point from 58.1% to 60.4% due to a more favorable product mix.</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for the first nine months of 2019 was up 18% to a record $17.2 million, with gross margin improving 822 basis points from 55.5% to 63.7%.</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totaled $29.8 million at September 30, 2019, compared to $30.5 million at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Operational Highlights</w:t>
      </w:r>
    </w:p>
    <w:p>
      <w:pPr>
        <w:spacing w:after="0" w:line="229" w:lineRule="exact"/>
        <w:rPr>
          <w:sz w:val="20"/>
          <w:szCs w:val="20"/>
          <w:color w:val="auto"/>
        </w:rPr>
      </w:pPr>
    </w:p>
    <w:p>
      <w:pPr>
        <w:ind w:left="340" w:right="2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agreement to acquire RMDY Health, a leading provider of collaborative digital therapeutics solutions. Now complete, the acquisition broadens the company’s customer base to include payers, medtech companies and medical associations; adds a SaaS-based patient engagement platform; and expands the company’s total addressable market severalfold.</w:t>
      </w:r>
    </w:p>
    <w:p>
      <w:pPr>
        <w:spacing w:after="0" w:line="181"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Established new partnership and integration with NextGen Healthcare, the leading provider of ambulatory-focused technology solutions, to deliver real-time digital health messages to NewCrop’s ePrescribing network.</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formation of Innovation Lab in partnership with NewCrop, where life science companies can experiment with new digital communication solutions using a large provider base.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Total revenue in the third quarter of 2019 decreased 8% to $5.0 million from $5.4 million in the same year-ago quarter. Total revenue for the first nine months of 2019 increased 18% to a record $17.2 million compared to $14.6 million in the same year-ago period. The quarterly decline was primary due to the combination of a large client ending support for a brand prior to their loss of exclusivity in 2020, representing about $2 million in annualized revenue to OptimizeRx, and the merger of two large clients resulting in the delay in revenue from the second half of 2019 into 2020, representing about $3 million.</w:t>
      </w:r>
    </w:p>
    <w:p>
      <w:pPr>
        <w:spacing w:after="0" w:line="15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Offsetting these factors, the company has more than 20 brands which have increased their year-end budgets and are looking to grow into 2020. Over the last year the company has also introduced and acquired products and services that have diversified its customer base and revenue streams.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280"/>
        <w:spacing w:after="0" w:line="277" w:lineRule="auto"/>
        <w:rPr>
          <w:sz w:val="20"/>
          <w:szCs w:val="20"/>
          <w:color w:val="auto"/>
        </w:rPr>
      </w:pPr>
      <w:r>
        <w:rPr>
          <w:rFonts w:ascii="Arial" w:cs="Arial" w:eastAsia="Arial" w:hAnsi="Arial"/>
          <w:sz w:val="18"/>
          <w:szCs w:val="18"/>
          <w:color w:val="auto"/>
        </w:rPr>
        <w:t>Gross margin in the third quarter of 2019 improved to 60.4% from 58.1% in the year-ago quarter, with the improvement due to a favorable shift in product mix. The company expects to maintain gross margins of at least 60% on a quarterly basis.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expenses in the third quarter of 2019 totaled $5.0 million, increasing from $2.9 million in the same year-ago quarter. The increase was due to additional expenses related to the company’s growth initiatives, including its acquisition of CareSpeak Communications in October 2018 and new hires over the last year. Expenses related to the company’s recent acquisition of RMDY Health and R&amp;D expenses related to potential new product offerings totaled approximately $1.1 million in the third quarter of 2019.</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loss on a GAAP basis in the third quarter of 2019 totaled $1.6 million or $(0.11) per share, as compared to net income of $245,000 or $0.02 per share in the year-ago quarter.</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Non-GAAP net loss for the third quarter of 2019 was $0.7 million or $(0.05) per basic and diluted share, compared to non-GAAP net income of $1.0 million or $0.08 per diluted share in the same year-ago period (see definition of these non-GAAP measures and reconciliation to GAAP, below).</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While the company expects to return to GAAP profitability on a quarterly basis, one-time expenses related to investments in growth initiatives could result in a loss in any given quarter.</w:t>
      </w:r>
    </w:p>
    <w:p>
      <w:pPr>
        <w:spacing w:after="0" w:line="17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Cash and cash equivalents totaled $29.8 million at September 30, 2019, as compared to $30.5 million at June 30, 2019 and $8.9 million at December 31, 2018. The company has continued to operate debt-free and expects to continue to generate positive cash flow from operations on a quarterly basis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“During the third quarter of 2019, we achieved broad advances with our digital health platform, scaling it beyond pharma with a relevant set of solutions designed to assure greater adherence, affordability and patient engagement, with this expanding our total addressable market several fold,” commented OptimizeRx CEO, William Febbo.</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top-line grew 18% on a nine-month basis to a record $17.2 million despite a rare dip in revenue in Q3 that was due to the confluence of two unusual events involving three of our larger clients. One client decided to drop marketing support for a brand about 12 months prior to losing exclusivity, while the merger of two other clients resulted in about $3 million in second half revenue being pushed into next year.</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“While it is unlikely we’ll see this combination of events again, it underscores the importance of diversity in our product offerings and customer base, and why we have been pursuing this aggressively with product innovations and M&amp;A initiatives launched last year.</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“For example, our recent acquisition of RMDY Health has added new services and a client base that for the first time includes payers, medtech and wellness companies. RMDY also adds a new SaaS-based pricing model that provides a recurring revenue stream with higher gross margins and greater predictability. Given the synergies of our combined companies, we expect more than 100% growth in SaaS-based revenue over the next year.</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right="20"/>
        <w:spacing w:after="0" w:line="259" w:lineRule="auto"/>
        <w:rPr>
          <w:sz w:val="20"/>
          <w:szCs w:val="20"/>
          <w:color w:val="auto"/>
        </w:rPr>
      </w:pPr>
      <w:r>
        <w:rPr>
          <w:rFonts w:ascii="Arial" w:cs="Arial" w:eastAsia="Arial" w:hAnsi="Arial"/>
          <w:sz w:val="18"/>
          <w:szCs w:val="18"/>
          <w:color w:val="auto"/>
        </w:rPr>
        <w:t>“We are very excited about RMDY Health, since when combined with the earlier acquisition of CareSpeak, as we have expanded our total addressable market by adding digital care and health management to our solution set. So, we are not only better able to address our existing HCP messaging market, which we estimate at more than $2.4 billion, we now have reach into patient engagement, digital therapeutics and care management, bringing our total addressable market to north of $48 billion.</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“Given our unique combination of patient-focused care solutions now integrated on a single platform, we are now perfectly positioned between the key stakeholders of pharma, physicians, patients and now payers.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see our newly expanded commercial team having a tremendous impact on Q4 and an even greater impact in 2020, supported by traditional seasonal upselling opportunities. In fact, with more than 20 client brands having increased their year-end budgets, we anticipate very strong growth in Q4 compared to last year.</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“Another key growth bellwether is our sales pipeline, which is comprised of outstanding RFPs we’ve submitted. It is currently showing a 50% increase over last year, sitting today at around $70 million. We have historically enjoyed a 35%-50% RFP close rate.</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benefits of our expanded offerings at the point-of-care and platform integration have also begun to show in our pipeline, with our average deal size increasing from $130,000 in 2018 to $300,000 in 2019.</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deal size expansion also appears to be driven by an accelerated migration to digital solutions by pharma, along with a greater focus on patient experience. Manufacturers are anxious to link the puzzle pieces of the care continuum together to gain greater insights into their marketing ROI, and empower physicians with the tools they need to help patients achieve better outcomes.</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we continue to expand our market reach, in Q4 we expect our financial, brand and clinical messaging to grow along with our patient engagement programs. We see this driving another year of record growth and setting the stage for a very strong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a conference call to discuss these third quarter 2018 results,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Tuesday, November 5,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1-800-458-4121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7190528</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November 26, 2019, as well as available for replay via the Investors section of the OptimizeRx website at optimizerx.com/investors.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7190528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earnings release includes a presentation of non-GAAP net income (loss) and non-GAAP earnings per share or non-GAAP EPS, both of which are non-GAAP financial measures. The company defines non-GAAP net income (loss) as GAAP net income (loss) with an adjustment to add back depreciation, amortization and stock-based compensation expense.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15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consider these non-GAAP measures to be substitutes for or superior to the information provided by its GAAP financial results.</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right="140"/>
        <w:spacing w:after="0" w:line="277" w:lineRule="auto"/>
        <w:rPr>
          <w:sz w:val="20"/>
          <w:szCs w:val="20"/>
          <w:color w:val="auto"/>
        </w:rPr>
      </w:pPr>
      <w:r>
        <w:rPr>
          <w:rFonts w:ascii="Arial" w:cs="Arial" w:eastAsia="Arial" w:hAnsi="Arial"/>
          <w:sz w:val="18"/>
          <w:szCs w:val="18"/>
          <w:color w:val="auto"/>
        </w:rPr>
        <w:t>The table, “Reconciliation of non-GAAP to GAAP Financial Measures,” included at the end of this press release provides a reconciliation of non-GAAP net income (loss) and non-GAAP EPS for the three and nine-month periods ended September 30, 2018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medical associations to communicate with healthcare providers right within their workflow and also directly to patients.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7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vMerge w:val="restart"/>
          </w:tcPr>
          <w:p>
            <w:pPr>
              <w:ind w:left="40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29,759,967</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8,914,034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7,158,390</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6,457,841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973,177</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360,146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37,891,534</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15,732,021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156,809</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149,330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3,678,513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3,678,513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2,604,677</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2,766,944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3,542,462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2,492,123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587,497</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and deposits</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92,239</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235,647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10,505,388</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9,173,227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48,553,731</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25,054,578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1,095,474</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607,000</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1,300,882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1,668,287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1,908,616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113,476</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810,000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1,115,904</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610,625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5,410,141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4,231,133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line="203" w:lineRule="exact"/>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478,201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Contingent purchase price payable, net of current portion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1,530,000</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2,365,000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2,008,201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7,418,342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6,596,133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Preferred stock, $0.001 par value, 10,000,000 shares authorized, no issued and outstanding at September 30, 2019 or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0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$0.001 par value, 500,000,000 shares authorized, 14,173,850 and 12,038,618 shares issued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340"/>
              <w:spacing w:after="0"/>
              <w:rPr>
                <w:sz w:val="20"/>
                <w:szCs w:val="20"/>
                <w:color w:val="auto"/>
              </w:rPr>
            </w:pPr>
            <w:r>
              <w:rPr>
                <w:rFonts w:ascii="Arial" w:cs="Arial" w:eastAsia="Arial" w:hAnsi="Arial"/>
                <w:sz w:val="18"/>
                <w:szCs w:val="18"/>
                <w:color w:val="auto"/>
              </w:rPr>
              <w:t>outstanding at September 30, 2019 and December 31, 2018, 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14,174</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12,039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72,561,045</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48,725,211</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(31,439,830)</w:t>
            </w:r>
          </w:p>
        </w:tc>
        <w:tc>
          <w:tcPr>
            <w:tcW w:w="1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(30,278,805)</w:t>
            </w:r>
          </w:p>
        </w:tc>
        <w:tc>
          <w:tcPr>
            <w:tcW w:w="0" w:type="dxa"/>
            <w:vAlign w:val="bottom"/>
          </w:tcPr>
          <w:p>
            <w:pPr>
              <w:spacing w:after="0"/>
              <w:rPr>
                <w:sz w:val="1"/>
                <w:szCs w:val="1"/>
                <w:color w:val="auto"/>
              </w:rPr>
            </w:pPr>
          </w:p>
        </w:tc>
      </w:tr>
      <w:tr>
        <w:trPr>
          <w:trHeight w:val="236"/>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41,135,389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18,458,445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7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48,553,731</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25,054,578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center"/>
              <w:ind w:right="380"/>
              <w:spacing w:after="0"/>
              <w:rPr>
                <w:sz w:val="20"/>
                <w:szCs w:val="20"/>
                <w:color w:val="auto"/>
              </w:rPr>
            </w:pPr>
            <w:r>
              <w:rPr>
                <w:rFonts w:ascii="Arial" w:cs="Arial" w:eastAsia="Arial" w:hAnsi="Arial"/>
                <w:sz w:val="18"/>
                <w:szCs w:val="18"/>
                <w:color w:val="auto"/>
                <w:w w:val="90"/>
              </w:rPr>
              <w:t>For the Three Months Ended</w:t>
            </w:r>
          </w:p>
        </w:tc>
        <w:tc>
          <w:tcPr>
            <w:tcW w:w="180" w:type="dxa"/>
            <w:vAlign w:val="bottom"/>
          </w:tcPr>
          <w:p>
            <w:pPr>
              <w:spacing w:after="0"/>
              <w:rPr>
                <w:sz w:val="19"/>
                <w:szCs w:val="19"/>
                <w:color w:val="auto"/>
              </w:rPr>
            </w:pPr>
          </w:p>
        </w:tc>
        <w:tc>
          <w:tcPr>
            <w:tcW w:w="2420" w:type="dxa"/>
            <w:vAlign w:val="bottom"/>
            <w:gridSpan w:val="6"/>
          </w:tcPr>
          <w:p>
            <w:pPr>
              <w:jc w:val="center"/>
              <w:ind w:right="280"/>
              <w:spacing w:after="0"/>
              <w:rPr>
                <w:sz w:val="20"/>
                <w:szCs w:val="20"/>
                <w:color w:val="auto"/>
              </w:rPr>
            </w:pPr>
            <w:r>
              <w:rPr>
                <w:rFonts w:ascii="Arial" w:cs="Arial" w:eastAsia="Arial" w:hAnsi="Arial"/>
                <w:sz w:val="18"/>
                <w:szCs w:val="18"/>
                <w:color w:val="auto"/>
                <w:w w:val="91"/>
              </w:rPr>
              <w:t>For the 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0"/>
                <w:szCs w:val="20"/>
                <w:color w:val="auto"/>
              </w:rPr>
            </w:pPr>
          </w:p>
        </w:tc>
        <w:tc>
          <w:tcPr>
            <w:tcW w:w="2420" w:type="dxa"/>
            <w:vAlign w:val="bottom"/>
            <w:gridSpan w:val="6"/>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5,002,767</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5,415,384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17,218,492</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14,627,094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 OF REVENUES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1,981,143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2,268,968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6,251,766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6,513,810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3,021,624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3,146,416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10,966,726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8,113,284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5,008,934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2,923,238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12,341,827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7,807,705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INCOME (LOSS) FROM OPERATIONS</w:t>
            </w:r>
          </w:p>
        </w:tc>
        <w:tc>
          <w:tcPr>
            <w:tcW w:w="6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(1,987,310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223,178</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(1,375,101</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305,579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INCOME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21,750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192,305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TOTAL OTHER INCOME</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416,368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21,750</w:t>
            </w: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217,305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30,679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(1,570,942)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244,928</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(1,157,796)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336,258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20" w:type="dxa"/>
            <w:vAlign w:val="bottom"/>
            <w:vMerge w:val="continue"/>
            <w:shd w:val="clear" w:color="auto" w:fill="CCEEFF"/>
          </w:tcPr>
          <w:p>
            <w:pPr>
              <w:spacing w:after="0"/>
              <w:rPr>
                <w:sz w:val="21"/>
                <w:szCs w:val="21"/>
                <w:color w:val="auto"/>
              </w:rPr>
            </w:pPr>
          </w:p>
        </w:tc>
        <w:tc>
          <w:tcPr>
            <w:tcW w:w="8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(1,570,942</w:t>
            </w:r>
          </w:p>
        </w:tc>
        <w:tc>
          <w:tcPr>
            <w:tcW w:w="140" w:type="dxa"/>
            <w:vAlign w:val="bottom"/>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244,928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(1,157,796</w:t>
            </w:r>
          </w:p>
        </w:tc>
        <w:tc>
          <w:tcPr>
            <w:tcW w:w="140" w:type="dxa"/>
            <w:vAlign w:val="bottom"/>
            <w:vMerge w:val="continue"/>
            <w:shd w:val="clear" w:color="auto" w:fill="CCEEFF"/>
          </w:tcPr>
          <w:p>
            <w:pPr>
              <w:spacing w:after="0"/>
              <w:rPr>
                <w:sz w:val="21"/>
                <w:szCs w:val="21"/>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AVERGE SHARES OUTSTANDING</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BASIC</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14,146,489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11,755,500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12,996,590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10,840,584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14,146,489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12,921,768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12,996,590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11,766,754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(0.11</w:t>
            </w:r>
            <w:r>
              <w:rPr>
                <w:rFonts w:ascii="Arial" w:cs="Arial" w:eastAsia="Arial" w:hAnsi="Arial"/>
                <w:sz w:val="29"/>
                <w:szCs w:val="29"/>
                <w:color w:val="auto"/>
                <w:vertAlign w:val="superscript"/>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(0.09</w:t>
            </w:r>
            <w:r>
              <w:rPr>
                <w:rFonts w:ascii="Arial" w:cs="Arial" w:eastAsia="Arial" w:hAnsi="Arial"/>
                <w:sz w:val="29"/>
                <w:szCs w:val="29"/>
                <w:color w:val="auto"/>
                <w:vertAlign w:val="superscript"/>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right"/>
              <w:ind w:right="340"/>
              <w:spacing w:after="0"/>
              <w:rPr>
                <w:sz w:val="20"/>
                <w:szCs w:val="20"/>
                <w:color w:val="auto"/>
              </w:rPr>
            </w:pPr>
            <w:r>
              <w:rPr>
                <w:rFonts w:ascii="Arial" w:cs="Arial" w:eastAsia="Arial" w:hAnsi="Arial"/>
                <w:sz w:val="18"/>
                <w:szCs w:val="18"/>
                <w:color w:val="auto"/>
                <w:w w:val="93"/>
              </w:rPr>
              <w:t>For the 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income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(1,157,796)</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745,928</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1,407,938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1,242,776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issued for services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361,782</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Change in fair value of contingent consideration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(700,549)</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(1,734,128)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(469,623)</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184,464</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(772,953)</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(139,417)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505,279</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164,129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3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(160,859</w:t>
            </w:r>
          </w:p>
        </w:tc>
        <w:tc>
          <w:tcPr>
            <w:tcW w:w="240" w:type="dxa"/>
            <w:vAlign w:val="bottom"/>
            <w:tcBorders>
              <w:top w:val="single" w:sz="8" w:color="CCEEFF"/>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(140,206</w:t>
            </w:r>
          </w:p>
        </w:tc>
        <w:tc>
          <w:tcPr>
            <w:tcW w:w="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equipment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Purchase of intangible assets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(1,061,457</w:t>
            </w:r>
          </w:p>
        </w:tc>
        <w:tc>
          <w:tcPr>
            <w:tcW w:w="240" w:type="dxa"/>
            <w:vAlign w:val="bottom"/>
            <w:tcBorders>
              <w:top w:val="single" w:sz="8" w:color="CCEEFF"/>
              <w:bottom w:val="single" w:sz="8" w:color="CCEEFF"/>
              <w:right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(79,782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net of commission costs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22,369,960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9,455,943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 costs related to issuance of common stock</w:t>
            </w: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(301,711)</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3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22,068,249</w:t>
            </w:r>
          </w:p>
        </w:tc>
        <w:tc>
          <w:tcPr>
            <w:tcW w:w="2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8,620,417</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20,845,933</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8,400,429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8,914,034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5,122,573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vMerge w:val="continue"/>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29,759,967</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13,523,002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for income taxes</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NON-CASH INVESTING AND FINANCING ACTIVITIES:</w:t>
            </w: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additions included in accounts payable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Non-cash effect of cumulative adjustments to accumulated deficit</w:t>
            </w: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40" w:type="dxa"/>
            <w:vAlign w:val="bottom"/>
            <w:tcBorders>
              <w:bottom w:val="single" w:sz="8" w:color="CCEEFF"/>
            </w:tcBorders>
            <w:vMerge w:val="continue"/>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Lease liabilities arising from right of use assets</w:t>
            </w:r>
          </w:p>
        </w:tc>
        <w:tc>
          <w:tcPr>
            <w:tcW w:w="13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672,809</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vMerge w:val="restart"/>
          </w:tcPr>
          <w:p>
            <w:pPr>
              <w:ind w:left="160"/>
              <w:spacing w:after="0"/>
              <w:rPr>
                <w:sz w:val="20"/>
                <w:szCs w:val="20"/>
                <w:color w:val="auto"/>
              </w:rPr>
            </w:pPr>
            <w:r>
              <w:rPr>
                <w:rFonts w:ascii="Arial" w:cs="Arial" w:eastAsia="Arial" w:hAnsi="Arial"/>
                <w:sz w:val="18"/>
                <w:szCs w:val="18"/>
                <w:color w:val="auto"/>
              </w:rPr>
              <w:t>Non-cash issuance of shares to WPP, plc</w:t>
            </w: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6"/>
          </w:tcPr>
          <w:p>
            <w:pPr>
              <w:jc w:val="center"/>
              <w:ind w:right="400"/>
              <w:spacing w:after="0"/>
              <w:rPr>
                <w:sz w:val="20"/>
                <w:szCs w:val="20"/>
                <w:color w:val="auto"/>
              </w:rPr>
            </w:pPr>
            <w:r>
              <w:rPr>
                <w:rFonts w:ascii="Arial" w:cs="Arial" w:eastAsia="Arial" w:hAnsi="Arial"/>
                <w:sz w:val="18"/>
                <w:szCs w:val="18"/>
                <w:color w:val="auto"/>
                <w:w w:val="88"/>
              </w:rPr>
              <w:t>For the three months ended</w:t>
            </w:r>
          </w:p>
        </w:tc>
        <w:tc>
          <w:tcPr>
            <w:tcW w:w="180" w:type="dxa"/>
            <w:vAlign w:val="bottom"/>
          </w:tcPr>
          <w:p>
            <w:pPr>
              <w:spacing w:after="0"/>
              <w:rPr>
                <w:sz w:val="18"/>
                <w:szCs w:val="18"/>
                <w:color w:val="auto"/>
              </w:rPr>
            </w:pPr>
          </w:p>
        </w:tc>
        <w:tc>
          <w:tcPr>
            <w:tcW w:w="2420" w:type="dxa"/>
            <w:vAlign w:val="bottom"/>
            <w:gridSpan w:val="6"/>
          </w:tcPr>
          <w:p>
            <w:pPr>
              <w:jc w:val="center"/>
              <w:ind w:right="340"/>
              <w:spacing w:after="0"/>
              <w:rPr>
                <w:sz w:val="20"/>
                <w:szCs w:val="20"/>
                <w:color w:val="auto"/>
              </w:rPr>
            </w:pPr>
            <w:r>
              <w:rPr>
                <w:rFonts w:ascii="Arial" w:cs="Arial" w:eastAsia="Arial" w:hAnsi="Arial"/>
                <w:sz w:val="18"/>
                <w:szCs w:val="18"/>
                <w:color w:val="auto"/>
                <w:w w:val="89"/>
              </w:rPr>
              <w:t>For the 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center"/>
              <w:ind w:right="40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0"/>
                <w:szCs w:val="20"/>
                <w:color w:val="auto"/>
              </w:rPr>
            </w:pPr>
          </w:p>
        </w:tc>
        <w:tc>
          <w:tcPr>
            <w:tcW w:w="2420" w:type="dxa"/>
            <w:vAlign w:val="bottom"/>
            <w:gridSpan w:val="6"/>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(1,570,924)</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244,930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(1,157,796)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320,055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54,473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745,927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163,418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590,244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708,163</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1,769,720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1,721,985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18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(660,625</w:t>
            </w:r>
            <w:r>
              <w:rPr>
                <w:rFonts w:ascii="Arial" w:cs="Arial" w:eastAsia="Arial" w:hAnsi="Arial"/>
                <w:sz w:val="29"/>
                <w:szCs w:val="29"/>
                <w:color w:val="auto"/>
                <w:vertAlign w:val="superscript"/>
              </w:rPr>
              <w:t>)</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1,007,565</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1,357,852</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2,221,663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Non-GAAP earnings per share</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Basic</w:t>
            </w:r>
          </w:p>
        </w:tc>
        <w:tc>
          <w:tcPr>
            <w:tcW w:w="18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Basic</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14,146,489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11,755,500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12,996,590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10,840,584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vMerge w:val="continue"/>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14,146,489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12,921,768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12,996,590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11,766,754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2019-12-28T03:24:57Z</dcterms:created>
  <dcterms:modified xsi:type="dcterms:W3CDTF">2019-12-28T03:24:57Z</dcterms:modified>
</cp:coreProperties>
</file>