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11"/>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40" w:type="dxa"/>
            <w:vAlign w:val="bottom"/>
            <w:gridSpan w:val="12"/>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June 24, 2015</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11"/>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2"/>
        </w:trPr>
        <w:tc>
          <w:tcPr>
            <w:tcW w:w="1260" w:type="dxa"/>
            <w:vAlign w:val="bottom"/>
          </w:tcPr>
          <w:p>
            <w:pPr>
              <w:spacing w:after="0"/>
              <w:rPr>
                <w:sz w:val="24"/>
                <w:szCs w:val="24"/>
                <w:color w:val="auto"/>
              </w:rPr>
            </w:pPr>
          </w:p>
        </w:tc>
        <w:tc>
          <w:tcPr>
            <w:tcW w:w="188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Nevada</w:t>
            </w:r>
          </w:p>
        </w:tc>
        <w:tc>
          <w:tcPr>
            <w:tcW w:w="2980" w:type="dxa"/>
            <w:vAlign w:val="bottom"/>
            <w:gridSpan w:val="8"/>
          </w:tcPr>
          <w:p>
            <w:pPr>
              <w:jc w:val="center"/>
              <w:ind w:left="2110"/>
              <w:spacing w:after="0"/>
              <w:rPr>
                <w:sz w:val="20"/>
                <w:szCs w:val="20"/>
                <w:color w:val="auto"/>
              </w:rPr>
            </w:pPr>
            <w:r>
              <w:rPr>
                <w:rFonts w:ascii="Arial" w:cs="Arial" w:eastAsia="Arial" w:hAnsi="Arial"/>
                <w:sz w:val="18"/>
                <w:szCs w:val="18"/>
                <w:color w:val="auto"/>
                <w:w w:val="90"/>
              </w:rPr>
              <w:t>000-53605</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26-1265381</w:t>
            </w:r>
          </w:p>
        </w:tc>
      </w:tr>
      <w:tr>
        <w:trPr>
          <w:trHeight w:val="28"/>
        </w:trPr>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2"/>
        </w:trPr>
        <w:tc>
          <w:tcPr>
            <w:tcW w:w="3140" w:type="dxa"/>
            <w:vAlign w:val="bottom"/>
            <w:gridSpan w:val="4"/>
          </w:tcPr>
          <w:p>
            <w:pPr>
              <w:jc w:val="center"/>
              <w:ind w:left="450"/>
              <w:spacing w:after="0" w:line="201" w:lineRule="exact"/>
              <w:rPr>
                <w:sz w:val="20"/>
                <w:szCs w:val="20"/>
                <w:color w:val="auto"/>
              </w:rPr>
            </w:pPr>
            <w:r>
              <w:rPr>
                <w:rFonts w:ascii="Arial" w:cs="Arial" w:eastAsia="Arial" w:hAnsi="Arial"/>
                <w:sz w:val="18"/>
                <w:szCs w:val="18"/>
                <w:color w:val="auto"/>
                <w:w w:val="91"/>
              </w:rPr>
              <w:t>(State or other jurisdiction</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gridSpan w:val="7"/>
          </w:tcPr>
          <w:p>
            <w:pPr>
              <w:jc w:val="center"/>
              <w:ind w:right="46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gridSpan w:val="3"/>
          </w:tcPr>
          <w:p>
            <w:pPr>
              <w:jc w:val="center"/>
              <w:ind w:right="106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gridSpan w:val="4"/>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8080" w:type="dxa"/>
            <w:vAlign w:val="bottom"/>
            <w:gridSpan w:val="16"/>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gridSpan w:val="3"/>
          </w:tcPr>
          <w:p>
            <w:pPr>
              <w:jc w:val="right"/>
              <w:ind w:right="23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
        </w:trPr>
        <w:tc>
          <w:tcPr>
            <w:tcW w:w="126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0"/>
        </w:trPr>
        <w:tc>
          <w:tcPr>
            <w:tcW w:w="1260" w:type="dxa"/>
            <w:vAlign w:val="bottom"/>
          </w:tcPr>
          <w:p>
            <w:pPr>
              <w:spacing w:after="0"/>
              <w:rPr>
                <w:sz w:val="20"/>
                <w:szCs w:val="20"/>
                <w:color w:val="auto"/>
              </w:rPr>
            </w:pPr>
          </w:p>
        </w:tc>
        <w:tc>
          <w:tcPr>
            <w:tcW w:w="4360" w:type="dxa"/>
            <w:vAlign w:val="bottom"/>
            <w:gridSpan w:val="9"/>
          </w:tcPr>
          <w:p>
            <w:pPr>
              <w:jc w:val="center"/>
              <w:ind w:right="1260"/>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gridSpan w:val="3"/>
          </w:tcPr>
          <w:p>
            <w:pPr>
              <w:spacing w:after="0"/>
              <w:rPr>
                <w:sz w:val="20"/>
                <w:szCs w:val="20"/>
                <w:color w:val="auto"/>
              </w:rPr>
            </w:pPr>
          </w:p>
        </w:tc>
        <w:tc>
          <w:tcPr>
            <w:tcW w:w="3340" w:type="dxa"/>
            <w:vAlign w:val="bottom"/>
            <w:gridSpan w:val="5"/>
          </w:tcPr>
          <w:p>
            <w:pPr>
              <w:jc w:val="center"/>
              <w:ind w:right="226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to David Harrell and Terrence Hamilton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2015, the Company’s Board of Directors resolved to award Mr. Harrell 79,042 restricted shares of the Company’s common stock in recognition of Mr. Harrell’s contributions to the Company. The Company also resolved to award Mr. Hamilton 118,563 restricted shares of the Company’s common stock in recognition of Mr. Hamilton’s contributions to the Company. The awards are subject to the terms of the Company’s 2013 Incentive Plan and to their respective Restricted Stock Award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 to Doug Baker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24, 2015, the Board of Directors resolved to grant Mr. Baker an option to acquire 100,000 shares of Company common stock with an exercise price of $1.05 per share in recognition of Mr. Baker’s contributions to the Company. The option will vest over a one year period and will expire in five years. The grant is subject to the terms of the Company’s 2013 Incentive Plan and to the Stock Option Agreement in favor of Mr. Baker.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Doug Baker Stock Option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24, 2015, the Board of Directors approved an amendment to Mr. Baker’s May 19, 2014 option to acquire 100,000 shares of the Company’s common stock with an exercise price of $1.72 per share (the “Old Option”). The amendment modifies the Old Option’s exercise price to $1.05 per share. The amendment did not change the option’s vesting schedule or any other terms.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3.02 of this Form 8-K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26,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2019-12-08T21:46:34Z</dcterms:created>
  <dcterms:modified xsi:type="dcterms:W3CDTF">2019-12-08T21:46:34Z</dcterms:modified>
</cp:coreProperties>
</file>