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5280" w:type="dxa"/>
            <w:vAlign w:val="bottom"/>
            <w:gridSpan w:val="8"/>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June 5, 2019</w:t>
            </w:r>
          </w:p>
        </w:tc>
        <w:tc>
          <w:tcPr>
            <w:tcW w:w="3000" w:type="dxa"/>
            <w:vAlign w:val="bottom"/>
          </w:tcPr>
          <w:p>
            <w:pPr>
              <w:spacing w:after="0"/>
              <w:rPr>
                <w:sz w:val="20"/>
                <w:szCs w:val="20"/>
                <w:color w:val="auto"/>
              </w:rPr>
            </w:pPr>
          </w:p>
        </w:tc>
      </w:tr>
      <w:tr>
        <w:trPr>
          <w:trHeight w:val="392"/>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800" w:type="dxa"/>
            <w:vAlign w:val="bottom"/>
            <w:gridSpan w:val="4"/>
          </w:tcPr>
          <w:p>
            <w:pPr>
              <w:spacing w:after="0"/>
              <w:rPr>
                <w:sz w:val="24"/>
                <w:szCs w:val="24"/>
                <w:color w:val="auto"/>
              </w:rPr>
            </w:pPr>
          </w:p>
        </w:tc>
        <w:tc>
          <w:tcPr>
            <w:tcW w:w="300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7"/>
          </w:tcPr>
          <w:p>
            <w:pPr>
              <w:jc w:val="center"/>
              <w:ind w:right="640"/>
              <w:spacing w:after="0"/>
              <w:rPr>
                <w:sz w:val="20"/>
                <w:szCs w:val="20"/>
                <w:color w:val="auto"/>
              </w:rPr>
            </w:pPr>
            <w:r>
              <w:rPr>
                <w:rFonts w:ascii="Arial" w:cs="Arial" w:eastAsia="Arial" w:hAnsi="Arial"/>
                <w:sz w:val="18"/>
                <w:szCs w:val="18"/>
                <w:color w:val="auto"/>
                <w:w w:val="90"/>
              </w:rPr>
              <w:t>(Exact name of registrant as specified in its charter)</w:t>
            </w:r>
          </w:p>
        </w:tc>
        <w:tc>
          <w:tcPr>
            <w:tcW w:w="3000" w:type="dxa"/>
            <w:vAlign w:val="bottom"/>
          </w:tcPr>
          <w:p>
            <w:pPr>
              <w:spacing w:after="0"/>
              <w:rPr>
                <w:sz w:val="20"/>
                <w:szCs w:val="20"/>
                <w:color w:val="auto"/>
              </w:rPr>
            </w:pPr>
          </w:p>
        </w:tc>
      </w:tr>
      <w:tr>
        <w:trPr>
          <w:trHeight w:val="453"/>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0"/>
              </w:rPr>
              <w:t>Nevada</w:t>
            </w:r>
          </w:p>
        </w:tc>
        <w:tc>
          <w:tcPr>
            <w:tcW w:w="3480" w:type="dxa"/>
            <w:vAlign w:val="bottom"/>
            <w:gridSpan w:val="4"/>
          </w:tcPr>
          <w:p>
            <w:pPr>
              <w:jc w:val="center"/>
              <w:ind w:left="161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140" w:type="dxa"/>
            <w:vAlign w:val="bottom"/>
            <w:tcBorders>
              <w:top w:val="single" w:sz="8" w:color="auto"/>
            </w:tcBorders>
          </w:tcPr>
          <w:p>
            <w:pPr>
              <w:ind w:left="860"/>
              <w:spacing w:after="0" w:line="201" w:lineRule="exact"/>
              <w:rPr>
                <w:sz w:val="20"/>
                <w:szCs w:val="20"/>
                <w:color w:val="auto"/>
              </w:rPr>
            </w:pPr>
            <w:r>
              <w:rPr>
                <w:rFonts w:ascii="Arial" w:cs="Arial" w:eastAsia="Arial" w:hAnsi="Arial"/>
                <w:sz w:val="18"/>
                <w:szCs w:val="18"/>
                <w:color w:val="auto"/>
              </w:rPr>
              <w:t>(State or other jurisdiction</w:t>
            </w: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ind w:left="54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5"/>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0" w:type="dxa"/>
            <w:vAlign w:val="bottom"/>
          </w:tcPr>
          <w:p>
            <w:pPr>
              <w:jc w:val="center"/>
              <w:ind w:right="5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420" w:type="dxa"/>
            <w:vAlign w:val="bottom"/>
            <w:gridSpan w:val="9"/>
          </w:tcPr>
          <w:p>
            <w:pPr>
              <w:jc w:val="center"/>
              <w:ind w:right="880"/>
              <w:spacing w:after="0"/>
              <w:rPr>
                <w:sz w:val="20"/>
                <w:szCs w:val="20"/>
                <w:color w:val="auto"/>
              </w:rPr>
            </w:pPr>
            <w:r>
              <w:rPr>
                <w:rFonts w:ascii="Arial" w:cs="Arial" w:eastAsia="Arial" w:hAnsi="Arial"/>
                <w:sz w:val="18"/>
                <w:szCs w:val="18"/>
                <w:color w:val="auto"/>
                <w:w w:val="90"/>
              </w:rPr>
              <w:t>400 Water Street, Suite 200, Rochester, MI</w:t>
            </w:r>
          </w:p>
        </w:tc>
        <w:tc>
          <w:tcPr>
            <w:tcW w:w="300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ind w:right="5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2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4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Material Definitive Agreements.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June 5, 2019, OptimizeRx Corporation (the “Company”) entered into an underwriting agreement (the “Underwriting Agreement”) with William Blair &amp; Company L.L.C., as representative of the several underwriters (collectively, the “Underwriters”), relating to an underwritten public offering of 1,538,500 shares (the “Shares”) of the Company’s common stock, par value $0.001 per share (the “Common Stock”), all of which are being sold by the Company (the “Offering”). The offering price of the Shares to the public is $13.00 per share, and the Underwriters have agreed to purchase the Shares from the Company pursuant to the Underwriting Agreement at a price of $12.155 per share.</w:t>
      </w:r>
    </w:p>
    <w:p>
      <w:pPr>
        <w:spacing w:after="0" w:line="18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expects to receive net proceeds of approximately $18.6 million, after underwriting discounts and commissions and estimated offering expenses. The Company intends to use the net proceeds for general corporate purposes, which may include future acquisitions. The Company does not have any immediate arrangements, commitments or understandings regarding any future acquisitions.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terms of the Underwriting Agreement, the Company has granted the Underwriters an option, exercisable for 30 days, to purchase up to an additional 230,775 shares of Common Stock from the Company (the “Additional Shares”) on the same terms and conditions as the sale of the Shares. If the Underwriters’ option to purchase the Additional Shares is exercised in full, the Company expects to receive net proceeds of approximately $21.4 million, after underwriting discounts and commissions and estimated offering expenses.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covenants and agreements by the Company,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the Underwriting Agreement, and may be subject to limitations agreed upon by the contracting parties.</w:t>
      </w:r>
    </w:p>
    <w:p>
      <w:pPr>
        <w:spacing w:after="0" w:line="18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Offering is being made pursuant to an effective shelf registration statement on Form S-3 that the Company filed with the Securities and Exchange Commission (the “SEC”) on November 13, 2018 (File No. 333-228357), as amended by the Company on December 11, 2018 and declared effective by the SEC on December 11, 2018. A prospectus supplement relating to the Offering has been filed with the SEC. The Underwriting Agreement is attached as Exhibit 1.1 hereto, and the description of the terms of the Underwriting Agreement is qualified in its entirety by reference to such exhibit. A copy of the opinion of The Doney Law Firm relating to the legality of the issuance and sale of the Shares and Additional Shares is attached as Exhibit 5.1 hereto.</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80" w:type="dxa"/>
            <w:vAlign w:val="bottom"/>
          </w:tcPr>
          <w:p>
            <w:pPr>
              <w:spacing w:after="0"/>
              <w:rPr>
                <w:sz w:val="18"/>
                <w:szCs w:val="18"/>
                <w:color w:val="auto"/>
              </w:rPr>
            </w:pPr>
          </w:p>
        </w:tc>
      </w:tr>
      <w:tr>
        <w:trPr>
          <w:trHeight w:val="241"/>
        </w:trPr>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80" w:type="dxa"/>
            <w:vAlign w:val="bottom"/>
          </w:tcPr>
          <w:p>
            <w:pPr>
              <w:jc w:val="right"/>
              <w:ind w:right="455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3220" w:type="dxa"/>
            <w:vAlign w:val="bottom"/>
            <w:tcBorders>
              <w:top w:val="single" w:sz="8" w:color="auto"/>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June 5, 2019</w:t>
              </w:r>
            </w:hyperlink>
          </w:p>
        </w:tc>
        <w:tc>
          <w:tcPr>
            <w:tcW w:w="688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6"/>
        </w:trPr>
        <w:tc>
          <w:tcPr>
            <w:tcW w:w="1160" w:type="dxa"/>
            <w:vAlign w:val="bottom"/>
          </w:tcPr>
          <w:p>
            <w:pPr>
              <w:jc w:val="center"/>
              <w:spacing w:after="0" w:line="176" w:lineRule="exact"/>
              <w:rPr>
                <w:sz w:val="20"/>
                <w:szCs w:val="20"/>
                <w:color w:val="auto"/>
              </w:rPr>
            </w:pPr>
            <w:r>
              <w:rPr>
                <w:rFonts w:ascii="Arial" w:cs="Arial" w:eastAsia="Arial" w:hAnsi="Arial"/>
                <w:sz w:val="18"/>
                <w:szCs w:val="18"/>
                <w:color w:val="auto"/>
                <w:w w:val="95"/>
              </w:rPr>
              <w:t>5.1</w:t>
            </w:r>
          </w:p>
        </w:tc>
        <w:tc>
          <w:tcPr>
            <w:tcW w:w="100" w:type="dxa"/>
            <w:vAlign w:val="bottom"/>
          </w:tcPr>
          <w:p>
            <w:pPr>
              <w:spacing w:after="0"/>
              <w:rPr>
                <w:sz w:val="15"/>
                <w:szCs w:val="15"/>
                <w:color w:val="auto"/>
              </w:rPr>
            </w:pPr>
          </w:p>
        </w:tc>
        <w:tc>
          <w:tcPr>
            <w:tcW w:w="10160" w:type="dxa"/>
            <w:vAlign w:val="bottom"/>
            <w:gridSpan w:val="5"/>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Opinion of The Doney Law Firm</w:t>
              </w:r>
            </w:hyperlink>
          </w:p>
        </w:tc>
      </w:tr>
      <w:tr>
        <w:trPr>
          <w:trHeight w:val="21"/>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23.1</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Consent of The Doney Law Firm (included in Exhibit 5.1)</w:t>
              </w:r>
            </w:hyperlink>
          </w:p>
        </w:tc>
        <w:tc>
          <w:tcPr>
            <w:tcW w:w="5880" w:type="dxa"/>
            <w:vAlign w:val="bottom"/>
            <w:tcBorders>
              <w:bottom w:val="single" w:sz="8" w:color="CCEEFF"/>
            </w:tcBorders>
            <w:shd w:val="clear" w:color="auto" w:fill="CCEEFF"/>
          </w:tcPr>
          <w:p>
            <w:pPr>
              <w:spacing w:after="0"/>
              <w:rPr>
                <w:sz w:val="17"/>
                <w:szCs w:val="17"/>
                <w:color w:val="auto"/>
              </w:rPr>
            </w:pPr>
          </w:p>
        </w:tc>
      </w:tr>
      <w:tr>
        <w:trPr>
          <w:trHeight w:val="682"/>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gridSpan w:val="5"/>
          </w:tcPr>
          <w:p>
            <w:pPr>
              <w:jc w:val="right"/>
              <w:ind w:right="5430"/>
              <w:spacing w:after="0"/>
              <w:rPr>
                <w:sz w:val="20"/>
                <w:szCs w:val="20"/>
                <w:color w:val="auto"/>
              </w:rPr>
            </w:pPr>
            <w:r>
              <w:rPr>
                <w:rFonts w:ascii="Arial" w:cs="Arial" w:eastAsia="Arial" w:hAnsi="Arial"/>
                <w:sz w:val="22"/>
                <w:szCs w:val="22"/>
                <w:color w:val="auto"/>
              </w:rPr>
              <w:t>- 1 -</w:t>
            </w:r>
          </w:p>
        </w:tc>
      </w:tr>
    </w:tbl>
    <w:p>
      <w:pPr>
        <w:sectPr>
          <w:pgSz w:w="11900" w:h="16838" w:orient="portrait"/>
          <w:cols w:equalWidth="0" w:num="1">
            <w:col w:w="11420"/>
          </w:cols>
          <w:pgMar w:left="240" w:top="877"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June 5, 2019</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877"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1,538,500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5,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 of the several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Chicago, Illinois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OptimizeRx Corporation, a Nevada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proposes to sell to the several underwriters named in Schedule I 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an aggregate of 1,538,500 shares (the</w:t>
      </w:r>
      <w:r>
        <w:rPr>
          <w:rFonts w:ascii="Arial" w:cs="Arial" w:eastAsia="Arial" w:hAnsi="Arial"/>
          <w:sz w:val="17"/>
          <w:szCs w:val="17"/>
          <w:b w:val="1"/>
          <w:bCs w:val="1"/>
          <w:i w:val="1"/>
          <w:iCs w:val="1"/>
          <w:color w:val="auto"/>
        </w:rPr>
        <w:t xml:space="preserve"> “Firm Shares”</w:t>
      </w:r>
      <w:r>
        <w:rPr>
          <w:rFonts w:ascii="Arial" w:cs="Arial" w:eastAsia="Arial" w:hAnsi="Arial"/>
          <w:sz w:val="17"/>
          <w:szCs w:val="17"/>
          <w:color w:val="auto"/>
        </w:rPr>
        <w:t>) of Common Stock, par value $0.001 per share (the</w:t>
      </w:r>
      <w:r>
        <w:rPr>
          <w:rFonts w:ascii="Arial" w:cs="Arial" w:eastAsia="Arial" w:hAnsi="Arial"/>
          <w:sz w:val="17"/>
          <w:szCs w:val="17"/>
          <w:b w:val="1"/>
          <w:bCs w:val="1"/>
          <w:i w:val="1"/>
          <w:iCs w:val="1"/>
          <w:color w:val="auto"/>
        </w:rPr>
        <w:t xml:space="preserve"> “Common Stock”</w:t>
      </w:r>
      <w:r>
        <w:rPr>
          <w:rFonts w:ascii="Arial" w:cs="Arial" w:eastAsia="Arial" w:hAnsi="Arial"/>
          <w:sz w:val="17"/>
          <w:szCs w:val="17"/>
          <w:color w:val="auto"/>
        </w:rPr>
        <w: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The Company has also granted to the several Underwriters an option to purchase up to 230,775 additional shares of Common Stock on the terms and for the purposes set forth in Section 3 hereof (collectively, the </w:t>
      </w:r>
      <w:r>
        <w:rPr>
          <w:rFonts w:ascii="Arial" w:cs="Arial" w:eastAsia="Arial" w:hAnsi="Arial"/>
          <w:sz w:val="17"/>
          <w:szCs w:val="17"/>
          <w:b w:val="1"/>
          <w:bCs w:val="1"/>
          <w:i w:val="1"/>
          <w:iCs w:val="1"/>
          <w:color w:val="auto"/>
        </w:rPr>
        <w:t>“Option Shares”</w:t>
      </w:r>
      <w:r>
        <w:rPr>
          <w:rFonts w:ascii="Arial" w:cs="Arial" w:eastAsia="Arial" w:hAnsi="Arial"/>
          <w:sz w:val="17"/>
          <w:szCs w:val="17"/>
          <w:color w:val="auto"/>
        </w:rPr>
        <w:t>). The Firm Shares and any Option Shares purchased pursuant to this Underwriting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are herein collectively called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The Company hereby confirms its agreement with respect to the sale of the Securities to the several Underwriters, for whom William Blair &amp; Company, L.L.C. is acting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“you”</w:t>
      </w:r>
      <w:r>
        <w:rPr>
          <w:rFonts w:ascii="Arial" w:cs="Arial" w:eastAsia="Arial" w:hAnsi="Arial"/>
          <w:sz w:val="18"/>
          <w:szCs w:val="18"/>
          <w:color w:val="auto"/>
        </w:rPr>
        <w:t>).</w:t>
      </w:r>
    </w:p>
    <w:p>
      <w:pPr>
        <w:spacing w:after="0" w:line="170" w:lineRule="exact"/>
        <w:rPr>
          <w:sz w:val="20"/>
          <w:szCs w:val="20"/>
          <w:color w:val="auto"/>
        </w:rPr>
      </w:pPr>
    </w:p>
    <w:p>
      <w:pPr>
        <w:ind w:left="660" w:hanging="4"/>
        <w:spacing w:after="0" w:line="284" w:lineRule="auto"/>
        <w:tabs>
          <w:tab w:leader="none" w:pos="885" w:val="left"/>
        </w:tabs>
        <w:numPr>
          <w:ilvl w:val="0"/>
          <w:numId w:val="3"/>
        </w:numPr>
        <w:rPr>
          <w:rFonts w:ascii="Arial" w:cs="Arial" w:eastAsia="Arial" w:hAnsi="Arial"/>
          <w:sz w:val="16"/>
          <w:szCs w:val="16"/>
          <w:color w:val="010000"/>
        </w:rPr>
      </w:pPr>
      <w:r>
        <w:rPr>
          <w:rFonts w:ascii="Arial" w:cs="Arial" w:eastAsia="Arial" w:hAnsi="Arial"/>
          <w:sz w:val="16"/>
          <w:szCs w:val="16"/>
          <w:b w:val="1"/>
          <w:bCs w:val="1"/>
          <w:i w:val="1"/>
          <w:iCs w:val="1"/>
          <w:color w:val="auto"/>
        </w:rPr>
        <w:t>Registration Statement and Prospectus</w:t>
      </w:r>
      <w:r>
        <w:rPr>
          <w:rFonts w:ascii="Arial" w:cs="Arial" w:eastAsia="Arial" w:hAnsi="Arial"/>
          <w:sz w:val="16"/>
          <w:szCs w:val="16"/>
          <w:color w:val="auto"/>
        </w:rPr>
        <w:t>. A shelf registration statement on Form S-3 (File No. 333-228357) with respect to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 preliminary form of base prospectus, has been prepared by the Company in conformity with the requirements of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and the rules and regulations (</w:t>
      </w:r>
      <w:r>
        <w:rPr>
          <w:rFonts w:ascii="Arial" w:cs="Arial" w:eastAsia="Arial" w:hAnsi="Arial"/>
          <w:sz w:val="16"/>
          <w:szCs w:val="16"/>
          <w:b w:val="1"/>
          <w:bCs w:val="1"/>
          <w:i w:val="1"/>
          <w:iCs w:val="1"/>
          <w:color w:val="auto"/>
        </w:rPr>
        <w:t>“Rules and Regulations”</w:t>
      </w:r>
      <w:r>
        <w:rPr>
          <w:rFonts w:ascii="Arial" w:cs="Arial" w:eastAsia="Arial" w:hAnsi="Arial"/>
          <w:sz w:val="16"/>
          <w:szCs w:val="16"/>
          <w:color w:val="auto"/>
        </w:rPr>
        <w:t xml:space="preserve">)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thereunder and has been filed with the Commission. Such registration statement, including the amendments, exhibits and schedules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thereto, as of the time it became effective, including the Rule 430B Information (as defined below), is referred to herein as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prepare and file a prospectus supplement pursuant to Rule 424(b) of the Rules and Regulations that discloses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previously omitted from the Base Prospectus (as defined below) in the Registration Statement in reliance upon Rule 430B of the Rules and Regulations, which information will be deemed retroactively to be a part of the Registration Statement in accordance with Rule 430B of the Rules and Regulations (</w:t>
      </w:r>
      <w:r>
        <w:rPr>
          <w:rFonts w:ascii="Arial" w:cs="Arial" w:eastAsia="Arial" w:hAnsi="Arial"/>
          <w:sz w:val="16"/>
          <w:szCs w:val="16"/>
          <w:b w:val="1"/>
          <w:bCs w:val="1"/>
          <w:i w:val="1"/>
          <w:iCs w:val="1"/>
          <w:color w:val="auto"/>
        </w:rPr>
        <w:t>“Rule 430B Information”</w:t>
      </w:r>
      <w:r>
        <w:rPr>
          <w:rFonts w:ascii="Arial" w:cs="Arial" w:eastAsia="Arial" w:hAnsi="Arial"/>
          <w:sz w:val="16"/>
          <w:szCs w:val="16"/>
          <w:color w:val="auto"/>
        </w:rPr>
        <w:t xml:space="preserve">). If the Company has elected to rely upon Rule 462(b) of the Rules and Regulations to increase the size of the offering registered under the Act, the Company will prepare and file with the Commission a registration statement with respect to such increase pursuant to Rule 462(b) of the Rules and Regulations (such registration statement, including the contents of the Registration Statement incorporated by reference therein is the </w:t>
      </w:r>
      <w:r>
        <w:rPr>
          <w:rFonts w:ascii="Arial" w:cs="Arial" w:eastAsia="Arial" w:hAnsi="Arial"/>
          <w:sz w:val="16"/>
          <w:szCs w:val="16"/>
          <w:b w:val="1"/>
          <w:bCs w:val="1"/>
          <w:i w:val="1"/>
          <w:iCs w:val="1"/>
          <w:color w:val="auto"/>
        </w:rPr>
        <w:t>“Rule 462(b) Registration Statement”</w:t>
      </w:r>
      <w:r>
        <w:rPr>
          <w:rFonts w:ascii="Arial" w:cs="Arial" w:eastAsia="Arial" w:hAnsi="Arial"/>
          <w:sz w:val="16"/>
          <w:szCs w:val="16"/>
          <w:color w:val="auto"/>
        </w:rPr>
        <w:t xml:space="preserve">). References herein to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xml:space="preserve"> will be deemed to include the Rule 462(b) Registration Statement at and after the time of filing of the Rule 462(b) Registration Statement. </w:t>
      </w:r>
      <w:r>
        <w:rPr>
          <w:rFonts w:ascii="Arial" w:cs="Arial" w:eastAsia="Arial" w:hAnsi="Arial"/>
          <w:sz w:val="16"/>
          <w:szCs w:val="16"/>
          <w:b w:val="1"/>
          <w:bCs w:val="1"/>
          <w:i w:val="1"/>
          <w:iCs w:val="1"/>
          <w:color w:val="auto"/>
        </w:rPr>
        <w:t>“Base Prospectus</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base prospectus contained in the Registration Statement at the time of effectiveness of the Registration Statement.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xml:space="preserve"> means any preliminary prospectus supplement to the Base Prospectus which is used prior to the filing of the Prospectus, together with the Base Prospectus.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means the prospectus supplement that discloses the public offering price and other final terms of the Securities and the offering and otherwise satisfies Section 10(a) of the Act that is filed pursuant to Rule 424(b) after the execution of this Agreement, together with the Base Prospectus. Any reference herein to the Registration Statement, the Base Prospectus, any Preliminary Prospectus or the Prospectus shall be deemed to refer to and include the documents incorporated by reference therein pursuant to Item 12 of Form S-3 which were filed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on or before the effective date of the Registration Statement or the issue date of the Base Prospectus, any Preliminary Prospectus or the Prospectus, as the case may be; and any reference herein to the terms “amend,” “amendment” or “supplement” with respect to the Registration Statement, the Base Prospectus, any Preliminary Prospectus or the Prospectus shall be deemed to refer to and include the filing of any document under the Exchange Act after the effective date of the Registration Statement or the issue date of the Base Prospectus, any Preliminary Prospectus or the Prospectus, as the case may be, deemed to be incorporated by reference therein. All references in this Agreement to the Registration Statement, Base Prospectus, any Preliminary Prospectus, the Prospectus or any amendment or supplement to any of the foregoing, is deemed to include the copy filed with the Commission pursuant to its Electronic Data Gathering, Analysis and Retrieval System (“</w:t>
      </w:r>
      <w:r>
        <w:rPr>
          <w:rFonts w:ascii="Arial" w:cs="Arial" w:eastAsia="Arial" w:hAnsi="Arial"/>
          <w:sz w:val="16"/>
          <w:szCs w:val="16"/>
          <w:b w:val="1"/>
          <w:bCs w:val="1"/>
          <w:i w:val="1"/>
          <w:iCs w:val="1"/>
          <w:color w:val="auto"/>
        </w:rPr>
        <w:t>EDGAR</w:t>
      </w:r>
      <w:r>
        <w:rPr>
          <w:rFonts w:ascii="Arial" w:cs="Arial" w:eastAsia="Arial" w:hAnsi="Arial"/>
          <w:sz w:val="16"/>
          <w:szCs w:val="16"/>
          <w:color w:val="auto"/>
        </w:rPr>
        <w:t>”) or any successor system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620" w:firstLine="648"/>
        <w:spacing w:after="0" w:line="277" w:lineRule="auto"/>
        <w:rPr>
          <w:sz w:val="20"/>
          <w:szCs w:val="20"/>
          <w:color w:val="auto"/>
        </w:rPr>
      </w:pPr>
      <w:r>
        <w:rPr>
          <w:rFonts w:ascii="Arial" w:cs="Arial" w:eastAsia="Arial" w:hAnsi="Arial"/>
          <w:sz w:val="18"/>
          <w:szCs w:val="18"/>
          <w:color w:val="auto"/>
        </w:rPr>
        <w:t>All references herein to the Registration Statement, any Preliminary Prospectus or a Prospectus shall be deemed as of any time to include the documents and information incorporated therein by reference in accordance with the Rules and Regulations.</w:t>
      </w:r>
    </w:p>
    <w:p>
      <w:pPr>
        <w:spacing w:after="0" w:line="170" w:lineRule="exact"/>
        <w:rPr>
          <w:sz w:val="20"/>
          <w:szCs w:val="20"/>
          <w:color w:val="auto"/>
        </w:rPr>
      </w:pPr>
    </w:p>
    <w:p>
      <w:pPr>
        <w:ind w:left="880" w:hanging="224"/>
        <w:spacing w:after="0"/>
        <w:tabs>
          <w:tab w:leader="none" w:pos="880" w:val="left"/>
        </w:tabs>
        <w:numPr>
          <w:ilvl w:val="0"/>
          <w:numId w:val="4"/>
        </w:numPr>
        <w:rPr>
          <w:rFonts w:ascii="Arial" w:cs="Arial" w:eastAsia="Arial" w:hAnsi="Arial"/>
          <w:sz w:val="16"/>
          <w:szCs w:val="16"/>
          <w:color w:val="010000"/>
        </w:rPr>
      </w:pPr>
      <w:r>
        <w:rPr>
          <w:rFonts w:ascii="Arial" w:cs="Arial" w:eastAsia="Arial" w:hAnsi="Arial"/>
          <w:sz w:val="16"/>
          <w:szCs w:val="16"/>
          <w:b w:val="1"/>
          <w:bCs w:val="1"/>
          <w:i w:val="1"/>
          <w:iCs w:val="1"/>
          <w:color w:val="auto"/>
        </w:rPr>
        <w:t xml:space="preserve">Representations and Warranties of the Company. </w:t>
      </w:r>
      <w:r>
        <w:rPr>
          <w:rFonts w:ascii="Arial" w:cs="Arial" w:eastAsia="Arial" w:hAnsi="Arial"/>
          <w:sz w:val="16"/>
          <w:szCs w:val="16"/>
          <w:color w:val="auto"/>
        </w:rPr>
        <w:t>The Company represents and warrants to, and agrees with, each Underwriter as follows:</w:t>
      </w:r>
    </w:p>
    <w:p>
      <w:pPr>
        <w:spacing w:after="0" w:line="248" w:lineRule="exact"/>
        <w:rPr>
          <w:rFonts w:ascii="Arial" w:cs="Arial" w:eastAsia="Arial" w:hAnsi="Arial"/>
          <w:sz w:val="16"/>
          <w:szCs w:val="16"/>
          <w:color w:val="010000"/>
        </w:rPr>
      </w:pPr>
    </w:p>
    <w:p>
      <w:pPr>
        <w:ind w:left="660" w:right="80" w:firstLine="645"/>
        <w:spacing w:after="0" w:line="270" w:lineRule="auto"/>
        <w:tabs>
          <w:tab w:leader="none" w:pos="1598" w:val="left"/>
        </w:tabs>
        <w:numPr>
          <w:ilvl w:val="1"/>
          <w:numId w:val="4"/>
        </w:numPr>
        <w:rPr>
          <w:rFonts w:ascii="Arial" w:cs="Arial" w:eastAsia="Arial" w:hAnsi="Arial"/>
          <w:sz w:val="17"/>
          <w:szCs w:val="17"/>
          <w:color w:val="010000"/>
        </w:rPr>
      </w:pPr>
      <w:r>
        <w:rPr>
          <w:rFonts w:ascii="Arial" w:cs="Arial" w:eastAsia="Arial" w:hAnsi="Arial"/>
          <w:sz w:val="17"/>
          <w:szCs w:val="17"/>
          <w:i w:val="1"/>
          <w:iCs w:val="1"/>
          <w:u w:val="single" w:color="auto"/>
          <w:color w:val="auto"/>
        </w:rPr>
        <w:t>Registration Statement and Prospectuses</w:t>
      </w:r>
      <w:r>
        <w:rPr>
          <w:rFonts w:ascii="Arial" w:cs="Arial" w:eastAsia="Arial" w:hAnsi="Arial"/>
          <w:sz w:val="17"/>
          <w:szCs w:val="17"/>
          <w:color w:val="auto"/>
        </w:rPr>
        <w:t>. The Registration Statement and any post-effective amendment thereto has become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Act. No stop order suspending the effectiveness of the Registration Statement or any post-effective amendment thereto has been issued, and no proceeding for that purpose has been initiated or, to the Company’s knowledge, threatened by the Commission. No order preventing or suspending the use of any Preliminary Prospectus or the Prospectus (or any supplement thereto) has been issued by the Commission and no proceeding for that purpose has been initiated or, to the Company’s knowledge, threatened by the Commission. As of the time each part of the Registration Statement (or any post-effective amendment thereto) became or becomes effective, such part conformed or will conform in all material respects to the requirements of the Act and the Rules and Regulations. Upon the filing or first use within the meaning of the Rules and Regulations, each Preliminary Prospectus and the Prospectus (or any supplement to either) conformed or will conform in all material respects to the requirements of the Act and the Rules and Regulations. The conditions to the use of Form S-3 in connection with the offering and sale of the Securities as contemplated hereby have been satisfied.</w:t>
      </w:r>
    </w:p>
    <w:p>
      <w:pPr>
        <w:spacing w:after="0" w:line="177" w:lineRule="exact"/>
        <w:rPr>
          <w:rFonts w:ascii="Arial" w:cs="Arial" w:eastAsia="Arial" w:hAnsi="Arial"/>
          <w:sz w:val="17"/>
          <w:szCs w:val="17"/>
          <w:color w:val="010000"/>
        </w:rPr>
      </w:pPr>
    </w:p>
    <w:p>
      <w:pPr>
        <w:ind w:left="660" w:right="20" w:firstLine="645"/>
        <w:spacing w:after="0" w:line="285" w:lineRule="auto"/>
        <w:tabs>
          <w:tab w:leader="none" w:pos="1608" w:val="left"/>
        </w:tabs>
        <w:numPr>
          <w:ilvl w:val="1"/>
          <w:numId w:val="4"/>
        </w:numPr>
        <w:rPr>
          <w:rFonts w:ascii="Arial" w:cs="Arial" w:eastAsia="Arial" w:hAnsi="Arial"/>
          <w:sz w:val="16"/>
          <w:szCs w:val="16"/>
          <w:color w:val="010000"/>
        </w:rPr>
      </w:pPr>
      <w:r>
        <w:rPr>
          <w:rFonts w:ascii="Arial" w:cs="Arial" w:eastAsia="Arial" w:hAnsi="Arial"/>
          <w:sz w:val="16"/>
          <w:szCs w:val="16"/>
          <w:i w:val="1"/>
          <w:iCs w:val="1"/>
          <w:u w:val="single" w:color="auto"/>
          <w:color w:val="auto"/>
        </w:rPr>
        <w:t>Accurate Disclosure</w:t>
      </w:r>
      <w:r>
        <w:rPr>
          <w:rFonts w:ascii="Arial" w:cs="Arial" w:eastAsia="Arial" w:hAnsi="Arial"/>
          <w:sz w:val="16"/>
          <w:szCs w:val="16"/>
          <w:color w:val="auto"/>
        </w:rPr>
        <w:t>. Each Preliminary Prospectus, at the time of filing thereof or the time of first use within the meaning of the Rules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the Second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the Second Closing Date,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 Section 2(b)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6(e) (the “</w:t>
      </w:r>
      <w:r>
        <w:rPr>
          <w:rFonts w:ascii="Arial" w:cs="Arial" w:eastAsia="Arial" w:hAnsi="Arial"/>
          <w:sz w:val="16"/>
          <w:szCs w:val="16"/>
          <w:b w:val="1"/>
          <w:bCs w:val="1"/>
          <w:i w:val="1"/>
          <w:iCs w:val="1"/>
          <w:color w:val="auto"/>
        </w:rPr>
        <w:t>Underwriters Information</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reference to an </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xml:space="preserve"> herein means an issuer free writing prospectus as defined in Rule 433 of the Rules and Regulations.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“Time of Sale Disclosure Package” </w:t>
      </w:r>
      <w:r>
        <w:rPr>
          <w:rFonts w:ascii="Arial" w:cs="Arial" w:eastAsia="Arial" w:hAnsi="Arial"/>
          <w:sz w:val="18"/>
          <w:szCs w:val="18"/>
          <w:color w:val="auto"/>
        </w:rPr>
        <w:t>means the Preliminary Prospectus dated June 4, 2019, any free writing prospectus set forth on Schedule III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on Schedule IV, all considered together.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Each reference to a </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xml:space="preserve"> herein means a free writing prospectus as defined in Rule 405 of the Rules and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“Time of Sale” </w:t>
      </w:r>
      <w:r>
        <w:rPr>
          <w:rFonts w:ascii="Arial" w:cs="Arial" w:eastAsia="Arial" w:hAnsi="Arial"/>
          <w:sz w:val="18"/>
          <w:szCs w:val="18"/>
          <w:color w:val="auto"/>
        </w:rPr>
        <w:t>means 8:00 a.m. (New York time) on the date of this Agreement.</w:t>
      </w:r>
    </w:p>
    <w:p>
      <w:pPr>
        <w:spacing w:after="0" w:line="225" w:lineRule="exact"/>
        <w:rPr>
          <w:sz w:val="20"/>
          <w:szCs w:val="20"/>
          <w:color w:val="auto"/>
        </w:rPr>
      </w:pPr>
    </w:p>
    <w:p>
      <w:pPr>
        <w:ind w:left="1600" w:hanging="295"/>
        <w:spacing w:after="0"/>
        <w:tabs>
          <w:tab w:leader="none" w:pos="1600" w:val="left"/>
        </w:tabs>
        <w:numPr>
          <w:ilvl w:val="0"/>
          <w:numId w:val="5"/>
        </w:numPr>
        <w:rPr>
          <w:rFonts w:ascii="Arial" w:cs="Arial" w:eastAsia="Arial" w:hAnsi="Arial"/>
          <w:sz w:val="18"/>
          <w:szCs w:val="18"/>
          <w:color w:val="010000"/>
        </w:rPr>
      </w:pPr>
      <w:r>
        <w:rPr>
          <w:rFonts w:ascii="Arial" w:cs="Arial" w:eastAsia="Arial" w:hAnsi="Arial"/>
          <w:sz w:val="18"/>
          <w:szCs w:val="18"/>
          <w:i w:val="1"/>
          <w:iCs w:val="1"/>
          <w:u w:val="single" w:color="auto"/>
          <w:color w:val="auto"/>
        </w:rPr>
        <w:t>Issuer Free Writing Prospectuses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60" w:firstLine="653"/>
        <w:spacing w:after="0" w:line="255" w:lineRule="auto"/>
        <w:tabs>
          <w:tab w:leader="none" w:pos="2208" w:val="left"/>
        </w:tabs>
        <w:numPr>
          <w:ilvl w:val="1"/>
          <w:numId w:val="5"/>
        </w:numPr>
        <w:rPr>
          <w:rFonts w:ascii="Arial" w:cs="Arial" w:eastAsia="Arial" w:hAnsi="Arial"/>
          <w:sz w:val="18"/>
          <w:szCs w:val="18"/>
          <w:color w:val="010000"/>
        </w:rPr>
      </w:pPr>
      <w:r>
        <w:rPr>
          <w:rFonts w:ascii="Arial" w:cs="Arial" w:eastAsia="Arial" w:hAnsi="Arial"/>
          <w:sz w:val="18"/>
          <w:szCs w:val="18"/>
          <w:color w:val="auto"/>
        </w:rPr>
        <w:t>Each issuer free writing prospectus, as of its issue date and at all subsequent times through the completion of the public offer and sale of the Securities or until any earlier date that the Company notified or notifies the Representative as described in Section 4(c)(ii), did not, does not and will not include any information that conflicted, conflicts or will conflict with the information contained in the Registration Statement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Underwriters Information.</w:t>
      </w:r>
    </w:p>
    <w:p>
      <w:pPr>
        <w:spacing w:after="0" w:line="189" w:lineRule="exact"/>
        <w:rPr>
          <w:rFonts w:ascii="Arial" w:cs="Arial" w:eastAsia="Arial" w:hAnsi="Arial"/>
          <w:sz w:val="18"/>
          <w:szCs w:val="18"/>
          <w:color w:val="010000"/>
        </w:rPr>
      </w:pPr>
    </w:p>
    <w:p>
      <w:pPr>
        <w:ind w:left="1300" w:right="380" w:firstLine="653"/>
        <w:spacing w:after="0" w:line="259" w:lineRule="auto"/>
        <w:tabs>
          <w:tab w:leader="none" w:pos="2258" w:val="left"/>
        </w:tabs>
        <w:numPr>
          <w:ilvl w:val="1"/>
          <w:numId w:val="5"/>
        </w:numPr>
        <w:rPr>
          <w:rFonts w:ascii="Arial" w:cs="Arial" w:eastAsia="Arial" w:hAnsi="Arial"/>
          <w:sz w:val="18"/>
          <w:szCs w:val="18"/>
          <w:color w:val="010000"/>
        </w:rPr>
      </w:pPr>
      <w:r>
        <w:rPr>
          <w:rFonts w:ascii="Arial" w:cs="Arial" w:eastAsia="Arial" w:hAnsi="Arial"/>
          <w:sz w:val="18"/>
          <w:szCs w:val="18"/>
          <w:color w:val="auto"/>
        </w:rPr>
        <w:t>At the time of filing the Registration Statement and any post-effective amendment thereto, and at the date hereof, the Company was not and is not an “ineligible issuer,” as defined in Rule 405 of the Rules and Regulations, without taking account of any determination by the Commission pursuant to Rule 405 of the Rules and Regulations that it is not necessary that the Company be considered an ineligible issuer.</w:t>
      </w:r>
    </w:p>
    <w:p>
      <w:pPr>
        <w:spacing w:after="0" w:line="186" w:lineRule="exact"/>
        <w:rPr>
          <w:rFonts w:ascii="Arial" w:cs="Arial" w:eastAsia="Arial" w:hAnsi="Arial"/>
          <w:sz w:val="18"/>
          <w:szCs w:val="18"/>
          <w:color w:val="010000"/>
        </w:rPr>
      </w:pPr>
    </w:p>
    <w:p>
      <w:pPr>
        <w:ind w:left="1300" w:right="300" w:firstLine="653"/>
        <w:spacing w:after="0" w:line="308" w:lineRule="auto"/>
        <w:tabs>
          <w:tab w:leader="none" w:pos="2308" w:val="left"/>
        </w:tabs>
        <w:numPr>
          <w:ilvl w:val="1"/>
          <w:numId w:val="5"/>
        </w:numPr>
        <w:rPr>
          <w:rFonts w:ascii="Arial" w:cs="Arial" w:eastAsia="Arial" w:hAnsi="Arial"/>
          <w:sz w:val="17"/>
          <w:szCs w:val="17"/>
          <w:color w:val="010000"/>
        </w:rPr>
      </w:pPr>
      <w:r>
        <w:rPr>
          <w:rFonts w:ascii="Arial" w:cs="Arial" w:eastAsia="Arial" w:hAnsi="Arial"/>
          <w:sz w:val="17"/>
          <w:szCs w:val="17"/>
          <w:color w:val="auto"/>
        </w:rPr>
        <w:t>Each issuer free writing prospectus satisfied, as of its issue date and at all subsequent times through the completion of the public offer and sale of the Securities, all other conditions to use thereof as set forth in Rules 164 and 433 under the Act.</w:t>
      </w:r>
    </w:p>
    <w:p>
      <w:pPr>
        <w:spacing w:after="0" w:line="146" w:lineRule="exact"/>
        <w:rPr>
          <w:rFonts w:ascii="Arial" w:cs="Arial" w:eastAsia="Arial" w:hAnsi="Arial"/>
          <w:sz w:val="17"/>
          <w:szCs w:val="17"/>
          <w:color w:val="010000"/>
        </w:rPr>
      </w:pPr>
    </w:p>
    <w:p>
      <w:pPr>
        <w:ind w:left="660" w:firstLine="645"/>
        <w:spacing w:after="0" w:line="272" w:lineRule="auto"/>
        <w:tabs>
          <w:tab w:leader="none" w:pos="1608" w:val="left"/>
        </w:tabs>
        <w:numPr>
          <w:ilvl w:val="0"/>
          <w:numId w:val="5"/>
        </w:numPr>
        <w:rPr>
          <w:rFonts w:ascii="Arial" w:cs="Arial" w:eastAsia="Arial" w:hAnsi="Arial"/>
          <w:sz w:val="17"/>
          <w:szCs w:val="17"/>
          <w:color w:val="010000"/>
        </w:rPr>
      </w:pPr>
      <w:r>
        <w:rPr>
          <w:rFonts w:ascii="Arial" w:cs="Arial" w:eastAsia="Arial" w:hAnsi="Arial"/>
          <w:sz w:val="17"/>
          <w:szCs w:val="17"/>
          <w:i w:val="1"/>
          <w:iCs w:val="1"/>
          <w:u w:val="single" w:color="auto"/>
          <w:color w:val="auto"/>
        </w:rPr>
        <w:t>No Other Offering Materials</w:t>
      </w:r>
      <w:r>
        <w:rPr>
          <w:rFonts w:ascii="Arial" w:cs="Arial" w:eastAsia="Arial" w:hAnsi="Arial"/>
          <w:sz w:val="17"/>
          <w:szCs w:val="17"/>
          <w:color w:val="auto"/>
        </w:rPr>
        <w:t>. The Company has not distributed and will not distribute any prospectus or other offering material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connection with the offering and sale of the Securities other than any Preliminary Prospectus, the Time of Sale Disclosure Package or the Prospectus or other materials permitted by the Act to be distributed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except as set forth on Schedule IV hereto and in accordance with the provisions of Section 4(o) of this Agreement, the Company has not made and will not make any offer relating to the Securities that would constitute a free writing prospectus. The Company has not made and will not make any communication relating to the Securities that would constitute a Testing-the-Waters Communication. </w:t>
      </w:r>
      <w:r>
        <w:rPr>
          <w:rFonts w:ascii="Arial" w:cs="Arial" w:eastAsia="Arial" w:hAnsi="Arial"/>
          <w:sz w:val="17"/>
          <w:szCs w:val="17"/>
          <w:b w:val="1"/>
          <w:bCs w:val="1"/>
          <w:i w:val="1"/>
          <w:iCs w:val="1"/>
          <w:color w:val="auto"/>
        </w:rPr>
        <w:t>“Testing-the-Waters Communication”</w:t>
      </w:r>
      <w:r>
        <w:rPr>
          <w:rFonts w:ascii="Arial" w:cs="Arial" w:eastAsia="Arial" w:hAnsi="Arial"/>
          <w:sz w:val="17"/>
          <w:szCs w:val="17"/>
          <w:color w:val="auto"/>
        </w:rPr>
        <w:t xml:space="preserve"> means any oral or written communication with potential investors undertaken in reliance on Section 5(d) of the Act.</w:t>
      </w:r>
    </w:p>
    <w:p>
      <w:pPr>
        <w:spacing w:after="0" w:line="177" w:lineRule="exact"/>
        <w:rPr>
          <w:rFonts w:ascii="Arial" w:cs="Arial" w:eastAsia="Arial" w:hAnsi="Arial"/>
          <w:sz w:val="17"/>
          <w:szCs w:val="17"/>
          <w:color w:val="010000"/>
        </w:rPr>
      </w:pPr>
    </w:p>
    <w:p>
      <w:pPr>
        <w:ind w:left="660" w:firstLine="645"/>
        <w:spacing w:after="0" w:line="291" w:lineRule="auto"/>
        <w:tabs>
          <w:tab w:leader="none" w:pos="1598" w:val="left"/>
        </w:tabs>
        <w:numPr>
          <w:ilvl w:val="0"/>
          <w:numId w:val="5"/>
        </w:numPr>
        <w:rPr>
          <w:rFonts w:ascii="Arial" w:cs="Arial" w:eastAsia="Arial" w:hAnsi="Arial"/>
          <w:sz w:val="16"/>
          <w:szCs w:val="16"/>
          <w:color w:val="010000"/>
        </w:rPr>
      </w:pPr>
      <w:r>
        <w:rPr>
          <w:rFonts w:ascii="Arial" w:cs="Arial" w:eastAsia="Arial" w:hAnsi="Arial"/>
          <w:sz w:val="16"/>
          <w:szCs w:val="16"/>
          <w:i w:val="1"/>
          <w:iCs w:val="1"/>
          <w:u w:val="single" w:color="auto"/>
          <w:color w:val="auto"/>
        </w:rPr>
        <w:t>Incorporated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documents incorporated by reference in the Registration Statement, the Time of Sale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Prospectus,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Time of Sale Disclosure Package and Prospectus,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6" w:name="page7"/>
    <w:bookmarkEnd w:id="6"/>
    <w:p>
      <w:pPr>
        <w:ind w:left="-540" w:firstLine="645"/>
        <w:spacing w:after="0" w:line="284" w:lineRule="auto"/>
        <w:tabs>
          <w:tab w:leader="none" w:pos="378" w:val="left"/>
        </w:tabs>
        <w:numPr>
          <w:ilvl w:val="0"/>
          <w:numId w:val="6"/>
        </w:numPr>
        <w:rPr>
          <w:rFonts w:ascii="Arial" w:cs="Arial" w:eastAsia="Arial" w:hAnsi="Arial"/>
          <w:sz w:val="16"/>
          <w:szCs w:val="16"/>
          <w:color w:val="010000"/>
        </w:rPr>
      </w:pPr>
      <w:r>
        <w:rPr>
          <w:rFonts w:ascii="Arial" w:cs="Arial" w:eastAsia="Arial" w:hAnsi="Arial"/>
          <w:sz w:val="16"/>
          <w:szCs w:val="16"/>
          <w:i w:val="1"/>
          <w:iCs w:val="1"/>
          <w:u w:val="single" w:color="auto"/>
          <w:color w:val="auto"/>
        </w:rPr>
        <w:t>Financial Statements</w:t>
      </w:r>
      <w:r>
        <w:rPr>
          <w:rFonts w:ascii="Arial" w:cs="Arial" w:eastAsia="Arial" w:hAnsi="Arial"/>
          <w:sz w:val="16"/>
          <w:szCs w:val="16"/>
          <w:color w:val="auto"/>
        </w:rPr>
        <w:t>. The financial statements of the Company, together with the related notes, set forth in the Registration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Sale Disclosure Package and Prospectus comply in all material respects with the requirements of the Act and the Rules and Regulations and fairly present in all material respects the financial condition of the Company and its consolidated subsidiaries as of the dates indicated and the results of operations, cash flows and changes in stockholders’ equity for the periods therein specified. The financial statements of the Company, together with the related notes, set forth in the Registration Statement, the Time of Sale Disclosure Package and Prospectus are in conformity with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xml:space="preserve">) consistently applied throughout the periods involved. The supporting schedules of the Company included or incorporated by reference in the Registration Statement present fairly in all material respects the information required to be stated therein. All non-GAAP financial information included in the Registration Statement, the Time of Sale Disclosure Package and the Prospectus complies with the applicable requirements of Regulation G and Item 10 of Regulation S-K under the Act. There is no pro forma or as adjusted financial information which is required to be included in the Registration Statement, the Time of Sale Disclosure Package or the Prospectus or a document incorporated by reference therein in accordance with Regulation S-X which has not been included or incorporated as so required. Except as disclosed in the Registration Statement, the Time of Sale Disclosure Package and the Prospectus, there are no material off-balance sheet arrangements (as defined in Regulation S-K under the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or incorporated by reference in the Registration Statement, the Time of Sale Disclosure Package or the Prospectus. Each of Sadler, Gibb &amp; Associates, LLC and Marcum LLP, which has each expressed its opinion with respect to the financial statements of the Company and related schedules filed as a part of the Registration Statement and included or incorporated by reference in the Registration Statement, the Time of Sale Disclosure Package and the Prospectus, is (x) an independent public accounting firm within the meaning of the Act and the Rules and Regulations, (y) a registered public accounting firm (as defined in Section 2(a)(12)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(z) not in violation of the auditor independence requirements of the Sarbanes-Oxley Act.</w:t>
      </w:r>
    </w:p>
    <w:p>
      <w:pPr>
        <w:spacing w:after="0" w:line="181" w:lineRule="exact"/>
        <w:rPr>
          <w:rFonts w:ascii="Arial" w:cs="Arial" w:eastAsia="Arial" w:hAnsi="Arial"/>
          <w:sz w:val="16"/>
          <w:szCs w:val="16"/>
          <w:color w:val="010000"/>
        </w:rPr>
      </w:pPr>
    </w:p>
    <w:p>
      <w:pPr>
        <w:ind w:left="-540" w:right="60" w:firstLine="645"/>
        <w:spacing w:after="0" w:line="291" w:lineRule="auto"/>
        <w:tabs>
          <w:tab w:leader="none" w:pos="408" w:val="left"/>
        </w:tabs>
        <w:numPr>
          <w:ilvl w:val="0"/>
          <w:numId w:val="6"/>
        </w:numPr>
        <w:rPr>
          <w:rFonts w:ascii="Arial" w:cs="Arial" w:eastAsia="Arial" w:hAnsi="Arial"/>
          <w:sz w:val="16"/>
          <w:szCs w:val="16"/>
          <w:color w:val="010000"/>
        </w:rPr>
      </w:pPr>
      <w:r>
        <w:rPr>
          <w:rFonts w:ascii="Arial" w:cs="Arial" w:eastAsia="Arial" w:hAnsi="Arial"/>
          <w:sz w:val="16"/>
          <w:szCs w:val="16"/>
          <w:i w:val="1"/>
          <w:iCs w:val="1"/>
          <w:u w:val="single" w:color="auto"/>
          <w:color w:val="auto"/>
        </w:rPr>
        <w:t>Organization and Good Standing</w:t>
      </w:r>
      <w:r>
        <w:rPr>
          <w:rFonts w:ascii="Arial" w:cs="Arial" w:eastAsia="Arial" w:hAnsi="Arial"/>
          <w:sz w:val="16"/>
          <w:szCs w:val="16"/>
          <w:color w:val="auto"/>
        </w:rPr>
        <w:t>. Each of the Company and its subsidiaries has been duly organized and is validly existing as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in good standing under the laws of its jurisdiction of organization and reorganization, as applicable. Each of the Company and its subsidiaries has full corporate power and authority to own its properties and conduct its business as currently being carried on and as described in the Registration Statement, the Time of Sale Disclosure Package and Prospectus, and is duly qualified to do business as a foreign entity in good standing in each jurisdiction in which it owns or leases real property or in which the conduct of its business makes such qualification necessary and in which the failure to so qualify or be in good standing would have a material adverse effect upon the business, management, properties, operations, condition (financial or otherwise) or results of operations of the Company and its subsidiaries, taken as a whole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37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7" w:name="page8"/>
    <w:bookmarkEnd w:id="7"/>
    <w:p>
      <w:pPr>
        <w:ind w:left="-540" w:firstLine="645"/>
        <w:spacing w:after="0" w:line="269" w:lineRule="auto"/>
        <w:tabs>
          <w:tab w:leader="none" w:pos="408" w:val="left"/>
        </w:tabs>
        <w:numPr>
          <w:ilvl w:val="0"/>
          <w:numId w:val="7"/>
        </w:numPr>
        <w:rPr>
          <w:rFonts w:ascii="Arial" w:cs="Arial" w:eastAsia="Arial" w:hAnsi="Arial"/>
          <w:sz w:val="17"/>
          <w:szCs w:val="17"/>
          <w:color w:val="010000"/>
        </w:rPr>
      </w:pPr>
      <w:r>
        <w:rPr>
          <w:rFonts w:ascii="Arial" w:cs="Arial" w:eastAsia="Arial" w:hAnsi="Arial"/>
          <w:sz w:val="17"/>
          <w:szCs w:val="17"/>
          <w:i w:val="1"/>
          <w:iCs w:val="1"/>
          <w:u w:val="single" w:color="auto"/>
          <w:color w:val="auto"/>
        </w:rPr>
        <w:t>Absence of Certain Events</w:t>
      </w:r>
      <w:r>
        <w:rPr>
          <w:rFonts w:ascii="Arial" w:cs="Arial" w:eastAsia="Arial" w:hAnsi="Arial"/>
          <w:sz w:val="17"/>
          <w:szCs w:val="17"/>
          <w:color w:val="auto"/>
        </w:rPr>
        <w:t>. Except as contemplated in the Registration Statement, the Time of Sale Disclosure Package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subsequent 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or due to the issuance of shares of Common Stock to the directors in satisfaction of their compensation for serving as a director),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Arial" w:cs="Arial" w:eastAsia="Arial" w:hAnsi="Arial"/>
          <w:sz w:val="17"/>
          <w:szCs w:val="17"/>
          <w:b w:val="1"/>
          <w:bCs w:val="1"/>
          <w:i w:val="1"/>
          <w:iCs w:val="1"/>
          <w:color w:val="auto"/>
        </w:rPr>
        <w:t>“Material Adverse Change”</w:t>
      </w:r>
      <w:r>
        <w:rPr>
          <w:rFonts w:ascii="Arial" w:cs="Arial" w:eastAsia="Arial" w:hAnsi="Arial"/>
          <w:sz w:val="17"/>
          <w:szCs w:val="17"/>
          <w:color w:val="auto"/>
        </w:rPr>
        <w:t>) or any development which could reasonably be expected to result in any Material Adverse Change.</w:t>
      </w:r>
    </w:p>
    <w:p>
      <w:pPr>
        <w:spacing w:after="0" w:line="182" w:lineRule="exact"/>
        <w:rPr>
          <w:rFonts w:ascii="Arial" w:cs="Arial" w:eastAsia="Arial" w:hAnsi="Arial"/>
          <w:sz w:val="17"/>
          <w:szCs w:val="17"/>
          <w:color w:val="010000"/>
        </w:rPr>
      </w:pPr>
    </w:p>
    <w:p>
      <w:pPr>
        <w:ind w:left="-540" w:right="60" w:firstLine="645"/>
        <w:spacing w:after="0" w:line="269" w:lineRule="auto"/>
        <w:tabs>
          <w:tab w:leader="none" w:pos="368" w:val="left"/>
        </w:tabs>
        <w:numPr>
          <w:ilvl w:val="0"/>
          <w:numId w:val="7"/>
        </w:numPr>
        <w:rPr>
          <w:rFonts w:ascii="Arial" w:cs="Arial" w:eastAsia="Arial" w:hAnsi="Arial"/>
          <w:sz w:val="17"/>
          <w:szCs w:val="17"/>
          <w:color w:val="010000"/>
        </w:rPr>
      </w:pPr>
      <w:r>
        <w:rPr>
          <w:rFonts w:ascii="Arial" w:cs="Arial" w:eastAsia="Arial" w:hAnsi="Arial"/>
          <w:sz w:val="17"/>
          <w:szCs w:val="17"/>
          <w:i w:val="1"/>
          <w:iCs w:val="1"/>
          <w:u w:val="single" w:color="auto"/>
          <w:color w:val="auto"/>
        </w:rPr>
        <w:t>Absence of Proceedings</w:t>
      </w:r>
      <w:r>
        <w:rPr>
          <w:rFonts w:ascii="Arial" w:cs="Arial" w:eastAsia="Arial" w:hAnsi="Arial"/>
          <w:sz w:val="17"/>
          <w:szCs w:val="17"/>
          <w:color w:val="auto"/>
        </w:rPr>
        <w:t>. Except as set forth in the Time of Sale Disclosure Package and in the Prospectus, there is not pending 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threatened or contemplated, any action, suit or proceeding (a) to which the Company or any of its subsidiaries is a party or (b) which, to the knowledge of the Company, has as the subject thereof any officer or director of the Company or its subsidiaries, any employee benefit plan sponsored by the Company or its subsidiaries or any property or assets owned or leased by the Company or its subsidiaries before or by any court or Governmental Authority (as defined below), or any arbitrator, which, individually or in the aggregate, might result in any Material Adverse Change, or would materially and adversely affect the ability of the Company to perform its obligations under this Agreement. There are no current or, to the knowledge of the Company, pending, legal, governmental or regulatory actions, suits or proceedings (x) to which the Company or its subsidiaries is subject or (y) which has as the subject thereof any officer or director of the Company or its subsidiaries, any employee plan sponsored by the Company or its subsidiaries or any property or assets owned or leased by the Company or its subsidiaries, that are required to be described in the Registration Statement, Time of Sale Disclosure Package and Prospectus by the Act or by the Rules and Regulations and that have not been so described.</w:t>
      </w:r>
    </w:p>
    <w:p>
      <w:pPr>
        <w:spacing w:after="0" w:line="39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8" w:name="page9"/>
    <w:bookmarkEnd w:id="8"/>
    <w:p>
      <w:pPr>
        <w:ind w:left="4" w:firstLine="645"/>
        <w:spacing w:after="0" w:line="283" w:lineRule="auto"/>
        <w:tabs>
          <w:tab w:leader="none" w:pos="912" w:val="left"/>
        </w:tabs>
        <w:numPr>
          <w:ilvl w:val="1"/>
          <w:numId w:val="8"/>
        </w:numPr>
        <w:rPr>
          <w:rFonts w:ascii="Arial" w:cs="Arial" w:eastAsia="Arial" w:hAnsi="Arial"/>
          <w:sz w:val="16"/>
          <w:szCs w:val="16"/>
          <w:color w:val="010000"/>
        </w:rPr>
      </w:pPr>
      <w:r>
        <w:rPr>
          <w:rFonts w:ascii="Arial" w:cs="Arial" w:eastAsia="Arial" w:hAnsi="Arial"/>
          <w:sz w:val="16"/>
          <w:szCs w:val="16"/>
          <w:i w:val="1"/>
          <w:iCs w:val="1"/>
          <w:u w:val="single" w:color="auto"/>
          <w:color w:val="auto"/>
        </w:rPr>
        <w:t>Authorization; No Conflicts; Authority</w:t>
      </w:r>
      <w:r>
        <w:rPr>
          <w:rFonts w:ascii="Arial" w:cs="Arial" w:eastAsia="Arial" w:hAnsi="Arial"/>
          <w:sz w:val="16"/>
          <w:szCs w:val="16"/>
          <w:color w:val="auto"/>
        </w:rPr>
        <w:t>. This Agreement has been duly authorized, executed and delivered by the Company.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its subsidiaries pursuant to any indenture, mortgage, deed of trust, loan agreement or other agreement or instrument to which the Company or its subsidiaries is a party or by which the Company or its subsidiaries is bound or to which any of the property or assets of the Company or its subsidiaries is subject, (B) result in any violation of the provisions of the Company’s charter or by-laws or</w:t>
      </w:r>
    </w:p>
    <w:p>
      <w:pPr>
        <w:spacing w:after="0" w:line="6" w:lineRule="exact"/>
        <w:rPr>
          <w:rFonts w:ascii="Arial" w:cs="Arial" w:eastAsia="Arial" w:hAnsi="Arial"/>
          <w:sz w:val="16"/>
          <w:szCs w:val="16"/>
          <w:color w:val="010000"/>
        </w:rPr>
      </w:pPr>
    </w:p>
    <w:p>
      <w:pPr>
        <w:ind w:left="4" w:right="100" w:hanging="4"/>
        <w:spacing w:after="0" w:line="268" w:lineRule="auto"/>
        <w:tabs>
          <w:tab w:leader="none" w:pos="289"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result in the violation of any law or statute or any judgment, order, rule, regulation or decree of any court or arbitrator or federal, state, local or foreign governmental agency or regulatory authority having jurisdiction over the Company or its subsidiaries or any of their properties or assets (each, a </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except in the case of clauses (A) and (C) as would not result in a Material Adverse Effect. No consent, approval, authorization or order of, or registration or filing with any Governmental Authority is required to be obtained by the Company for the execution, delivery and performance of this Agreement or for the consummation of the transactions contemplated hereby, including the issuance or sale of the Securities by the Company, except such as may be required under the Act, the rules of the Financial Industry Regulatory Authority, Inc.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the rules of The Nasdaq Stock Market LLC or state securities or blue sky laws; and the Company has full power and authority to enter into this Agreement and to consummate the transactions contemplated hereby, including the authorization, issuance and sale of the Securities as contemplated by this Agreement.</w:t>
      </w:r>
    </w:p>
    <w:p>
      <w:pPr>
        <w:spacing w:after="0" w:line="182" w:lineRule="exact"/>
        <w:rPr>
          <w:rFonts w:ascii="Arial" w:cs="Arial" w:eastAsia="Arial" w:hAnsi="Arial"/>
          <w:sz w:val="17"/>
          <w:szCs w:val="17"/>
          <w:color w:val="auto"/>
        </w:rPr>
      </w:pPr>
    </w:p>
    <w:p>
      <w:pPr>
        <w:ind w:left="4" w:firstLine="645"/>
        <w:spacing w:after="0" w:line="285" w:lineRule="auto"/>
        <w:tabs>
          <w:tab w:leader="none" w:pos="952" w:val="left"/>
        </w:tabs>
        <w:numPr>
          <w:ilvl w:val="1"/>
          <w:numId w:val="9"/>
        </w:numPr>
        <w:rPr>
          <w:rFonts w:ascii="Arial" w:cs="Arial" w:eastAsia="Arial" w:hAnsi="Arial"/>
          <w:sz w:val="16"/>
          <w:szCs w:val="16"/>
          <w:color w:val="010000"/>
        </w:rPr>
      </w:pPr>
      <w:r>
        <w:rPr>
          <w:rFonts w:ascii="Arial" w:cs="Arial" w:eastAsia="Arial" w:hAnsi="Arial"/>
          <w:sz w:val="16"/>
          <w:szCs w:val="16"/>
          <w:i w:val="1"/>
          <w:iCs w:val="1"/>
          <w:u w:val="single" w:color="auto"/>
          <w:color w:val="auto"/>
        </w:rPr>
        <w:t>Capitalization; the Securities; Registration Rights</w:t>
      </w:r>
      <w:r>
        <w:rPr>
          <w:rFonts w:ascii="Arial" w:cs="Arial" w:eastAsia="Arial" w:hAnsi="Arial"/>
          <w:sz w:val="16"/>
          <w:szCs w:val="16"/>
          <w:color w:val="auto"/>
        </w:rPr>
        <w:t>. All of the issued and outstanding shares of capital stock of the Company,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Underwriters), and the holders thereof are not subject to personal liability by reason of being such holders; the Securities which may be sold hereunder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Common Stock, conforms in all material respects to the description thereof in the Registration Statement, in the Time of Sale Disclosure Package and in the Prospectus. Except as otherwise stated in the Registration Statement, in the Time of Sale Disclosure Package and in the Prospectus, (A) there are no preemptive rights or other rights to subscribe for or to purchase, or any restriction upon the voting or transfer of, any shares of Common Stock pursuant to the Company’s charter, bylaws or any agreement or other instrument to which the Company or its subsidiaries is a party or by which the Company or its subsidiaries is bound, (B) none of the filing of the Registration Statement, the offering, or the sale of the Securities as contemplated by this Agreement give rise to any rights for or relating to the registration of any shares of Common Stock or other securities of the Company (collectively </w:t>
      </w:r>
      <w:r>
        <w:rPr>
          <w:rFonts w:ascii="Arial" w:cs="Arial" w:eastAsia="Arial" w:hAnsi="Arial"/>
          <w:sz w:val="16"/>
          <w:szCs w:val="16"/>
          <w:b w:val="1"/>
          <w:bCs w:val="1"/>
          <w:i w:val="1"/>
          <w:iCs w:val="1"/>
          <w:color w:val="auto"/>
        </w:rPr>
        <w:t>“Registration Rights”</w:t>
      </w:r>
      <w:r>
        <w:rPr>
          <w:rFonts w:ascii="Arial" w:cs="Arial" w:eastAsia="Arial" w:hAnsi="Arial"/>
          <w:sz w:val="16"/>
          <w:szCs w:val="16"/>
          <w:color w:val="auto"/>
        </w:rPr>
        <w:t>) and (C) any person to whom the Company has granted Registration Rights has agreed not to exercise such rights until after expiration of the Lock-Up Period (as defined below). All of the issued and outstanding shares of capital stock of each of the Company’s subsidiaries has been duly and validly authorized and issued and is fully paid and nonassessable, and, except as otherwise described in the Registration Statement, in the Time of Sale Disclosure Package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in the Time of Sale Disclosure Package and in the Prospectus under the caption “Description of Share Capital.”</w:t>
      </w:r>
    </w:p>
    <w:p>
      <w:pPr>
        <w:spacing w:after="0" w:line="37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881" w:right="279" w:bottom="1440" w:gutter="0" w:footer="0" w:header="0"/>
        </w:sectPr>
      </w:pPr>
    </w:p>
    <w:bookmarkStart w:id="9" w:name="page10"/>
    <w:bookmarkEnd w:id="9"/>
    <w:p>
      <w:pPr>
        <w:ind w:left="-540" w:firstLine="645"/>
        <w:spacing w:after="0" w:line="269" w:lineRule="auto"/>
        <w:tabs>
          <w:tab w:leader="none" w:pos="368" w:val="left"/>
        </w:tabs>
        <w:numPr>
          <w:ilvl w:val="0"/>
          <w:numId w:val="10"/>
        </w:numPr>
        <w:rPr>
          <w:rFonts w:ascii="Arial" w:cs="Arial" w:eastAsia="Arial" w:hAnsi="Arial"/>
          <w:sz w:val="17"/>
          <w:szCs w:val="17"/>
          <w:color w:val="010000"/>
        </w:rPr>
      </w:pPr>
      <w:r>
        <w:rPr>
          <w:rFonts w:ascii="Arial" w:cs="Arial" w:eastAsia="Arial" w:hAnsi="Arial"/>
          <w:sz w:val="17"/>
          <w:szCs w:val="17"/>
          <w:i w:val="1"/>
          <w:iCs w:val="1"/>
          <w:u w:val="single" w:color="auto"/>
          <w:color w:val="auto"/>
        </w:rPr>
        <w:t>Stock Options</w:t>
      </w:r>
      <w:r>
        <w:rPr>
          <w:rFonts w:ascii="Arial" w:cs="Arial" w:eastAsia="Arial" w:hAnsi="Arial"/>
          <w:sz w:val="17"/>
          <w:szCs w:val="17"/>
          <w:color w:val="auto"/>
        </w:rPr>
        <w:t>. Except as described in the Registration Statement, in the Time of Sale Disclosure Package, in the Prospectus, there are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options, warrants, agreements, contracts or other rights in existence to purchase or acquire from the Company or any subsidiaries of the Company any shares of the capital stock of the Company or the subsidiaries of the Company. The description of the Company’s stock option, stock bonus and other stock plans or arrangements (the </w:t>
      </w:r>
      <w:r>
        <w:rPr>
          <w:rFonts w:ascii="Arial" w:cs="Arial" w:eastAsia="Arial" w:hAnsi="Arial"/>
          <w:sz w:val="17"/>
          <w:szCs w:val="17"/>
          <w:b w:val="1"/>
          <w:bCs w:val="1"/>
          <w:i w:val="1"/>
          <w:iCs w:val="1"/>
          <w:color w:val="auto"/>
        </w:rPr>
        <w:t>“Company Stock Plans”</w:t>
      </w:r>
      <w:r>
        <w:rPr>
          <w:rFonts w:ascii="Arial" w:cs="Arial" w:eastAsia="Arial" w:hAnsi="Arial"/>
          <w:sz w:val="17"/>
          <w:szCs w:val="17"/>
          <w:color w:val="auto"/>
        </w:rPr>
        <w:t xml:space="preserve">), and the options (the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or other rights granted thereunder, set forth in the Time of Sale Disclosure Package and the Prospectus accurately and fairly presents in all material respects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182" w:lineRule="exact"/>
        <w:rPr>
          <w:rFonts w:ascii="Arial" w:cs="Arial" w:eastAsia="Arial" w:hAnsi="Arial"/>
          <w:sz w:val="17"/>
          <w:szCs w:val="17"/>
          <w:color w:val="010000"/>
        </w:rPr>
      </w:pPr>
    </w:p>
    <w:p>
      <w:pPr>
        <w:ind w:left="-540" w:right="20" w:firstLine="645"/>
        <w:spacing w:after="0" w:line="289" w:lineRule="auto"/>
        <w:tabs>
          <w:tab w:leader="none" w:pos="458" w:val="left"/>
        </w:tabs>
        <w:numPr>
          <w:ilvl w:val="0"/>
          <w:numId w:val="10"/>
        </w:numPr>
        <w:rPr>
          <w:rFonts w:ascii="Arial" w:cs="Arial" w:eastAsia="Arial" w:hAnsi="Arial"/>
          <w:sz w:val="16"/>
          <w:szCs w:val="16"/>
          <w:color w:val="010000"/>
        </w:rPr>
      </w:pPr>
      <w:r>
        <w:rPr>
          <w:rFonts w:ascii="Arial" w:cs="Arial" w:eastAsia="Arial" w:hAnsi="Arial"/>
          <w:sz w:val="16"/>
          <w:szCs w:val="16"/>
          <w:i w:val="1"/>
          <w:iCs w:val="1"/>
          <w:u w:val="single" w:color="auto"/>
          <w:color w:val="auto"/>
        </w:rPr>
        <w:t>Compliance with Laws</w:t>
      </w:r>
      <w:r>
        <w:rPr>
          <w:rFonts w:ascii="Arial" w:cs="Arial" w:eastAsia="Arial" w:hAnsi="Arial"/>
          <w:sz w:val="16"/>
          <w:szCs w:val="16"/>
          <w:color w:val="auto"/>
        </w:rPr>
        <w:t>. The Company and its subsidiaries holds, and is operating in compliance with, all franchises, grants,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licenses, permits, easements, consents, certificates and orders of any Governmental Authority or self-regulatory body required for the conduct of its business, except where the failure to do so would not, individually or in the aggregate, result in or reasonably be expected to have a Material Adverse Effect, and all such franchises, grants, authorizations, licenses, permits, easements, consents, certifications and orders are valid and in full force and effect, except where failure to be valid and in full force and effect would not, individually or in the aggregate, result in or reasonably be expected to have a Material Adverse Effect; and neither the Company nor its subsidiaries have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its subsidiaries is in compliance in all material respects with all applicable federal, state, local and foreign laws, regulations, orders and decrees.</w:t>
      </w:r>
    </w:p>
    <w:p>
      <w:pPr>
        <w:spacing w:after="0" w:line="37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0" w:name="page11"/>
    <w:bookmarkEnd w:id="10"/>
    <w:p>
      <w:pPr>
        <w:ind w:left="4" w:firstLine="645"/>
        <w:spacing w:after="0" w:line="284" w:lineRule="auto"/>
        <w:tabs>
          <w:tab w:leader="none" w:pos="952" w:val="left"/>
        </w:tabs>
        <w:numPr>
          <w:ilvl w:val="1"/>
          <w:numId w:val="11"/>
        </w:numPr>
        <w:rPr>
          <w:rFonts w:ascii="Arial" w:cs="Arial" w:eastAsia="Arial" w:hAnsi="Arial"/>
          <w:sz w:val="16"/>
          <w:szCs w:val="16"/>
          <w:color w:val="010000"/>
        </w:rPr>
      </w:pPr>
      <w:r>
        <w:rPr>
          <w:rFonts w:ascii="Arial" w:cs="Arial" w:eastAsia="Arial" w:hAnsi="Arial"/>
          <w:sz w:val="16"/>
          <w:szCs w:val="16"/>
          <w:i w:val="1"/>
          <w:iCs w:val="1"/>
          <w:u w:val="single" w:color="auto"/>
          <w:color w:val="auto"/>
        </w:rPr>
        <w:t>Ownership of Assets</w:t>
      </w:r>
      <w:r>
        <w:rPr>
          <w:rFonts w:ascii="Arial" w:cs="Arial" w:eastAsia="Arial" w:hAnsi="Arial"/>
          <w:sz w:val="16"/>
          <w:szCs w:val="16"/>
          <w:color w:val="auto"/>
        </w:rPr>
        <w:t>. The Company and its subsidiaries do not own any real property. The Company and its subsidiaries have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personal property described in the Registration Statement, in the Time of Sale Disclosure Package and in the Prospectus as being owned by them, in each case free and clear of all liens, claims, security interests, other encumbrances or defects except such as are described in the Registration Statement, in the Time of Sale Disclosure Package and in the Prospectus. The property held under lease by the Company and its subsidiaries is held by them under valid, subsisting and enforceable leases (subject to the effects of (A) bankruptcy, insolvency, fraudulent conveyance, fraudulent transfer, reorganization, moratorium or other similar laws relating to or affecting rights or remedies of creditors generally;</w:t>
      </w:r>
    </w:p>
    <w:p>
      <w:pPr>
        <w:spacing w:after="0" w:line="4" w:lineRule="exact"/>
        <w:rPr>
          <w:rFonts w:ascii="Arial" w:cs="Arial" w:eastAsia="Arial" w:hAnsi="Arial"/>
          <w:sz w:val="16"/>
          <w:szCs w:val="16"/>
          <w:color w:val="010000"/>
        </w:rPr>
      </w:pPr>
    </w:p>
    <w:p>
      <w:pPr>
        <w:jc w:val="both"/>
        <w:ind w:left="4" w:right="120" w:hanging="4"/>
        <w:spacing w:after="0" w:line="254" w:lineRule="auto"/>
        <w:tabs>
          <w:tab w:leader="none" w:pos="2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application of general principles of equity (including without limitation, concepts of materiality, reasonableness, good faith and fair dealing, regardless of whether enforcement is considered in proceedings at law or in equity); and (C) applicable laws and public policy with respect to rights to indemnify and contribution) with such exceptions with respect to any particular lease as do not interfere in any material respect with the conduct of the business of the Company or its subsidiaries.</w:t>
      </w:r>
    </w:p>
    <w:p>
      <w:pPr>
        <w:spacing w:after="0" w:line="189" w:lineRule="exact"/>
        <w:rPr>
          <w:rFonts w:ascii="Arial" w:cs="Arial" w:eastAsia="Arial" w:hAnsi="Arial"/>
          <w:sz w:val="18"/>
          <w:szCs w:val="18"/>
          <w:color w:val="auto"/>
        </w:rPr>
      </w:pPr>
    </w:p>
    <w:p>
      <w:pPr>
        <w:ind w:left="4" w:right="60" w:firstLine="645"/>
        <w:spacing w:after="0" w:line="288" w:lineRule="auto"/>
        <w:tabs>
          <w:tab w:leader="none" w:pos="952" w:val="left"/>
        </w:tabs>
        <w:numPr>
          <w:ilvl w:val="1"/>
          <w:numId w:val="12"/>
        </w:numPr>
        <w:rPr>
          <w:rFonts w:ascii="Arial" w:cs="Arial" w:eastAsia="Arial" w:hAnsi="Arial"/>
          <w:sz w:val="16"/>
          <w:szCs w:val="16"/>
          <w:color w:val="010000"/>
        </w:rPr>
      </w:pPr>
      <w:r>
        <w:rPr>
          <w:rFonts w:ascii="Arial" w:cs="Arial" w:eastAsia="Arial" w:hAnsi="Arial"/>
          <w:sz w:val="16"/>
          <w:szCs w:val="16"/>
          <w:i w:val="1"/>
          <w:iCs w:val="1"/>
          <w:u w:val="single" w:color="auto"/>
          <w:color w:val="auto"/>
        </w:rPr>
        <w:t>Intellectual Property</w:t>
      </w:r>
      <w:r>
        <w:rPr>
          <w:rFonts w:ascii="Arial" w:cs="Arial" w:eastAsia="Arial" w:hAnsi="Arial"/>
          <w:sz w:val="16"/>
          <w:szCs w:val="16"/>
          <w:color w:val="auto"/>
        </w:rPr>
        <w:t>. The Company and its subsidiaries owns, possesses, or, to the knowledge of the Company, can acquire on</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terms, all material Intellectual Property (as defined below) necessary for the conduct of the Company’s and it subsidiaries’ business as now conducted or as described in the Registration Statement, the Time of Sale Disclosure Package and the Prospectus to be conducted. Furthermore,</w:t>
      </w:r>
    </w:p>
    <w:p>
      <w:pPr>
        <w:ind w:left="4" w:right="40" w:hanging="4"/>
        <w:spacing w:after="0" w:line="266" w:lineRule="auto"/>
        <w:tabs>
          <w:tab w:leader="none" w:pos="299"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to the knowledge of the Company, and except as described in the Registration Statement, in the Time of Sale Disclosure Package and in the Prospectus, there is no infringement, misappropriation or violation by third parties of any such Intellectual Property, except as such infringement, misappropriation or violation would not result in or reasonably be expected to have a Material Adverse Effect; (B) there is no pending or, to the knowledge of the Company, threatened, action, suit, proceeding or claim by others challenging the Company’s or any of its subsidiaries’ rights in or to any such Intellectual Property, except as such action, suit, proceeding or claim would not result in or reasonably be expected to have a Material Adverse Effect,, and the Company is unaware of any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its subsidiaries infringes, misappropriates or otherwise violates any Intellectual Property or other proprietary rights of others, neither the Company or its subsidiaries has received any written notice of such claim, except as such action, suit, proceeding or claim would not result in or reasonably be expected to have a Material Adverse Effect, and the Company is unaware of any other fact which would form a reasonable basis for any such claim; and (E) to the Company’s knowledge, no employee of the Company or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its subsidiaries or actions undertaken by the employee while employed with the Company or its subsidiaries, except as such violation would not result in or reasonably be expected to have a Material Adverse Effect.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xml:space="preserve"> shall mean all patents, patent applications, trade and service marks, trade and service mark registrations, trade names, copyrights, licenses, inventions, trade secrets, domain names, technology, know-how and other intellectual property.</w:t>
      </w:r>
    </w:p>
    <w:p>
      <w:pPr>
        <w:spacing w:after="0" w:line="39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1" w:name="page12"/>
    <w:bookmarkEnd w:id="11"/>
    <w:p>
      <w:pPr>
        <w:ind w:left="-540" w:firstLine="645"/>
        <w:spacing w:after="0" w:line="255" w:lineRule="auto"/>
        <w:tabs>
          <w:tab w:leader="none" w:pos="408" w:val="left"/>
        </w:tabs>
        <w:numPr>
          <w:ilvl w:val="0"/>
          <w:numId w:val="14"/>
        </w:numPr>
        <w:rPr>
          <w:rFonts w:ascii="Arial" w:cs="Arial" w:eastAsia="Arial" w:hAnsi="Arial"/>
          <w:sz w:val="18"/>
          <w:szCs w:val="18"/>
          <w:color w:val="010000"/>
        </w:rPr>
      </w:pPr>
      <w:r>
        <w:rPr>
          <w:rFonts w:ascii="Arial" w:cs="Arial" w:eastAsia="Arial" w:hAnsi="Arial"/>
          <w:sz w:val="18"/>
          <w:szCs w:val="18"/>
          <w:i w:val="1"/>
          <w:iCs w:val="1"/>
          <w:u w:val="single" w:color="auto"/>
          <w:color w:val="auto"/>
        </w:rPr>
        <w:t>No Violations or Defaults</w:t>
      </w:r>
      <w:r>
        <w:rPr>
          <w:rFonts w:ascii="Arial" w:cs="Arial" w:eastAsia="Arial" w:hAnsi="Arial"/>
          <w:sz w:val="18"/>
          <w:szCs w:val="18"/>
          <w:color w:val="auto"/>
        </w:rPr>
        <w:t>. Neither the Company nor its subsidiaries is (A) in violation of its respective charter, bylaws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documents, or (B) except as would not result in or reasonably be expected to have a Material Adverse Effect,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its subsidiaries is subject.</w:t>
      </w:r>
    </w:p>
    <w:p>
      <w:pPr>
        <w:spacing w:after="0" w:line="193" w:lineRule="exact"/>
        <w:rPr>
          <w:rFonts w:ascii="Arial" w:cs="Arial" w:eastAsia="Arial" w:hAnsi="Arial"/>
          <w:sz w:val="18"/>
          <w:szCs w:val="18"/>
          <w:color w:val="010000"/>
        </w:rPr>
      </w:pPr>
    </w:p>
    <w:p>
      <w:pPr>
        <w:ind w:left="-540" w:right="100" w:firstLine="645"/>
        <w:spacing w:after="0" w:line="272" w:lineRule="auto"/>
        <w:tabs>
          <w:tab w:leader="none" w:pos="408" w:val="left"/>
        </w:tabs>
        <w:numPr>
          <w:ilvl w:val="0"/>
          <w:numId w:val="14"/>
        </w:numPr>
        <w:rPr>
          <w:rFonts w:ascii="Arial" w:cs="Arial" w:eastAsia="Arial" w:hAnsi="Arial"/>
          <w:sz w:val="17"/>
          <w:szCs w:val="17"/>
          <w:color w:val="010000"/>
        </w:rPr>
      </w:pPr>
      <w:r>
        <w:rPr>
          <w:rFonts w:ascii="Arial" w:cs="Arial" w:eastAsia="Arial" w:hAnsi="Arial"/>
          <w:sz w:val="17"/>
          <w:szCs w:val="17"/>
          <w:i w:val="1"/>
          <w:iCs w:val="1"/>
          <w:u w:val="single" w:color="auto"/>
          <w:color w:val="auto"/>
        </w:rPr>
        <w:t>Taxes</w:t>
      </w:r>
      <w:r>
        <w:rPr>
          <w:rFonts w:ascii="Arial" w:cs="Arial" w:eastAsia="Arial" w:hAnsi="Arial"/>
          <w:sz w:val="17"/>
          <w:szCs w:val="17"/>
          <w:color w:val="auto"/>
        </w:rPr>
        <w:t>. The Company and its subsidiaries have timely, or pursuant to a permitted extension, filed all federal, state, local and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and franchise tax returns required to be filed (except in any case in which the failure to so file is not material) and are not in default in the payment of any taxes which were payable pursuant to said returns or any assessments with respect thereto, other than any which the Company or its subsidiaries is contesting in good faith, or to the extent such default is not material. There is no pending dispute with any taxing authority relating to any of such returns, and the Company has no knowledge of any proposed liability for any tax to be imposed upon the properties or assets of the Company or its subsidiaries for which there is not an adequate reserve reflected in the Company’s financial statements included in the Registration Statement, the Time of Sale Disclosure Package and the Prospectus.</w:t>
      </w:r>
    </w:p>
    <w:p>
      <w:pPr>
        <w:spacing w:after="0" w:line="177" w:lineRule="exact"/>
        <w:rPr>
          <w:rFonts w:ascii="Arial" w:cs="Arial" w:eastAsia="Arial" w:hAnsi="Arial"/>
          <w:sz w:val="17"/>
          <w:szCs w:val="17"/>
          <w:color w:val="010000"/>
        </w:rPr>
      </w:pPr>
    </w:p>
    <w:p>
      <w:pPr>
        <w:ind w:left="-540" w:right="20" w:firstLine="645"/>
        <w:spacing w:after="0" w:line="289" w:lineRule="auto"/>
        <w:tabs>
          <w:tab w:leader="none" w:pos="378" w:val="left"/>
        </w:tabs>
        <w:numPr>
          <w:ilvl w:val="0"/>
          <w:numId w:val="14"/>
        </w:numPr>
        <w:rPr>
          <w:rFonts w:ascii="Arial" w:cs="Arial" w:eastAsia="Arial" w:hAnsi="Arial"/>
          <w:sz w:val="16"/>
          <w:szCs w:val="16"/>
          <w:color w:val="010000"/>
        </w:rPr>
      </w:pPr>
      <w:r>
        <w:rPr>
          <w:rFonts w:ascii="Arial" w:cs="Arial" w:eastAsia="Arial" w:hAnsi="Arial"/>
          <w:sz w:val="16"/>
          <w:szCs w:val="16"/>
          <w:i w:val="1"/>
          <w:iCs w:val="1"/>
          <w:u w:val="single" w:color="auto"/>
          <w:color w:val="auto"/>
        </w:rPr>
        <w:t>Exchange Listing and Exchange Act Registration</w:t>
      </w:r>
      <w:r>
        <w:rPr>
          <w:rFonts w:ascii="Arial" w:cs="Arial" w:eastAsia="Arial" w:hAnsi="Arial"/>
          <w:sz w:val="16"/>
          <w:szCs w:val="16"/>
          <w:color w:val="auto"/>
        </w:rPr>
        <w:t>. The Common Stock is registered pursuant to Section 12(b) of the Exchange Act, and</w:t>
      </w:r>
      <w:r>
        <w:rPr>
          <w:rFonts w:ascii="Arial" w:cs="Arial" w:eastAsia="Arial" w:hAnsi="Arial"/>
          <w:sz w:val="16"/>
          <w:szCs w:val="16"/>
          <w:i w:val="1"/>
          <w:iCs w:val="1"/>
          <w:color w:val="auto"/>
        </w:rPr>
        <w:t xml:space="preserve"> </w:t>
      </w:r>
      <w:r>
        <w:rPr>
          <w:rFonts w:ascii="Arial" w:cs="Arial" w:eastAsia="Arial" w:hAnsi="Arial"/>
          <w:sz w:val="16"/>
          <w:szCs w:val="16"/>
          <w:color w:val="auto"/>
        </w:rPr>
        <w:t>is included or approved for listing on the Nasdaq Capital Market and the Company has taken no action designed to, or likely to have the effect of, terminating the registration of the Common Stock under the Exchange Act or delisting the Common Stock from the Nasdaq Capital Market nor has the Company received any notification that the Commission or the Nasdaq Capital Market is contemplating terminating such registration or listing. Except as previously disclosed to counsel for the Underwriters or as set forth in the Time of Sale Disclosure Package and the Prospectus, there are no affiliations with members of FINRA among the Company’s officers or directors or, to the knowledge of the Company, any five percent or greater holders of capital stock of the Company or any beneficial owner of the Company’s unregistered equity securities that were acquired during the 180-day period immediately preceding the initial filing date of the Registration Statement. The Company is currently in compliance in all material respects with the applicable requirements of the Nasdaq Capital Market for maintenance of inclusion of the Common Stock thereon.</w:t>
      </w:r>
    </w:p>
    <w:p>
      <w:pPr>
        <w:spacing w:after="0" w:line="37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2" w:name="page13"/>
    <w:bookmarkEnd w:id="12"/>
    <w:p>
      <w:pPr>
        <w:ind w:left="-540" w:right="320" w:firstLine="645"/>
        <w:spacing w:after="0" w:line="312" w:lineRule="auto"/>
        <w:tabs>
          <w:tab w:leader="none" w:pos="388" w:val="left"/>
        </w:tabs>
        <w:numPr>
          <w:ilvl w:val="0"/>
          <w:numId w:val="15"/>
        </w:numPr>
        <w:rPr>
          <w:rFonts w:ascii="Arial" w:cs="Arial" w:eastAsia="Arial" w:hAnsi="Arial"/>
          <w:sz w:val="16"/>
          <w:szCs w:val="16"/>
          <w:color w:val="010000"/>
        </w:rPr>
      </w:pPr>
      <w:r>
        <w:rPr>
          <w:rFonts w:ascii="Arial" w:cs="Arial" w:eastAsia="Arial" w:hAnsi="Arial"/>
          <w:sz w:val="16"/>
          <w:szCs w:val="16"/>
          <w:i w:val="1"/>
          <w:iCs w:val="1"/>
          <w:u w:val="single" w:color="auto"/>
          <w:color w:val="auto"/>
        </w:rPr>
        <w:t>Ownership of Other Entities</w:t>
      </w:r>
      <w:r>
        <w:rPr>
          <w:rFonts w:ascii="Arial" w:cs="Arial" w:eastAsia="Arial" w:hAnsi="Arial"/>
          <w:sz w:val="16"/>
          <w:szCs w:val="16"/>
          <w:color w:val="auto"/>
        </w:rPr>
        <w:t>. Other than the subsidiaries of the Company listed in Exhibit 21.1 to the Registration Statement or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disclosed in the Registration Statement, Time of Sale Disclosure Package and Prospectus, the Company, directly or indirectly, owns no capital stock or other equity or ownership or proprietary interest in any corporation, partnership, association, trust or other entity.</w:t>
      </w:r>
    </w:p>
    <w:p>
      <w:pPr>
        <w:spacing w:after="0" w:line="146" w:lineRule="exact"/>
        <w:rPr>
          <w:rFonts w:ascii="Arial" w:cs="Arial" w:eastAsia="Arial" w:hAnsi="Arial"/>
          <w:sz w:val="16"/>
          <w:szCs w:val="16"/>
          <w:color w:val="010000"/>
        </w:rPr>
      </w:pPr>
    </w:p>
    <w:p>
      <w:pPr>
        <w:ind w:left="-540" w:right="160" w:firstLine="645"/>
        <w:spacing w:after="0" w:line="286" w:lineRule="auto"/>
        <w:tabs>
          <w:tab w:leader="none" w:pos="368" w:val="left"/>
        </w:tabs>
        <w:numPr>
          <w:ilvl w:val="0"/>
          <w:numId w:val="15"/>
        </w:numPr>
        <w:rPr>
          <w:rFonts w:ascii="Arial" w:cs="Arial" w:eastAsia="Arial" w:hAnsi="Arial"/>
          <w:sz w:val="16"/>
          <w:szCs w:val="16"/>
          <w:color w:val="010000"/>
        </w:rPr>
      </w:pPr>
      <w:r>
        <w:rPr>
          <w:rFonts w:ascii="Arial" w:cs="Arial" w:eastAsia="Arial" w:hAnsi="Arial"/>
          <w:sz w:val="16"/>
          <w:szCs w:val="16"/>
          <w:i w:val="1"/>
          <w:iCs w:val="1"/>
          <w:u w:val="single" w:color="auto"/>
          <w:color w:val="auto"/>
        </w:rPr>
        <w:t>Internal Controls</w:t>
      </w:r>
      <w:r>
        <w:rPr>
          <w:rFonts w:ascii="Arial" w:cs="Arial" w:eastAsia="Arial" w:hAnsi="Arial"/>
          <w:sz w:val="16"/>
          <w:szCs w:val="16"/>
          <w:color w:val="auto"/>
        </w:rPr>
        <w:t>. The Company and its subsidiaries maintain a system of internal accounting controls sufficient to provide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 in the Time of Sale Disclosure Package and in the Prospectus, the Company’s internal control over financial reporting is effective and none of the Company, its board of directors and audit committee is aware of any “material weaknesses” (as defined by the Public Company Accounting Oversight Board) in its internal control over financial reporting, or any fraud, whether or not material, that involves management or other employees of the Company or its subsidiaries who have a significant role in the Company’s internal controls; and since the end of the latest audited fiscal year, there has been no change in the Company’s internal control over financial reporting (whether or not remediated) that has materially adversely affected, or is reasonably likely to materially adversely affect, the Company’s internal control over financial reporting. The Company’s board of directors has, subject to the exceptions, cure periods and the phase-in periods specified in the applicable stock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68" w:lineRule="exact"/>
        <w:rPr>
          <w:rFonts w:ascii="Arial" w:cs="Arial" w:eastAsia="Arial" w:hAnsi="Arial"/>
          <w:sz w:val="16"/>
          <w:szCs w:val="16"/>
          <w:color w:val="010000"/>
        </w:rPr>
      </w:pPr>
    </w:p>
    <w:p>
      <w:pPr>
        <w:ind w:left="-540" w:firstLine="645"/>
        <w:spacing w:after="0" w:line="264" w:lineRule="auto"/>
        <w:tabs>
          <w:tab w:leader="none" w:pos="408" w:val="left"/>
        </w:tabs>
        <w:numPr>
          <w:ilvl w:val="0"/>
          <w:numId w:val="15"/>
        </w:numPr>
        <w:rPr>
          <w:rFonts w:ascii="Arial" w:cs="Arial" w:eastAsia="Arial" w:hAnsi="Arial"/>
          <w:sz w:val="18"/>
          <w:szCs w:val="18"/>
          <w:color w:val="010000"/>
        </w:rPr>
      </w:pPr>
      <w:r>
        <w:rPr>
          <w:rFonts w:ascii="Arial" w:cs="Arial" w:eastAsia="Arial" w:hAnsi="Arial"/>
          <w:sz w:val="18"/>
          <w:szCs w:val="18"/>
          <w:i w:val="1"/>
          <w:iCs w:val="1"/>
          <w:u w:val="single" w:color="auto"/>
          <w:color w:val="auto"/>
        </w:rPr>
        <w:t>No Brokers or Finders</w:t>
      </w:r>
      <w:r>
        <w:rPr>
          <w:rFonts w:ascii="Arial" w:cs="Arial" w:eastAsia="Arial" w:hAnsi="Arial"/>
          <w:sz w:val="18"/>
          <w:szCs w:val="18"/>
          <w:color w:val="auto"/>
        </w:rPr>
        <w:t>. Other than as contemplated by this Agreement, the Company has not incurred and will not incur any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finder’s or broker’s fee or agent’s commission in connection with the execution and delivery of this Agreement or the consummation of the transactions contemplated hereby.</w:t>
      </w:r>
    </w:p>
    <w:p>
      <w:pPr>
        <w:spacing w:after="0" w:line="39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3" w:name="page14"/>
    <w:bookmarkEnd w:id="13"/>
    <w:p>
      <w:pPr>
        <w:ind w:left="-540" w:right="80" w:firstLine="645"/>
        <w:spacing w:after="0" w:line="289" w:lineRule="auto"/>
        <w:tabs>
          <w:tab w:leader="none" w:pos="408" w:val="left"/>
        </w:tabs>
        <w:numPr>
          <w:ilvl w:val="0"/>
          <w:numId w:val="16"/>
        </w:numPr>
        <w:rPr>
          <w:rFonts w:ascii="Arial" w:cs="Arial" w:eastAsia="Arial" w:hAnsi="Arial"/>
          <w:sz w:val="16"/>
          <w:szCs w:val="16"/>
          <w:color w:val="010000"/>
        </w:rPr>
      </w:pPr>
      <w:r>
        <w:rPr>
          <w:rFonts w:ascii="Arial" w:cs="Arial" w:eastAsia="Arial" w:hAnsi="Arial"/>
          <w:sz w:val="16"/>
          <w:szCs w:val="16"/>
          <w:i w:val="1"/>
          <w:iCs w:val="1"/>
          <w:u w:val="single" w:color="auto"/>
          <w:color w:val="auto"/>
        </w:rPr>
        <w:t>Insurance</w:t>
      </w:r>
      <w:r>
        <w:rPr>
          <w:rFonts w:ascii="Arial" w:cs="Arial" w:eastAsia="Arial" w:hAnsi="Arial"/>
          <w:sz w:val="16"/>
          <w:szCs w:val="16"/>
          <w:color w:val="auto"/>
        </w:rPr>
        <w:t>. The Company and each of its subsidiaries carry, or are covered by, insurance from reputable insurers in such amounts and</w:t>
      </w:r>
      <w:r>
        <w:rPr>
          <w:rFonts w:ascii="Arial" w:cs="Arial" w:eastAsia="Arial" w:hAnsi="Arial"/>
          <w:sz w:val="16"/>
          <w:szCs w:val="16"/>
          <w:i w:val="1"/>
          <w:iCs w:val="1"/>
          <w:color w:val="auto"/>
        </w:rPr>
        <w:t xml:space="preserve"> </w:t>
      </w:r>
      <w:r>
        <w:rPr>
          <w:rFonts w:ascii="Arial" w:cs="Arial" w:eastAsia="Arial" w:hAnsi="Arial"/>
          <w:sz w:val="16"/>
          <w:szCs w:val="16"/>
          <w:color w:val="auto"/>
        </w:rPr>
        <w:t>covering such risks as is adequate for the conduct of its business and the value of its properties as is customary for companies engaged in similar businesses in similar industries; all policies of insurance and any fidelity or surety bonds insuring the Company or its subsidiaries or its business, assets, employees, officers and directors are in full force and effect; the Company and its subsidiaries are in compliance with the terms of such policies and instruments in all material respects; there are no claims by the Company or its subsidiaries under any such policy or instrument as to which any insurance company is denying liability or defending under a reservation of rights clause; neither the Company nor its subsidiaries has been refused any insurance coverage sought or applied for; and neither the Company nor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66" w:lineRule="exact"/>
        <w:rPr>
          <w:rFonts w:ascii="Arial" w:cs="Arial" w:eastAsia="Arial" w:hAnsi="Arial"/>
          <w:sz w:val="16"/>
          <w:szCs w:val="16"/>
          <w:color w:val="010000"/>
        </w:rPr>
      </w:pPr>
    </w:p>
    <w:p>
      <w:pPr>
        <w:ind w:left="-540" w:right="720" w:firstLine="645"/>
        <w:spacing w:after="0" w:line="277" w:lineRule="auto"/>
        <w:tabs>
          <w:tab w:leader="none" w:pos="448" w:val="left"/>
        </w:tabs>
        <w:numPr>
          <w:ilvl w:val="0"/>
          <w:numId w:val="16"/>
        </w:numPr>
        <w:rPr>
          <w:rFonts w:ascii="Arial" w:cs="Arial" w:eastAsia="Arial" w:hAnsi="Arial"/>
          <w:sz w:val="18"/>
          <w:szCs w:val="18"/>
          <w:color w:val="010000"/>
        </w:rPr>
      </w:pPr>
      <w:r>
        <w:rPr>
          <w:rFonts w:ascii="Arial" w:cs="Arial" w:eastAsia="Arial" w:hAnsi="Arial"/>
          <w:sz w:val="18"/>
          <w:szCs w:val="18"/>
          <w:i w:val="1"/>
          <w:iCs w:val="1"/>
          <w:u w:val="single" w:color="auto"/>
          <w:color w:val="auto"/>
        </w:rPr>
        <w:t>Investment Company Act</w:t>
      </w:r>
      <w:r>
        <w:rPr>
          <w:rFonts w:ascii="Arial" w:cs="Arial" w:eastAsia="Arial" w:hAnsi="Arial"/>
          <w:sz w:val="18"/>
          <w:szCs w:val="18"/>
          <w:color w:val="auto"/>
        </w:rPr>
        <w:t>. The Company is not and, after giving effect to the offering and sale of the Securities, will not be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company,” as such term is defined in the Investment Company Act of 1940, as amended.</w:t>
      </w:r>
    </w:p>
    <w:p>
      <w:pPr>
        <w:spacing w:after="0" w:line="170" w:lineRule="exact"/>
        <w:rPr>
          <w:rFonts w:ascii="Arial" w:cs="Arial" w:eastAsia="Arial" w:hAnsi="Arial"/>
          <w:sz w:val="18"/>
          <w:szCs w:val="18"/>
          <w:color w:val="010000"/>
        </w:rPr>
      </w:pPr>
    </w:p>
    <w:p>
      <w:pPr>
        <w:ind w:left="-540" w:right="640" w:firstLine="645"/>
        <w:spacing w:after="0" w:line="277" w:lineRule="auto"/>
        <w:tabs>
          <w:tab w:leader="none" w:pos="408" w:val="left"/>
        </w:tabs>
        <w:numPr>
          <w:ilvl w:val="0"/>
          <w:numId w:val="16"/>
        </w:numPr>
        <w:rPr>
          <w:rFonts w:ascii="Arial" w:cs="Arial" w:eastAsia="Arial" w:hAnsi="Arial"/>
          <w:sz w:val="18"/>
          <w:szCs w:val="18"/>
          <w:color w:val="010000"/>
        </w:rPr>
      </w:pPr>
      <w:r>
        <w:rPr>
          <w:rFonts w:ascii="Arial" w:cs="Arial" w:eastAsia="Arial" w:hAnsi="Arial"/>
          <w:sz w:val="18"/>
          <w:szCs w:val="18"/>
          <w:i w:val="1"/>
          <w:iCs w:val="1"/>
          <w:u w:val="single" w:color="auto"/>
          <w:color w:val="auto"/>
        </w:rPr>
        <w:t>Sarbanes-Oxley Act</w:t>
      </w:r>
      <w:r>
        <w:rPr>
          <w:rFonts w:ascii="Arial" w:cs="Arial" w:eastAsia="Arial" w:hAnsi="Arial"/>
          <w:sz w:val="18"/>
          <w:szCs w:val="18"/>
          <w:color w:val="auto"/>
        </w:rPr>
        <w:t>. The Company is in compliance with all applicable provisions of the Sarbanes-Oxley Act and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of the Commission thereunder.</w:t>
      </w:r>
    </w:p>
    <w:p>
      <w:pPr>
        <w:spacing w:after="0" w:line="170" w:lineRule="exact"/>
        <w:rPr>
          <w:rFonts w:ascii="Arial" w:cs="Arial" w:eastAsia="Arial" w:hAnsi="Arial"/>
          <w:sz w:val="18"/>
          <w:szCs w:val="18"/>
          <w:color w:val="010000"/>
        </w:rPr>
      </w:pPr>
    </w:p>
    <w:p>
      <w:pPr>
        <w:ind w:left="-540" w:right="200" w:firstLine="645"/>
        <w:spacing w:after="0" w:line="276" w:lineRule="auto"/>
        <w:tabs>
          <w:tab w:leader="none" w:pos="408" w:val="left"/>
        </w:tabs>
        <w:numPr>
          <w:ilvl w:val="0"/>
          <w:numId w:val="16"/>
        </w:numPr>
        <w:rPr>
          <w:rFonts w:ascii="Arial" w:cs="Arial" w:eastAsia="Arial" w:hAnsi="Arial"/>
          <w:sz w:val="17"/>
          <w:szCs w:val="17"/>
          <w:color w:val="010000"/>
        </w:rPr>
      </w:pPr>
      <w:r>
        <w:rPr>
          <w:rFonts w:ascii="Arial" w:cs="Arial" w:eastAsia="Arial" w:hAnsi="Arial"/>
          <w:sz w:val="17"/>
          <w:szCs w:val="17"/>
          <w:i w:val="1"/>
          <w:iCs w:val="1"/>
          <w:u w:val="single" w:color="auto"/>
          <w:color w:val="auto"/>
        </w:rPr>
        <w:t>Disclosure Controls</w:t>
      </w:r>
      <w:r>
        <w:rPr>
          <w:rFonts w:ascii="Arial" w:cs="Arial" w:eastAsia="Arial" w:hAnsi="Arial"/>
          <w:sz w:val="17"/>
          <w:szCs w:val="17"/>
          <w:color w:val="auto"/>
        </w:rPr>
        <w:t>. The Company has established and maintains disclosure controls and procedures (as defined in Rules 13a-15 and</w:t>
      </w:r>
      <w:r>
        <w:rPr>
          <w:rFonts w:ascii="Arial" w:cs="Arial" w:eastAsia="Arial" w:hAnsi="Arial"/>
          <w:sz w:val="17"/>
          <w:szCs w:val="17"/>
          <w:i w:val="1"/>
          <w:iCs w:val="1"/>
          <w:color w:val="auto"/>
        </w:rPr>
        <w:t xml:space="preserve"> </w:t>
      </w:r>
      <w:r>
        <w:rPr>
          <w:rFonts w:ascii="Arial" w:cs="Arial" w:eastAsia="Arial" w:hAnsi="Arial"/>
          <w:sz w:val="17"/>
          <w:szCs w:val="17"/>
          <w:color w:val="auto"/>
        </w:rPr>
        <w:t>15d-15 under the Exchange Act) and, except as disclosed in the Registration Statement, in the Time of Sale Disclosure Package and in the Prospectus,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Company’s Exchange Act filings and other public disclosure documents.</w:t>
      </w:r>
    </w:p>
    <w:p>
      <w:pPr>
        <w:spacing w:after="0" w:line="172" w:lineRule="exact"/>
        <w:rPr>
          <w:rFonts w:ascii="Arial" w:cs="Arial" w:eastAsia="Arial" w:hAnsi="Arial"/>
          <w:sz w:val="17"/>
          <w:szCs w:val="17"/>
          <w:color w:val="010000"/>
        </w:rPr>
      </w:pPr>
    </w:p>
    <w:p>
      <w:pPr>
        <w:ind w:left="-540" w:firstLine="645"/>
        <w:spacing w:after="0" w:line="268" w:lineRule="auto"/>
        <w:tabs>
          <w:tab w:leader="none" w:pos="398" w:val="left"/>
        </w:tabs>
        <w:numPr>
          <w:ilvl w:val="0"/>
          <w:numId w:val="16"/>
        </w:numPr>
        <w:rPr>
          <w:rFonts w:ascii="Arial" w:cs="Arial" w:eastAsia="Arial" w:hAnsi="Arial"/>
          <w:sz w:val="17"/>
          <w:szCs w:val="17"/>
          <w:color w:val="010000"/>
        </w:rPr>
      </w:pPr>
      <w:r>
        <w:rPr>
          <w:rFonts w:ascii="Arial" w:cs="Arial" w:eastAsia="Arial" w:hAnsi="Arial"/>
          <w:sz w:val="17"/>
          <w:szCs w:val="17"/>
          <w:i w:val="1"/>
          <w:iCs w:val="1"/>
          <w:u w:val="single" w:color="auto"/>
          <w:color w:val="auto"/>
        </w:rPr>
        <w:t>Anti-Bribery and Anti-Money Laundering Laws</w:t>
      </w:r>
      <w:r>
        <w:rPr>
          <w:rFonts w:ascii="Arial" w:cs="Arial" w:eastAsia="Arial" w:hAnsi="Arial"/>
          <w:sz w:val="17"/>
          <w:szCs w:val="17"/>
          <w:color w:val="auto"/>
        </w:rPr>
        <w:t>. Each of the Company, its subsidiaries, or to the Company’s knowledge its affiliates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any of their respective officers, directors, supervisors, managers, agents, or employees, has not violated, its participation in the offering will not violate, and the Company and its subsidiaries has instituted and maintains policies and procedures designed to ensure continued compliance with, each of the following laws: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39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881" w:right="259" w:bottom="1440" w:gutter="0" w:footer="0" w:header="0"/>
        </w:sectPr>
      </w:pPr>
    </w:p>
    <w:bookmarkStart w:id="14" w:name="page15"/>
    <w:bookmarkEnd w:id="14"/>
    <w:p>
      <w:pPr>
        <w:ind w:left="480" w:hanging="375"/>
        <w:spacing w:after="0"/>
        <w:tabs>
          <w:tab w:leader="none" w:pos="480" w:val="left"/>
        </w:tabs>
        <w:numPr>
          <w:ilvl w:val="0"/>
          <w:numId w:val="17"/>
        </w:numPr>
        <w:rPr>
          <w:rFonts w:ascii="Arial" w:cs="Arial" w:eastAsia="Arial" w:hAnsi="Arial"/>
          <w:sz w:val="18"/>
          <w:szCs w:val="18"/>
          <w:color w:val="010000"/>
        </w:rPr>
      </w:pPr>
      <w:r>
        <w:rPr>
          <w:rFonts w:ascii="Arial" w:cs="Arial" w:eastAsia="Arial" w:hAnsi="Arial"/>
          <w:sz w:val="18"/>
          <w:szCs w:val="18"/>
          <w:i w:val="1"/>
          <w:iCs w:val="1"/>
          <w:u w:val="single" w:color="auto"/>
          <w:color w:val="auto"/>
        </w:rPr>
        <w:t>OFAC</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00" w:right="180" w:firstLine="653"/>
        <w:spacing w:after="0" w:line="264" w:lineRule="auto"/>
        <w:tabs>
          <w:tab w:leader="none" w:pos="1008"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Neither the Company nor its subsidiaries, nor any of their directors, officers or employees, nor, to the Company’s knowledge, any agent, affiliate or representative of the Company or its subsidiaries, is an individual or entity that is, or is owned or controlled by an individual or entity that is:</w:t>
      </w:r>
    </w:p>
    <w:p>
      <w:pPr>
        <w:spacing w:after="0" w:line="181" w:lineRule="exact"/>
        <w:rPr>
          <w:rFonts w:ascii="Arial" w:cs="Arial" w:eastAsia="Arial" w:hAnsi="Arial"/>
          <w:sz w:val="18"/>
          <w:szCs w:val="18"/>
          <w:color w:val="010000"/>
        </w:rPr>
      </w:pPr>
    </w:p>
    <w:p>
      <w:pPr>
        <w:jc w:val="both"/>
        <w:ind w:left="1400" w:hanging="323"/>
        <w:spacing w:after="0" w:line="264" w:lineRule="auto"/>
        <w:tabs>
          <w:tab w:leader="none" w:pos="1400" w:val="left"/>
        </w:tabs>
        <w:numPr>
          <w:ilvl w:val="2"/>
          <w:numId w:val="17"/>
        </w:numPr>
        <w:rPr>
          <w:rFonts w:ascii="Arial" w:cs="Arial" w:eastAsia="Arial" w:hAnsi="Arial"/>
          <w:sz w:val="18"/>
          <w:szCs w:val="18"/>
          <w:color w:val="010000"/>
        </w:rPr>
      </w:pPr>
      <w:r>
        <w:rPr>
          <w:rFonts w:ascii="Arial" w:cs="Arial" w:eastAsia="Arial" w:hAnsi="Arial"/>
          <w:sz w:val="18"/>
          <w:szCs w:val="18"/>
          <w:color w:val="auto"/>
        </w:rPr>
        <w:t xml:space="preserve">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w:t>
      </w:r>
    </w:p>
    <w:p>
      <w:pPr>
        <w:spacing w:after="0" w:line="181" w:lineRule="exact"/>
        <w:rPr>
          <w:rFonts w:ascii="Arial" w:cs="Arial" w:eastAsia="Arial" w:hAnsi="Arial"/>
          <w:sz w:val="18"/>
          <w:szCs w:val="18"/>
          <w:color w:val="010000"/>
        </w:rPr>
      </w:pPr>
    </w:p>
    <w:p>
      <w:pPr>
        <w:ind w:left="1400" w:hanging="323"/>
        <w:spacing w:after="0" w:line="277" w:lineRule="auto"/>
        <w:tabs>
          <w:tab w:leader="none" w:pos="1400" w:val="left"/>
        </w:tabs>
        <w:numPr>
          <w:ilvl w:val="2"/>
          <w:numId w:val="17"/>
        </w:numPr>
        <w:rPr>
          <w:rFonts w:ascii="Arial" w:cs="Arial" w:eastAsia="Arial" w:hAnsi="Arial"/>
          <w:sz w:val="18"/>
          <w:szCs w:val="18"/>
          <w:color w:val="010000"/>
        </w:rPr>
      </w:pPr>
      <w:r>
        <w:rPr>
          <w:rFonts w:ascii="Arial" w:cs="Arial" w:eastAsia="Arial" w:hAnsi="Arial"/>
          <w:sz w:val="18"/>
          <w:szCs w:val="18"/>
          <w:color w:val="auto"/>
        </w:rPr>
        <w:t>located, organized or resident in a country or territory that is the subject of Sanctions (including, without limitation, Burma/Myanmar, Crimea, Cuba, Iran, Libya, North Korea, Sudan and Syria).</w:t>
      </w:r>
    </w:p>
    <w:p>
      <w:pPr>
        <w:spacing w:after="0" w:line="170" w:lineRule="exact"/>
        <w:rPr>
          <w:rFonts w:ascii="Arial" w:cs="Arial" w:eastAsia="Arial" w:hAnsi="Arial"/>
          <w:sz w:val="18"/>
          <w:szCs w:val="18"/>
          <w:color w:val="010000"/>
        </w:rPr>
      </w:pPr>
    </w:p>
    <w:p>
      <w:pPr>
        <w:ind w:left="100" w:right="360" w:firstLine="653"/>
        <w:spacing w:after="0" w:line="277" w:lineRule="auto"/>
        <w:tabs>
          <w:tab w:leader="none" w:pos="1058"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Neither the Company nor its subsidiaries will, directly or indirectly, use the proceeds of the offering, or lend, contribute or otherwise make available such proceeds to any subsidiary, joint venture partner or other individual or entity:</w:t>
      </w:r>
    </w:p>
    <w:p>
      <w:pPr>
        <w:spacing w:after="0" w:line="170" w:lineRule="exact"/>
        <w:rPr>
          <w:rFonts w:ascii="Arial" w:cs="Arial" w:eastAsia="Arial" w:hAnsi="Arial"/>
          <w:sz w:val="18"/>
          <w:szCs w:val="18"/>
          <w:color w:val="010000"/>
        </w:rPr>
      </w:pPr>
    </w:p>
    <w:p>
      <w:pPr>
        <w:ind w:left="1400" w:hanging="323"/>
        <w:spacing w:after="0" w:line="277" w:lineRule="auto"/>
        <w:tabs>
          <w:tab w:leader="none" w:pos="1400" w:val="left"/>
        </w:tabs>
        <w:numPr>
          <w:ilvl w:val="2"/>
          <w:numId w:val="17"/>
        </w:numPr>
        <w:rPr>
          <w:rFonts w:ascii="Arial" w:cs="Arial" w:eastAsia="Arial" w:hAnsi="Arial"/>
          <w:sz w:val="18"/>
          <w:szCs w:val="18"/>
          <w:color w:val="010000"/>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70" w:lineRule="exact"/>
        <w:rPr>
          <w:rFonts w:ascii="Arial" w:cs="Arial" w:eastAsia="Arial" w:hAnsi="Arial"/>
          <w:sz w:val="18"/>
          <w:szCs w:val="18"/>
          <w:color w:val="010000"/>
        </w:rPr>
      </w:pPr>
    </w:p>
    <w:p>
      <w:pPr>
        <w:ind w:left="1400" w:hanging="323"/>
        <w:spacing w:after="0" w:line="277" w:lineRule="auto"/>
        <w:tabs>
          <w:tab w:leader="none" w:pos="1400" w:val="left"/>
        </w:tabs>
        <w:numPr>
          <w:ilvl w:val="2"/>
          <w:numId w:val="17"/>
        </w:numPr>
        <w:rPr>
          <w:rFonts w:ascii="Arial" w:cs="Arial" w:eastAsia="Arial" w:hAnsi="Arial"/>
          <w:sz w:val="18"/>
          <w:szCs w:val="18"/>
          <w:color w:val="010000"/>
        </w:rPr>
      </w:pPr>
      <w:r>
        <w:rPr>
          <w:rFonts w:ascii="Arial" w:cs="Arial" w:eastAsia="Arial" w:hAnsi="Arial"/>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70" w:lineRule="exact"/>
        <w:rPr>
          <w:rFonts w:ascii="Arial" w:cs="Arial" w:eastAsia="Arial" w:hAnsi="Arial"/>
          <w:sz w:val="18"/>
          <w:szCs w:val="18"/>
          <w:color w:val="010000"/>
        </w:rPr>
      </w:pPr>
    </w:p>
    <w:p>
      <w:pPr>
        <w:jc w:val="both"/>
        <w:ind w:left="100" w:right="620" w:firstLine="653"/>
        <w:spacing w:after="0" w:line="264" w:lineRule="auto"/>
        <w:tabs>
          <w:tab w:leader="none" w:pos="1108"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For the past five years, neither the Company nor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39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5" w:name="page16"/>
    <w:bookmarkEnd w:id="15"/>
    <w:p>
      <w:pPr>
        <w:ind w:left="-540" w:firstLine="645"/>
        <w:spacing w:after="0" w:line="253" w:lineRule="auto"/>
        <w:tabs>
          <w:tab w:leader="none" w:pos="498" w:val="left"/>
        </w:tabs>
        <w:numPr>
          <w:ilvl w:val="0"/>
          <w:numId w:val="18"/>
        </w:numPr>
        <w:rPr>
          <w:rFonts w:ascii="Arial" w:cs="Arial" w:eastAsia="Arial" w:hAnsi="Arial"/>
          <w:sz w:val="18"/>
          <w:szCs w:val="18"/>
          <w:color w:val="010000"/>
        </w:rPr>
      </w:pPr>
      <w:r>
        <w:rPr>
          <w:rFonts w:ascii="Arial" w:cs="Arial" w:eastAsia="Arial" w:hAnsi="Arial"/>
          <w:sz w:val="18"/>
          <w:szCs w:val="18"/>
          <w:i w:val="1"/>
          <w:iCs w:val="1"/>
          <w:u w:val="single" w:color="auto"/>
          <w:color w:val="auto"/>
        </w:rPr>
        <w:t>Compliance with Environmental Laws</w:t>
      </w:r>
      <w:r>
        <w:rPr>
          <w:rFonts w:ascii="Arial" w:cs="Arial" w:eastAsia="Arial" w:hAnsi="Arial"/>
          <w:sz w:val="18"/>
          <w:szCs w:val="18"/>
          <w:color w:val="auto"/>
        </w:rPr>
        <w:t>. Except as disclosed in the Registration Statement, the Time of Sale Disclosure Package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neither the Company nor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 Neither the Company nor its subsidiaries anticipates incurring any material capital expenditures relating to compliance with Environmental Laws.</w:t>
      </w:r>
    </w:p>
    <w:p>
      <w:pPr>
        <w:spacing w:after="0" w:line="197" w:lineRule="exact"/>
        <w:rPr>
          <w:rFonts w:ascii="Arial" w:cs="Arial" w:eastAsia="Arial" w:hAnsi="Arial"/>
          <w:sz w:val="18"/>
          <w:szCs w:val="18"/>
          <w:color w:val="010000"/>
        </w:rPr>
      </w:pPr>
    </w:p>
    <w:p>
      <w:pPr>
        <w:ind w:left="-540" w:firstLine="645"/>
        <w:spacing w:after="0" w:line="290" w:lineRule="auto"/>
        <w:tabs>
          <w:tab w:leader="none" w:pos="478" w:val="left"/>
        </w:tabs>
        <w:numPr>
          <w:ilvl w:val="0"/>
          <w:numId w:val="18"/>
        </w:numPr>
        <w:rPr>
          <w:rFonts w:ascii="Arial" w:cs="Arial" w:eastAsia="Arial" w:hAnsi="Arial"/>
          <w:sz w:val="16"/>
          <w:szCs w:val="16"/>
          <w:color w:val="010000"/>
        </w:rPr>
      </w:pPr>
      <w:r>
        <w:rPr>
          <w:rFonts w:ascii="Arial" w:cs="Arial" w:eastAsia="Arial" w:hAnsi="Arial"/>
          <w:sz w:val="16"/>
          <w:szCs w:val="16"/>
          <w:i w:val="1"/>
          <w:iCs w:val="1"/>
          <w:u w:val="single" w:color="auto"/>
          <w:color w:val="auto"/>
        </w:rPr>
        <w:t>Compliance with Occupational Laws</w:t>
      </w:r>
      <w:r>
        <w:rPr>
          <w:rFonts w:ascii="Arial" w:cs="Arial" w:eastAsia="Arial" w:hAnsi="Arial"/>
          <w:sz w:val="16"/>
          <w:szCs w:val="16"/>
          <w:color w:val="auto"/>
        </w:rPr>
        <w:t>. The Company and its subsidiaries (A) is in compliance, in all material respects, with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6"/>
          <w:szCs w:val="16"/>
          <w:b w:val="1"/>
          <w:bCs w:val="1"/>
          <w:i w:val="1"/>
          <w:iCs w:val="1"/>
          <w:color w:val="auto"/>
        </w:rPr>
        <w:t>“Occupational Laws”</w:t>
      </w:r>
      <w:r>
        <w:rPr>
          <w:rFonts w:ascii="Arial" w:cs="Arial" w:eastAsia="Arial" w:hAnsi="Arial"/>
          <w:sz w:val="16"/>
          <w:szCs w:val="16"/>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its subsidiaries relating to Occupational Laws, and the Company does not have knowledge of any facts, circumstances or developments relating to its operations that could reasonably be expected to form the basis for or give rise to such actions, suits, investigations or proceedings.</w:t>
      </w:r>
    </w:p>
    <w:p>
      <w:pPr>
        <w:spacing w:after="0" w:line="37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881" w:right="259" w:bottom="1440" w:gutter="0" w:footer="0" w:header="0"/>
        </w:sectPr>
      </w:pPr>
    </w:p>
    <w:bookmarkStart w:id="16" w:name="page17"/>
    <w:bookmarkEnd w:id="16"/>
    <w:p>
      <w:pPr>
        <w:ind w:left="4" w:firstLine="645"/>
        <w:spacing w:after="0" w:line="282" w:lineRule="auto"/>
        <w:tabs>
          <w:tab w:leader="none" w:pos="1042" w:val="left"/>
        </w:tabs>
        <w:numPr>
          <w:ilvl w:val="1"/>
          <w:numId w:val="19"/>
        </w:numPr>
        <w:rPr>
          <w:rFonts w:ascii="Arial" w:cs="Arial" w:eastAsia="Arial" w:hAnsi="Arial"/>
          <w:sz w:val="16"/>
          <w:szCs w:val="16"/>
          <w:color w:val="010000"/>
        </w:rPr>
      </w:pPr>
      <w:r>
        <w:rPr>
          <w:rFonts w:ascii="Arial" w:cs="Arial" w:eastAsia="Arial" w:hAnsi="Arial"/>
          <w:sz w:val="16"/>
          <w:szCs w:val="16"/>
          <w:i w:val="1"/>
          <w:iCs w:val="1"/>
          <w:u w:val="single" w:color="auto"/>
          <w:color w:val="auto"/>
        </w:rPr>
        <w:t>ERISA and Employee Benefits Matters</w:t>
      </w:r>
      <w:r>
        <w:rPr>
          <w:rFonts w:ascii="Arial" w:cs="Arial" w:eastAsia="Arial" w:hAnsi="Arial"/>
          <w:sz w:val="16"/>
          <w:szCs w:val="16"/>
          <w:color w:val="auto"/>
        </w:rPr>
        <w:t>. (A) To the knowledge of the Company, no “prohibited transaction” as defined under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subsidiaries; (C) the Company does not have any obligations under any collective bargaining agreement with any union and no organization efforts are underway with respect to Company employees. As used in this Agreement,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means the Internal Revenue Code of 1986, as amended; </w:t>
      </w:r>
      <w:r>
        <w:rPr>
          <w:rFonts w:ascii="Arial" w:cs="Arial" w:eastAsia="Arial" w:hAnsi="Arial"/>
          <w:sz w:val="16"/>
          <w:szCs w:val="16"/>
          <w:b w:val="1"/>
          <w:bCs w:val="1"/>
          <w:i w:val="1"/>
          <w:iCs w:val="1"/>
          <w:color w:val="auto"/>
        </w:rPr>
        <w:t>“Employee Benefit Plan”</w:t>
      </w:r>
      <w:r>
        <w:rPr>
          <w:rFonts w:ascii="Arial" w:cs="Arial" w:eastAsia="Arial" w:hAnsi="Arial"/>
          <w:sz w:val="16"/>
          <w:szCs w:val="16"/>
          <w:color w:val="auto"/>
        </w:rPr>
        <w:t xml:space="preserve">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(x) any current or former employee, director or independent contractor of the Company or its subsidiaries has any present or future right to benefits and which are contributed to, sponsored by or maintained by the Company or its subsidiaries or (y) the Company or its subsidiaries has had or has any present or future obligation or liability;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xml:space="preserve"> means the Employee Retirement Income Security Act of 1974, as amended; </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xml:space="preserve"> means any member of the Company’s controlled group as defined in Code Section 414(b), (c),</w:t>
      </w:r>
    </w:p>
    <w:p>
      <w:pPr>
        <w:spacing w:after="0" w:line="11" w:lineRule="exact"/>
        <w:rPr>
          <w:rFonts w:ascii="Arial" w:cs="Arial" w:eastAsia="Arial" w:hAnsi="Arial"/>
          <w:sz w:val="16"/>
          <w:szCs w:val="16"/>
          <w:color w:val="010000"/>
        </w:rPr>
      </w:pPr>
    </w:p>
    <w:p>
      <w:pPr>
        <w:ind w:left="4" w:right="140" w:hanging="4"/>
        <w:spacing w:after="0" w:line="261" w:lineRule="auto"/>
        <w:tabs>
          <w:tab w:leader="none" w:pos="3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or (o); and </w:t>
      </w:r>
      <w:r>
        <w:rPr>
          <w:rFonts w:ascii="Arial" w:cs="Arial" w:eastAsia="Arial" w:hAnsi="Arial"/>
          <w:sz w:val="18"/>
          <w:szCs w:val="18"/>
          <w:b w:val="1"/>
          <w:bCs w:val="1"/>
          <w:i w:val="1"/>
          <w:iCs w:val="1"/>
          <w:color w:val="auto"/>
        </w:rPr>
        <w:t>“Foreign Benefit Plan”</w:t>
      </w:r>
      <w:r>
        <w:rPr>
          <w:rFonts w:ascii="Arial" w:cs="Arial" w:eastAsia="Arial" w:hAnsi="Arial"/>
          <w:sz w:val="18"/>
          <w:szCs w:val="18"/>
          <w:color w:val="auto"/>
        </w:rPr>
        <w:t xml:space="preserve"> means any Employee Benefit Plan established, maintained or contributed to outside of the United States of America or which covers any employee working or residing outside of the United States.</w:t>
      </w:r>
    </w:p>
    <w:p>
      <w:pPr>
        <w:spacing w:after="0" w:line="183" w:lineRule="exact"/>
        <w:rPr>
          <w:rFonts w:ascii="Arial" w:cs="Arial" w:eastAsia="Arial" w:hAnsi="Arial"/>
          <w:sz w:val="18"/>
          <w:szCs w:val="18"/>
          <w:color w:val="auto"/>
        </w:rPr>
      </w:pPr>
    </w:p>
    <w:p>
      <w:pPr>
        <w:jc w:val="both"/>
        <w:ind w:left="4" w:right="80" w:firstLine="645"/>
        <w:spacing w:after="0" w:line="279" w:lineRule="auto"/>
        <w:tabs>
          <w:tab w:leader="none" w:pos="1022" w:val="left"/>
        </w:tabs>
        <w:numPr>
          <w:ilvl w:val="1"/>
          <w:numId w:val="20"/>
        </w:numPr>
        <w:rPr>
          <w:rFonts w:ascii="Arial" w:cs="Arial" w:eastAsia="Arial" w:hAnsi="Arial"/>
          <w:sz w:val="17"/>
          <w:szCs w:val="17"/>
          <w:color w:val="010000"/>
        </w:rPr>
      </w:pPr>
      <w:r>
        <w:rPr>
          <w:rFonts w:ascii="Arial" w:cs="Arial" w:eastAsia="Arial" w:hAnsi="Arial"/>
          <w:sz w:val="17"/>
          <w:szCs w:val="17"/>
          <w:i w:val="1"/>
          <w:iCs w:val="1"/>
          <w:u w:val="single" w:color="auto"/>
          <w:color w:val="auto"/>
        </w:rPr>
        <w:t>Business Arrangements</w:t>
      </w:r>
      <w:r>
        <w:rPr>
          <w:rFonts w:ascii="Arial" w:cs="Arial" w:eastAsia="Arial" w:hAnsi="Arial"/>
          <w:sz w:val="17"/>
          <w:szCs w:val="17"/>
          <w:color w:val="auto"/>
        </w:rPr>
        <w:t>. Except as disclosed in the Registration Statement, the Time of Sale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neither the Company nor its subsidiaries has granted any material rights to develop, manufacture, produce, assemble, distribute, license, market or sell its products to any other person and is not bound by any material agreement that affects the exclusive right of the Company or its subsidiaries to develop, manufacture, produce, assemble, distribute, license, market or sell its products.</w:t>
      </w:r>
    </w:p>
    <w:p>
      <w:pPr>
        <w:spacing w:after="0" w:line="171" w:lineRule="exact"/>
        <w:rPr>
          <w:rFonts w:ascii="Arial" w:cs="Arial" w:eastAsia="Arial" w:hAnsi="Arial"/>
          <w:sz w:val="17"/>
          <w:szCs w:val="17"/>
          <w:color w:val="010000"/>
        </w:rPr>
      </w:pPr>
    </w:p>
    <w:p>
      <w:pPr>
        <w:ind w:left="4" w:right="60" w:firstLine="645"/>
        <w:spacing w:after="0" w:line="264" w:lineRule="auto"/>
        <w:tabs>
          <w:tab w:leader="none" w:pos="978" w:val="left"/>
        </w:tabs>
        <w:numPr>
          <w:ilvl w:val="1"/>
          <w:numId w:val="20"/>
        </w:numPr>
        <w:rPr>
          <w:rFonts w:ascii="Arial" w:cs="Arial" w:eastAsia="Arial" w:hAnsi="Arial"/>
          <w:sz w:val="18"/>
          <w:szCs w:val="18"/>
          <w:color w:val="010000"/>
        </w:rPr>
      </w:pPr>
      <w:r>
        <w:rPr>
          <w:rFonts w:ascii="Arial" w:cs="Arial" w:eastAsia="Arial" w:hAnsi="Arial"/>
          <w:sz w:val="18"/>
          <w:szCs w:val="18"/>
          <w:i w:val="1"/>
          <w:iCs w:val="1"/>
          <w:u w:val="single" w:color="auto"/>
          <w:color w:val="auto"/>
        </w:rPr>
        <w:t>Labor Matters</w:t>
      </w:r>
      <w:r>
        <w:rPr>
          <w:rFonts w:ascii="Arial" w:cs="Arial" w:eastAsia="Arial" w:hAnsi="Arial"/>
          <w:sz w:val="18"/>
          <w:szCs w:val="18"/>
          <w:color w:val="auto"/>
        </w:rPr>
        <w:t>. No labor problem or dispute with the employees of the Company or its subsidiaries exists or is threatened or imminent,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Company is not aware of any existing or imminent labor disturbance by the employees of any of its or its subsidiaries’ principal suppliers, contractors or customers, that could have a Material Adverse Effect.</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881" w:right="259" w:bottom="1440" w:gutter="0" w:footer="0" w:header="0"/>
        </w:sectPr>
      </w:pPr>
    </w:p>
    <w:bookmarkStart w:id="17" w:name="page18"/>
    <w:bookmarkEnd w:id="17"/>
    <w:p>
      <w:pPr>
        <w:ind w:left="-540" w:right="280" w:firstLine="645"/>
        <w:spacing w:after="0" w:line="257" w:lineRule="auto"/>
        <w:tabs>
          <w:tab w:leader="none" w:pos="498" w:val="left"/>
        </w:tabs>
        <w:numPr>
          <w:ilvl w:val="0"/>
          <w:numId w:val="21"/>
        </w:numPr>
        <w:rPr>
          <w:rFonts w:ascii="Arial" w:cs="Arial" w:eastAsia="Arial" w:hAnsi="Arial"/>
          <w:sz w:val="18"/>
          <w:szCs w:val="18"/>
          <w:color w:val="010000"/>
        </w:rPr>
      </w:pPr>
      <w:r>
        <w:rPr>
          <w:rFonts w:ascii="Arial" w:cs="Arial" w:eastAsia="Arial" w:hAnsi="Arial"/>
          <w:sz w:val="18"/>
          <w:szCs w:val="18"/>
          <w:i w:val="1"/>
          <w:iCs w:val="1"/>
          <w:u w:val="single" w:color="auto"/>
          <w:color w:val="auto"/>
        </w:rPr>
        <w:t>Disclosure of Legal Matters</w:t>
      </w:r>
      <w:r>
        <w:rPr>
          <w:rFonts w:ascii="Arial" w:cs="Arial" w:eastAsia="Arial" w:hAnsi="Arial"/>
          <w:sz w:val="18"/>
          <w:szCs w:val="18"/>
          <w:color w:val="auto"/>
        </w:rPr>
        <w:t>. The statements in Preliminary Prospectus, the Time of Sale Disclosure Package, and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heading “Description of Share Capital,” and under the heading “Business” in the Company’s annual report on Form 10-K for the year ended December 31, 2018, insofar as such statements purport to summarize such legal matters, agreements, documents, or proceedings discussed therein, are accurate in all material respects and fair summaries of such legal matters, agreements, documents, or proceedings, and present, in all material respects, the information required to be shown.</w:t>
      </w:r>
    </w:p>
    <w:p>
      <w:pPr>
        <w:spacing w:after="0" w:line="188" w:lineRule="exact"/>
        <w:rPr>
          <w:rFonts w:ascii="Arial" w:cs="Arial" w:eastAsia="Arial" w:hAnsi="Arial"/>
          <w:sz w:val="18"/>
          <w:szCs w:val="18"/>
          <w:color w:val="010000"/>
        </w:rPr>
      </w:pPr>
    </w:p>
    <w:p>
      <w:pPr>
        <w:ind w:left="-540" w:right="100" w:firstLine="645"/>
        <w:spacing w:after="0" w:line="264" w:lineRule="auto"/>
        <w:tabs>
          <w:tab w:leader="none" w:pos="498" w:val="left"/>
        </w:tabs>
        <w:numPr>
          <w:ilvl w:val="0"/>
          <w:numId w:val="21"/>
        </w:numPr>
        <w:rPr>
          <w:rFonts w:ascii="Arial" w:cs="Arial" w:eastAsia="Arial" w:hAnsi="Arial"/>
          <w:sz w:val="18"/>
          <w:szCs w:val="18"/>
          <w:color w:val="010000"/>
        </w:rPr>
      </w:pPr>
      <w:r>
        <w:rPr>
          <w:rFonts w:ascii="Arial" w:cs="Arial" w:eastAsia="Arial" w:hAnsi="Arial"/>
          <w:sz w:val="18"/>
          <w:szCs w:val="18"/>
          <w:i w:val="1"/>
          <w:iCs w:val="1"/>
          <w:u w:val="single" w:color="auto"/>
          <w:color w:val="auto"/>
        </w:rPr>
        <w:t>Statistical Information</w:t>
      </w:r>
      <w:r>
        <w:rPr>
          <w:rFonts w:ascii="Arial" w:cs="Arial" w:eastAsia="Arial" w:hAnsi="Arial"/>
          <w:sz w:val="18"/>
          <w:szCs w:val="18"/>
          <w:color w:val="auto"/>
        </w:rPr>
        <w:t>. Any third-party statistical and market-related data included in the Registration Statement,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are based on or derived from sources that the Company reasonably believes to be reliable and accurate in all material respects.</w:t>
      </w:r>
    </w:p>
    <w:p>
      <w:pPr>
        <w:spacing w:after="0" w:line="181" w:lineRule="exact"/>
        <w:rPr>
          <w:rFonts w:ascii="Arial" w:cs="Arial" w:eastAsia="Arial" w:hAnsi="Arial"/>
          <w:sz w:val="18"/>
          <w:szCs w:val="18"/>
          <w:color w:val="010000"/>
        </w:rPr>
      </w:pPr>
    </w:p>
    <w:p>
      <w:pPr>
        <w:ind w:left="-540" w:right="60" w:firstLine="645"/>
        <w:spacing w:after="0" w:line="264" w:lineRule="auto"/>
        <w:tabs>
          <w:tab w:leader="none" w:pos="418" w:val="left"/>
        </w:tabs>
        <w:numPr>
          <w:ilvl w:val="0"/>
          <w:numId w:val="21"/>
        </w:numPr>
        <w:rPr>
          <w:rFonts w:ascii="Arial" w:cs="Arial" w:eastAsia="Arial" w:hAnsi="Arial"/>
          <w:sz w:val="18"/>
          <w:szCs w:val="18"/>
          <w:color w:val="010000"/>
        </w:rPr>
      </w:pPr>
      <w:r>
        <w:rPr>
          <w:rFonts w:ascii="Arial" w:cs="Arial" w:eastAsia="Arial" w:hAnsi="Arial"/>
          <w:sz w:val="18"/>
          <w:szCs w:val="18"/>
          <w:i w:val="1"/>
          <w:iCs w:val="1"/>
          <w:u w:val="single" w:color="auto"/>
          <w:color w:val="auto"/>
        </w:rPr>
        <w:t>Forward-looking Statements</w:t>
      </w:r>
      <w:r>
        <w:rPr>
          <w:rFonts w:ascii="Arial" w:cs="Arial" w:eastAsia="Arial" w:hAnsi="Arial"/>
          <w:sz w:val="18"/>
          <w:szCs w:val="18"/>
          <w:color w:val="auto"/>
        </w:rPr>
        <w:t>. No forward-looking statement (within the meaning of Section 27A of the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Time of Sale Disclosure Package or the Prospectus has been made or reaffirmed without a reasonable basis or has been disclosed other than in good faith.</w:t>
      </w:r>
    </w:p>
    <w:p>
      <w:pPr>
        <w:spacing w:after="0" w:line="181" w:lineRule="exact"/>
        <w:rPr>
          <w:rFonts w:ascii="Arial" w:cs="Arial" w:eastAsia="Arial" w:hAnsi="Arial"/>
          <w:sz w:val="18"/>
          <w:szCs w:val="18"/>
          <w:color w:val="010000"/>
        </w:rPr>
      </w:pPr>
    </w:p>
    <w:p>
      <w:pPr>
        <w:ind w:left="-540" w:firstLine="645"/>
        <w:spacing w:after="0" w:line="268" w:lineRule="auto"/>
        <w:tabs>
          <w:tab w:leader="none" w:pos="418" w:val="left"/>
        </w:tabs>
        <w:numPr>
          <w:ilvl w:val="0"/>
          <w:numId w:val="21"/>
        </w:numPr>
        <w:rPr>
          <w:rFonts w:ascii="Arial" w:cs="Arial" w:eastAsia="Arial" w:hAnsi="Arial"/>
          <w:sz w:val="17"/>
          <w:szCs w:val="17"/>
          <w:color w:val="010000"/>
        </w:rPr>
      </w:pPr>
      <w:r>
        <w:rPr>
          <w:rFonts w:ascii="Arial" w:cs="Arial" w:eastAsia="Arial" w:hAnsi="Arial"/>
          <w:sz w:val="17"/>
          <w:szCs w:val="17"/>
          <w:i w:val="1"/>
          <w:iCs w:val="1"/>
          <w:u w:val="single" w:color="auto"/>
          <w:color w:val="auto"/>
        </w:rPr>
        <w:t>Exports and Imports</w:t>
      </w:r>
      <w:r>
        <w:rPr>
          <w:rFonts w:ascii="Arial" w:cs="Arial" w:eastAsia="Arial" w:hAnsi="Arial"/>
          <w:sz w:val="17"/>
          <w:szCs w:val="17"/>
          <w:color w:val="auto"/>
        </w:rPr>
        <w:t>. Except as disclosed in the Time of Sale Disclosure Package and the Prospectus, neither the Company nor,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any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 § 2278), the Export Administration Act (50 U.S.C. App. §§ 2401-2420), the International Traffic in Arms Regulations (22 C.F.R. §§ 120-130), the Export Administration Regulations (15 C.F.R. 730 et seq.), the Customs Laws of the United States (19 U.S.C. § 1 et seq.),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Time of Sale Disclosure Package and the Prospectus, to the Company’s knowledge, there has never been a claim or charge made in writing, investigation undertaken, violation found, or settlement of any enforcement action under any of the laws referred to herein by any governmental entity with respect to matters arising under such laws against the Company, or against its agents, distributors or representatives in connection with their relationship with the Company.</w:t>
      </w:r>
    </w:p>
    <w:p>
      <w:pPr>
        <w:spacing w:after="0" w:line="185" w:lineRule="exact"/>
        <w:rPr>
          <w:rFonts w:ascii="Arial" w:cs="Arial" w:eastAsia="Arial" w:hAnsi="Arial"/>
          <w:sz w:val="17"/>
          <w:szCs w:val="17"/>
          <w:color w:val="010000"/>
        </w:rPr>
      </w:pPr>
    </w:p>
    <w:p>
      <w:pPr>
        <w:ind w:left="-540" w:firstLine="645"/>
        <w:spacing w:after="0" w:line="255" w:lineRule="auto"/>
        <w:tabs>
          <w:tab w:leader="none" w:pos="498" w:val="left"/>
        </w:tabs>
        <w:numPr>
          <w:ilvl w:val="0"/>
          <w:numId w:val="21"/>
        </w:numPr>
        <w:rPr>
          <w:rFonts w:ascii="Arial" w:cs="Arial" w:eastAsia="Arial" w:hAnsi="Arial"/>
          <w:sz w:val="18"/>
          <w:szCs w:val="18"/>
          <w:color w:val="010000"/>
        </w:rPr>
      </w:pPr>
      <w:r>
        <w:rPr>
          <w:rFonts w:ascii="Arial" w:cs="Arial" w:eastAsia="Arial" w:hAnsi="Arial"/>
          <w:sz w:val="18"/>
          <w:szCs w:val="18"/>
          <w:i w:val="1"/>
          <w:iCs w:val="1"/>
          <w:u w:val="single" w:color="auto"/>
          <w:color w:val="auto"/>
        </w:rPr>
        <w:t>Related Party Transactions</w:t>
      </w:r>
      <w:r>
        <w:rPr>
          <w:rFonts w:ascii="Arial" w:cs="Arial" w:eastAsia="Arial" w:hAnsi="Arial"/>
          <w:sz w:val="18"/>
          <w:szCs w:val="18"/>
          <w:color w:val="auto"/>
        </w:rPr>
        <w:t>. To the Company’s knowledge, no transaction has occurred between or among the Company,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any of the Company’s officers, directors or five percent or greater stockholders or any affiliate or affiliates of any such officer, director or five percent or greater stockholders that is required to be described that is not so described in the Registration Statement, the Time of Sale Disclosure Package and the Prospectus. The Company has not,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w:t>
      </w:r>
    </w:p>
    <w:p>
      <w:pPr>
        <w:spacing w:after="0" w:line="200" w:lineRule="exact"/>
        <w:rPr>
          <w:sz w:val="20"/>
          <w:szCs w:val="20"/>
          <w:color w:val="auto"/>
        </w:rPr>
      </w:pPr>
    </w:p>
    <w:p>
      <w:pPr>
        <w:spacing w:after="0" w:line="20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881" w:right="259" w:bottom="1440" w:gutter="0" w:footer="0" w:header="0"/>
        </w:sectPr>
      </w:pPr>
    </w:p>
    <w:bookmarkStart w:id="18" w:name="page19"/>
    <w:bookmarkEnd w:id="18"/>
    <w:p>
      <w:pPr>
        <w:ind w:left="4" w:right="260" w:firstLine="645"/>
        <w:spacing w:after="0" w:line="342" w:lineRule="auto"/>
        <w:tabs>
          <w:tab w:leader="none" w:pos="962" w:val="left"/>
        </w:tabs>
        <w:numPr>
          <w:ilvl w:val="1"/>
          <w:numId w:val="22"/>
        </w:numPr>
        <w:rPr>
          <w:rFonts w:ascii="Arial" w:cs="Arial" w:eastAsia="Arial" w:hAnsi="Arial"/>
          <w:sz w:val="16"/>
          <w:szCs w:val="16"/>
          <w:color w:val="010000"/>
        </w:rPr>
      </w:pPr>
      <w:r>
        <w:rPr>
          <w:rFonts w:ascii="Arial" w:cs="Arial" w:eastAsia="Arial" w:hAnsi="Arial"/>
          <w:sz w:val="16"/>
          <w:szCs w:val="16"/>
          <w:i w:val="1"/>
          <w:iCs w:val="1"/>
          <w:u w:val="single" w:color="auto"/>
          <w:color w:val="auto"/>
        </w:rPr>
        <w:t>Effect of Certificates</w:t>
      </w:r>
      <w:r>
        <w:rPr>
          <w:rFonts w:ascii="Arial" w:cs="Arial" w:eastAsia="Arial" w:hAnsi="Arial"/>
          <w:sz w:val="16"/>
          <w:szCs w:val="16"/>
          <w:color w:val="auto"/>
        </w:rPr>
        <w:t>. Any certificate signed by any officer of the Company and delivered to the Representative or to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shall be deemed a representation and warranty by the Company to each Underwriter as to the matters covered thereby.</w:t>
      </w:r>
    </w:p>
    <w:p>
      <w:pPr>
        <w:spacing w:after="0" w:line="123" w:lineRule="exact"/>
        <w:rPr>
          <w:rFonts w:ascii="Arial" w:cs="Arial" w:eastAsia="Arial" w:hAnsi="Arial"/>
          <w:sz w:val="16"/>
          <w:szCs w:val="16"/>
          <w:color w:val="010000"/>
        </w:rPr>
      </w:pPr>
    </w:p>
    <w:p>
      <w:pPr>
        <w:ind w:left="224" w:hanging="224"/>
        <w:spacing w:after="0"/>
        <w:tabs>
          <w:tab w:leader="none" w:pos="224" w:val="left"/>
        </w:tabs>
        <w:numPr>
          <w:ilvl w:val="0"/>
          <w:numId w:val="23"/>
        </w:numPr>
        <w:rPr>
          <w:rFonts w:ascii="Arial" w:cs="Arial" w:eastAsia="Arial" w:hAnsi="Arial"/>
          <w:sz w:val="18"/>
          <w:szCs w:val="18"/>
          <w:color w:val="010000"/>
        </w:rPr>
      </w:pPr>
      <w:r>
        <w:rPr>
          <w:rFonts w:ascii="Arial" w:cs="Arial" w:eastAsia="Arial" w:hAnsi="Arial"/>
          <w:sz w:val="18"/>
          <w:szCs w:val="18"/>
          <w:b w:val="1"/>
          <w:bCs w:val="1"/>
          <w:i w:val="1"/>
          <w:iCs w:val="1"/>
          <w:color w:val="auto"/>
        </w:rPr>
        <w:t>Purchase, Sale and Delivery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4" w:right="40" w:firstLine="645"/>
        <w:spacing w:after="0" w:line="297" w:lineRule="auto"/>
        <w:tabs>
          <w:tab w:leader="none" w:pos="942" w:val="left"/>
        </w:tabs>
        <w:numPr>
          <w:ilvl w:val="1"/>
          <w:numId w:val="23"/>
        </w:numPr>
        <w:rPr>
          <w:rFonts w:ascii="Arial" w:cs="Arial" w:eastAsia="Arial" w:hAnsi="Arial"/>
          <w:sz w:val="16"/>
          <w:szCs w:val="16"/>
          <w:color w:val="010000"/>
        </w:rPr>
      </w:pPr>
      <w:r>
        <w:rPr>
          <w:rFonts w:ascii="Arial" w:cs="Arial" w:eastAsia="Arial" w:hAnsi="Arial"/>
          <w:sz w:val="16"/>
          <w:szCs w:val="16"/>
          <w:i w:val="1"/>
          <w:iCs w:val="1"/>
          <w:u w:val="single" w:color="auto"/>
          <w:color w:val="auto"/>
        </w:rPr>
        <w:t>Firm Shares</w:t>
      </w:r>
      <w:r>
        <w:rPr>
          <w:rFonts w:ascii="Arial" w:cs="Arial" w:eastAsia="Arial" w:hAnsi="Arial"/>
          <w:sz w:val="16"/>
          <w:szCs w:val="16"/>
          <w:color w:val="auto"/>
        </w:rPr>
        <w:t>. On the basis of the representations, warranties and agreements herein contained, but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set forth, the Company agrees to sell to the several Underwriters, and each Underwriter agrees, severally and not jointly, to purchase from the Company the number of Firm Shares set forth opposite the name of such Underwriter in Schedule I hereto. The purchase price for each Firm Share shall be $12.155 per share. In making this Agreement, each Underwriter is contracting severally and not jointly; except as provided in paragraph (d) of this Section 3, the agreement of each Underwriter is to purchase only the respective number of Firm Shares specified in Schedule I.</w:t>
      </w:r>
    </w:p>
    <w:p>
      <w:pPr>
        <w:spacing w:after="0" w:line="158" w:lineRule="exact"/>
        <w:rPr>
          <w:rFonts w:ascii="Arial" w:cs="Arial" w:eastAsia="Arial" w:hAnsi="Arial"/>
          <w:sz w:val="16"/>
          <w:szCs w:val="16"/>
          <w:color w:val="010000"/>
        </w:rPr>
      </w:pPr>
    </w:p>
    <w:p>
      <w:pPr>
        <w:ind w:left="4" w:firstLine="645"/>
        <w:spacing w:after="0" w:line="287" w:lineRule="auto"/>
        <w:tabs>
          <w:tab w:leader="none" w:pos="952" w:val="left"/>
        </w:tabs>
        <w:numPr>
          <w:ilvl w:val="1"/>
          <w:numId w:val="23"/>
        </w:numPr>
        <w:rPr>
          <w:rFonts w:ascii="Arial" w:cs="Arial" w:eastAsia="Arial" w:hAnsi="Arial"/>
          <w:sz w:val="16"/>
          <w:szCs w:val="16"/>
          <w:color w:val="010000"/>
        </w:rPr>
      </w:pPr>
      <w:r>
        <w:rPr>
          <w:rFonts w:ascii="Arial" w:cs="Arial" w:eastAsia="Arial" w:hAnsi="Arial"/>
          <w:sz w:val="16"/>
          <w:szCs w:val="16"/>
          <w:i w:val="1"/>
          <w:iCs w:val="1"/>
          <w:u w:val="single" w:color="auto"/>
          <w:color w:val="auto"/>
        </w:rPr>
        <w:t>Option Shares</w:t>
      </w:r>
      <w:r>
        <w:rPr>
          <w:rFonts w:ascii="Arial" w:cs="Arial" w:eastAsia="Arial" w:hAnsi="Arial"/>
          <w:sz w:val="16"/>
          <w:szCs w:val="16"/>
          <w:color w:val="auto"/>
        </w:rPr>
        <w:t>. On the basis of the representations, warranties and agreements herein contained, but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set forth, the Company hereby grants to the several Underwriters an option to purchase all or any portion of the Option Shares at the same purchase price as the Firm Shares, for use solely in covering any overallotments made by the Underwriters in the sale and distribution of the Firm Shares. The option granted hereunder may be exercised in whole or in part at any time (but only one time) within 30 days after the effective date of this Agreement upon notice (confirmed in writing) by the Representative to the Company setting forth the aggregate number of Option Shares as to which the several Underwriters are exercising the option and the date and time, as determined by you, when the Option Shares are to be delivered, but in no event earlier than the First Closing Date (as defined below) nor earlier than the second business day or later than the fifth business day after the date on which the option shall have been exercised. If the option is exercised, the number of Option Shares to be purchased by each Underwriter shall be the same percentage of the total number of Option Shares to be purchased by the several Underwriters as the number of Firm Shares to be purchased by such Underwriter is of the total number of Firm Shares to be purchased by the several Underwriters, as adjusted by the Representative in such manner as the Representative deems advisable to avoid fractional shares. No Option Shares shall be sold and delivered unless the Firm Shares previously have been, or simultaneously are, sold and delivered.</w:t>
      </w:r>
    </w:p>
    <w:p>
      <w:pPr>
        <w:spacing w:after="0" w:line="378"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881" w:right="279" w:bottom="1440" w:gutter="0" w:footer="0" w:header="0"/>
        </w:sectPr>
      </w:pPr>
    </w:p>
    <w:bookmarkStart w:id="19" w:name="page20"/>
    <w:bookmarkEnd w:id="19"/>
    <w:p>
      <w:pPr>
        <w:ind w:left="944" w:hanging="295"/>
        <w:spacing w:after="0"/>
        <w:tabs>
          <w:tab w:leader="none" w:pos="944" w:val="left"/>
        </w:tabs>
        <w:numPr>
          <w:ilvl w:val="1"/>
          <w:numId w:val="24"/>
        </w:numPr>
        <w:rPr>
          <w:rFonts w:ascii="Arial" w:cs="Arial" w:eastAsia="Arial" w:hAnsi="Arial"/>
          <w:sz w:val="18"/>
          <w:szCs w:val="18"/>
          <w:color w:val="010000"/>
        </w:rPr>
      </w:pPr>
      <w:r>
        <w:rPr>
          <w:rFonts w:ascii="Arial" w:cs="Arial" w:eastAsia="Arial" w:hAnsi="Arial"/>
          <w:sz w:val="18"/>
          <w:szCs w:val="18"/>
          <w:i w:val="1"/>
          <w:iCs w:val="1"/>
          <w:u w:val="single" w:color="auto"/>
          <w:color w:val="auto"/>
        </w:rPr>
        <w:t>Payment and Delivery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44" w:firstLine="653"/>
        <w:spacing w:after="0" w:line="269" w:lineRule="auto"/>
        <w:tabs>
          <w:tab w:leader="none" w:pos="1552" w:val="left"/>
        </w:tabs>
        <w:numPr>
          <w:ilvl w:val="2"/>
          <w:numId w:val="24"/>
        </w:numPr>
        <w:rPr>
          <w:rFonts w:ascii="Arial" w:cs="Arial" w:eastAsia="Arial" w:hAnsi="Arial"/>
          <w:sz w:val="17"/>
          <w:szCs w:val="17"/>
          <w:color w:val="010000"/>
        </w:rPr>
      </w:pPr>
      <w:r>
        <w:rPr>
          <w:rFonts w:ascii="Arial" w:cs="Arial" w:eastAsia="Arial" w:hAnsi="Arial"/>
          <w:sz w:val="17"/>
          <w:szCs w:val="17"/>
          <w:color w:val="auto"/>
        </w:rPr>
        <w:t xml:space="preserve">The Securities to be purchased by each Underwriter hereunder, in book-entry form in such authorized denominations and registered in such names as the Representative may request upon at least forty-eight hours’ prior notice to the Company, shall be delivered by or on behalf of the Company to the Representative, through the facilities of DTC, for the account of such Underwriter, with any transfer taxes payable in connection with the transfer of the Securities to the Underwriters duly paid, against payment by or on behalf of such Underwriter of the purchase price therefor by wire transfer of Federal (same-day) funds to the accounts specified by the Company to the Representative at least forty-eight hours in advance. The time and date of such delivery and payment shall be, with respect to the Firm Shares, 10:00 a.m., New York time, on June 7, 2019, or such other time and date as the Representative and the Company may agree upon in writing, and, with respect to the Option Shares, 10:00 a.m., New York time, on the date specified by the Representative in the written notice given by you of the election to purchase such Option Shares, or such other time and date as the Representative and the Company may agree upon in writing. Such time and date for delivery of the Firm Shares is herein called the </w:t>
      </w:r>
      <w:r>
        <w:rPr>
          <w:rFonts w:ascii="Arial" w:cs="Arial" w:eastAsia="Arial" w:hAnsi="Arial"/>
          <w:sz w:val="17"/>
          <w:szCs w:val="17"/>
          <w:b w:val="1"/>
          <w:bCs w:val="1"/>
          <w:i w:val="1"/>
          <w:iCs w:val="1"/>
          <w:color w:val="auto"/>
        </w:rPr>
        <w:t>“First Closing Date</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such time and date for delivery of the Option Shares, if not the First Closing Date, is herein called a </w:t>
      </w:r>
      <w:r>
        <w:rPr>
          <w:rFonts w:ascii="Arial" w:cs="Arial" w:eastAsia="Arial" w:hAnsi="Arial"/>
          <w:sz w:val="17"/>
          <w:szCs w:val="17"/>
          <w:b w:val="1"/>
          <w:bCs w:val="1"/>
          <w:i w:val="1"/>
          <w:iCs w:val="1"/>
          <w:color w:val="auto"/>
        </w:rPr>
        <w:t>“Second Closing Date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and each such time and date for delivery is herein called a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“Closing Date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w:t>
      </w:r>
    </w:p>
    <w:p>
      <w:pPr>
        <w:spacing w:after="0" w:line="179" w:lineRule="exact"/>
        <w:rPr>
          <w:rFonts w:ascii="Arial" w:cs="Arial" w:eastAsia="Arial" w:hAnsi="Arial"/>
          <w:sz w:val="17"/>
          <w:szCs w:val="17"/>
          <w:color w:val="010000"/>
        </w:rPr>
      </w:pPr>
    </w:p>
    <w:p>
      <w:pPr>
        <w:ind w:left="644" w:right="20" w:firstLine="653"/>
        <w:spacing w:after="0" w:line="259" w:lineRule="auto"/>
        <w:tabs>
          <w:tab w:leader="none" w:pos="1602" w:val="left"/>
        </w:tabs>
        <w:numPr>
          <w:ilvl w:val="2"/>
          <w:numId w:val="24"/>
        </w:numPr>
        <w:rPr>
          <w:rFonts w:ascii="Arial" w:cs="Arial" w:eastAsia="Arial" w:hAnsi="Arial"/>
          <w:sz w:val="18"/>
          <w:szCs w:val="18"/>
          <w:color w:val="010000"/>
        </w:rPr>
      </w:pPr>
      <w:r>
        <w:rPr>
          <w:rFonts w:ascii="Arial" w:cs="Arial" w:eastAsia="Arial" w:hAnsi="Arial"/>
          <w:sz w:val="18"/>
          <w:szCs w:val="18"/>
          <w:color w:val="auto"/>
        </w:rPr>
        <w:t>The documents to be delivered at each Closing by or on behalf of the parties hereto pursuant to Section 5 hereof, including the cross receipt for the Securities and any additional documents requested by the Underwriters pursuant to Section 5(i) hereof, will be delivered at the offices of the Company, and the Securities will be delivered to the Representative, through the facilities of the DTC, for the account of such Underwriter, all at such Closing.</w:t>
      </w:r>
    </w:p>
    <w:p>
      <w:pPr>
        <w:spacing w:after="0" w:line="186" w:lineRule="exact"/>
        <w:rPr>
          <w:rFonts w:ascii="Arial" w:cs="Arial" w:eastAsia="Arial" w:hAnsi="Arial"/>
          <w:sz w:val="18"/>
          <w:szCs w:val="18"/>
          <w:color w:val="010000"/>
        </w:rPr>
      </w:pPr>
    </w:p>
    <w:p>
      <w:pPr>
        <w:jc w:val="both"/>
        <w:ind w:left="4" w:right="20" w:firstLine="645"/>
        <w:spacing w:after="0" w:line="302" w:lineRule="auto"/>
        <w:tabs>
          <w:tab w:leader="none" w:pos="952" w:val="left"/>
        </w:tabs>
        <w:numPr>
          <w:ilvl w:val="1"/>
          <w:numId w:val="24"/>
        </w:numPr>
        <w:rPr>
          <w:rFonts w:ascii="Arial" w:cs="Arial" w:eastAsia="Arial" w:hAnsi="Arial"/>
          <w:sz w:val="16"/>
          <w:szCs w:val="16"/>
          <w:color w:val="010000"/>
        </w:rPr>
      </w:pPr>
      <w:r>
        <w:rPr>
          <w:rFonts w:ascii="Arial" w:cs="Arial" w:eastAsia="Arial" w:hAnsi="Arial"/>
          <w:sz w:val="16"/>
          <w:szCs w:val="16"/>
          <w:i w:val="1"/>
          <w:iCs w:val="1"/>
          <w:u w:val="single" w:color="auto"/>
          <w:color w:val="auto"/>
        </w:rPr>
        <w:t>Purchase by Representative on Behalf of Underwriters</w:t>
      </w:r>
      <w:r>
        <w:rPr>
          <w:rFonts w:ascii="Arial" w:cs="Arial" w:eastAsia="Arial" w:hAnsi="Arial"/>
          <w:sz w:val="16"/>
          <w:szCs w:val="16"/>
          <w:color w:val="auto"/>
        </w:rPr>
        <w:t>. It is understood that the Representative, individually and not as Representative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several Underwriters, may (but shall not be obligated to) make payment to the Company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154" w:lineRule="exact"/>
        <w:rPr>
          <w:rFonts w:ascii="Arial" w:cs="Arial" w:eastAsia="Arial" w:hAnsi="Arial"/>
          <w:sz w:val="16"/>
          <w:szCs w:val="16"/>
          <w:color w:val="010000"/>
        </w:rPr>
      </w:pPr>
    </w:p>
    <w:p>
      <w:pPr>
        <w:ind w:left="224" w:hanging="224"/>
        <w:spacing w:after="0"/>
        <w:tabs>
          <w:tab w:leader="none" w:pos="224" w:val="left"/>
        </w:tabs>
        <w:numPr>
          <w:ilvl w:val="0"/>
          <w:numId w:val="25"/>
        </w:numPr>
        <w:rPr>
          <w:rFonts w:ascii="Arial" w:cs="Arial" w:eastAsia="Arial" w:hAnsi="Arial"/>
          <w:sz w:val="18"/>
          <w:szCs w:val="18"/>
          <w:color w:val="010000"/>
        </w:rPr>
      </w:pPr>
      <w:r>
        <w:rPr>
          <w:rFonts w:ascii="Arial" w:cs="Arial" w:eastAsia="Arial" w:hAnsi="Arial"/>
          <w:sz w:val="18"/>
          <w:szCs w:val="18"/>
          <w:b w:val="1"/>
          <w:bCs w:val="1"/>
          <w:i w:val="1"/>
          <w:iCs w:val="1"/>
          <w:color w:val="auto"/>
        </w:rPr>
        <w:t>Covenants of the Company</w:t>
      </w:r>
      <w:r>
        <w:rPr>
          <w:rFonts w:ascii="Arial" w:cs="Arial" w:eastAsia="Arial" w:hAnsi="Arial"/>
          <w:sz w:val="18"/>
          <w:szCs w:val="18"/>
          <w:color w:val="auto"/>
        </w:rPr>
        <w:t>. The Company covenants and agrees with the several Underwriters as follows:</w:t>
      </w:r>
    </w:p>
    <w:p>
      <w:pPr>
        <w:spacing w:after="0" w:line="225" w:lineRule="exact"/>
        <w:rPr>
          <w:rFonts w:ascii="Arial" w:cs="Arial" w:eastAsia="Arial" w:hAnsi="Arial"/>
          <w:sz w:val="18"/>
          <w:szCs w:val="18"/>
          <w:color w:val="010000"/>
        </w:rPr>
      </w:pPr>
    </w:p>
    <w:p>
      <w:pPr>
        <w:ind w:left="4" w:firstLine="645"/>
        <w:spacing w:after="0" w:line="287" w:lineRule="auto"/>
        <w:tabs>
          <w:tab w:leader="none" w:pos="942" w:val="left"/>
        </w:tabs>
        <w:numPr>
          <w:ilvl w:val="1"/>
          <w:numId w:val="25"/>
        </w:numPr>
        <w:rPr>
          <w:rFonts w:ascii="Arial" w:cs="Arial" w:eastAsia="Arial" w:hAnsi="Arial"/>
          <w:sz w:val="16"/>
          <w:szCs w:val="16"/>
          <w:color w:val="010000"/>
        </w:rPr>
      </w:pPr>
      <w:r>
        <w:rPr>
          <w:rFonts w:ascii="Arial" w:cs="Arial" w:eastAsia="Arial" w:hAnsi="Arial"/>
          <w:sz w:val="16"/>
          <w:szCs w:val="16"/>
          <w:i w:val="1"/>
          <w:iCs w:val="1"/>
          <w:u w:val="single" w:color="auto"/>
          <w:color w:val="auto"/>
        </w:rPr>
        <w:t>Required Filings</w:t>
      </w:r>
      <w:r>
        <w:rPr>
          <w:rFonts w:ascii="Arial" w:cs="Arial" w:eastAsia="Arial" w:hAnsi="Arial"/>
          <w:sz w:val="16"/>
          <w:szCs w:val="16"/>
          <w:color w:val="auto"/>
        </w:rPr>
        <w:t>. The Company will prepare and file a Prospectus with the Commission containing the Rule 430B Information omitted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Preliminary Prospectus within the time period required by, and otherwise in accordance with the provisions of, Rules 424(b) and 430B of the Rules and Regulations. If the Company has elected to rely upon Rule 462(b) of the Rules and Regulations to increase the size of the offering registered under the Act and the Rule 462(b) Registration Statement has not yet been filed and become effective, the Company will prepare and file the Rule 462(b) Registration Statement with the Commission within the time period required by, and otherwise in accordance with the provisions of, Rule 462(b) of the Rules and Regulations and the Act. The Company will prepare and file with the Commission, promptly upon the request of the Representative, any amendments or supplements to the Registration Statement or Prospectus that, in the opinion of the Representative, may be necessary or advisable in connection with the distribution of the Securities by the Underwriters; and the Company will furnish the Representative and counsel for the Underwriters a copy of any proposed amendment or supplement to the Registration Statement or Prospectus and will not file any amendment or supplement to the Registration Statement or Prospectus to which the Representative shall reasonably object by notice to the Company after having been furnished a copy a reasonable time prior to the filing.</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881" w:right="279" w:bottom="1440" w:gutter="0" w:footer="0" w:header="0"/>
        </w:sectPr>
      </w:pPr>
    </w:p>
    <w:bookmarkStart w:id="20" w:name="page21"/>
    <w:bookmarkEnd w:id="20"/>
    <w:p>
      <w:pPr>
        <w:ind w:left="-540" w:right="100" w:firstLine="645"/>
        <w:spacing w:after="0" w:line="273" w:lineRule="auto"/>
        <w:tabs>
          <w:tab w:leader="none" w:pos="408" w:val="left"/>
        </w:tabs>
        <w:numPr>
          <w:ilvl w:val="0"/>
          <w:numId w:val="26"/>
        </w:numPr>
        <w:rPr>
          <w:rFonts w:ascii="Arial" w:cs="Arial" w:eastAsia="Arial" w:hAnsi="Arial"/>
          <w:sz w:val="17"/>
          <w:szCs w:val="17"/>
          <w:color w:val="010000"/>
        </w:rPr>
      </w:pPr>
      <w:r>
        <w:rPr>
          <w:rFonts w:ascii="Arial" w:cs="Arial" w:eastAsia="Arial" w:hAnsi="Arial"/>
          <w:sz w:val="17"/>
          <w:szCs w:val="17"/>
          <w:i w:val="1"/>
          <w:iCs w:val="1"/>
          <w:u w:val="single" w:color="auto"/>
          <w:color w:val="auto"/>
        </w:rPr>
        <w:t>Notification of Certain Commission Actions</w:t>
      </w:r>
      <w:r>
        <w:rPr>
          <w:rFonts w:ascii="Arial" w:cs="Arial" w:eastAsia="Arial" w:hAnsi="Arial"/>
          <w:sz w:val="17"/>
          <w:szCs w:val="17"/>
          <w:color w:val="auto"/>
        </w:rPr>
        <w:t>. The Company will advise the Representative, promptly after it shall receive notice or</w:t>
      </w:r>
      <w:r>
        <w:rPr>
          <w:rFonts w:ascii="Arial" w:cs="Arial" w:eastAsia="Arial" w:hAnsi="Arial"/>
          <w:sz w:val="17"/>
          <w:szCs w:val="17"/>
          <w:i w:val="1"/>
          <w:iCs w:val="1"/>
          <w:color w:val="auto"/>
        </w:rPr>
        <w:t xml:space="preserve"> </w:t>
      </w:r>
      <w:r>
        <w:rPr>
          <w:rFonts w:ascii="Arial" w:cs="Arial" w:eastAsia="Arial" w:hAnsi="Arial"/>
          <w:sz w:val="17"/>
          <w:szCs w:val="17"/>
          <w:color w:val="auto"/>
        </w:rPr>
        <w:t>obtain knowledge thereof, of the issuance by the Commission of any stop order suspending the effectiveness of the Registration Statement, or any post-effective amendment thereto or preventing or suspending the use of any Preliminary Prospectus, the Time of Sale Disclosure Package, the Prospectus or any issuer free writing prospectus, of the suspension of the qualification of the Securities for offering or sale in any jurisdiction, or of the initiation or threatening of any proceeding for any such purpose; and the Company will promptly use its best efforts to prevent the issuance of any stop order or to obtain its withdrawal if such a stop order should be issued.</w:t>
      </w:r>
    </w:p>
    <w:p>
      <w:pPr>
        <w:spacing w:after="0" w:line="178" w:lineRule="exact"/>
        <w:rPr>
          <w:rFonts w:ascii="Arial" w:cs="Arial" w:eastAsia="Arial" w:hAnsi="Arial"/>
          <w:sz w:val="17"/>
          <w:szCs w:val="17"/>
          <w:color w:val="010000"/>
        </w:rPr>
      </w:pPr>
    </w:p>
    <w:p>
      <w:pPr>
        <w:ind w:left="400" w:hanging="295"/>
        <w:spacing w:after="0"/>
        <w:tabs>
          <w:tab w:leader="none" w:pos="400" w:val="left"/>
        </w:tabs>
        <w:numPr>
          <w:ilvl w:val="0"/>
          <w:numId w:val="26"/>
        </w:numPr>
        <w:rPr>
          <w:rFonts w:ascii="Arial" w:cs="Arial" w:eastAsia="Arial" w:hAnsi="Arial"/>
          <w:sz w:val="18"/>
          <w:szCs w:val="18"/>
          <w:color w:val="010000"/>
        </w:rPr>
      </w:pPr>
      <w:r>
        <w:rPr>
          <w:rFonts w:ascii="Arial" w:cs="Arial" w:eastAsia="Arial" w:hAnsi="Arial"/>
          <w:sz w:val="18"/>
          <w:szCs w:val="18"/>
          <w:i w:val="1"/>
          <w:iCs w:val="1"/>
          <w:u w:val="single" w:color="auto"/>
          <w:color w:val="auto"/>
        </w:rPr>
        <w:t>Continued Compliance with Securities Laws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00" w:firstLine="653"/>
        <w:spacing w:after="0" w:line="268" w:lineRule="auto"/>
        <w:tabs>
          <w:tab w:leader="none" w:pos="1008" w:val="left"/>
        </w:tabs>
        <w:numPr>
          <w:ilvl w:val="1"/>
          <w:numId w:val="26"/>
        </w:numPr>
        <w:rPr>
          <w:rFonts w:ascii="Arial" w:cs="Arial" w:eastAsia="Arial" w:hAnsi="Arial"/>
          <w:sz w:val="17"/>
          <w:szCs w:val="17"/>
          <w:color w:val="010000"/>
        </w:rPr>
      </w:pPr>
      <w:r>
        <w:rPr>
          <w:rFonts w:ascii="Arial" w:cs="Arial" w:eastAsia="Arial" w:hAnsi="Arial"/>
          <w:sz w:val="17"/>
          <w:szCs w:val="17"/>
          <w:color w:val="auto"/>
        </w:rPr>
        <w:t>Within the time during which a prospectus (assuming the absence of Rule 172) relating to the Securities is required to be delivered under the Act by any Underwriter or any dealer (the “</w:t>
      </w:r>
      <w:r>
        <w:rPr>
          <w:rFonts w:ascii="Arial" w:cs="Arial" w:eastAsia="Arial" w:hAnsi="Arial"/>
          <w:sz w:val="17"/>
          <w:szCs w:val="17"/>
          <w:b w:val="1"/>
          <w:bCs w:val="1"/>
          <w:i w:val="1"/>
          <w:iCs w:val="1"/>
          <w:color w:val="auto"/>
        </w:rPr>
        <w:t>Prospectus Delivery Period</w:t>
      </w:r>
      <w:r>
        <w:rPr>
          <w:rFonts w:ascii="Arial" w:cs="Arial" w:eastAsia="Arial" w:hAnsi="Arial"/>
          <w:sz w:val="17"/>
          <w:szCs w:val="17"/>
          <w:color w:val="auto"/>
        </w:rPr>
        <w:t>”), the Company will comply with all requirements imposed upon it by the Act, as now and hereafter amended, and by the Rules and Regulations, as from time to time in force,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to amend the Registration Statement or supplement the Prospectus (or if the Prospectus is not yet available to prospective investors, the Time of Sale Disclosure Package) to comply with the Act, the Company promptly will (x) notify you of such untrue statement or omission, (y) amend the Registration Statement or supplement the Prospectus (or, if the Prospectus is not yet available to prospective purchasers, the Time of Sale Disclosure Package)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39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881" w:right="299" w:bottom="1440" w:gutter="0" w:footer="0" w:header="0"/>
        </w:sectPr>
      </w:pPr>
    </w:p>
    <w:bookmarkStart w:id="21" w:name="page22"/>
    <w:bookmarkEnd w:id="21"/>
    <w:p>
      <w:pPr>
        <w:ind w:left="640" w:right="40" w:firstLine="653"/>
        <w:spacing w:after="0" w:line="253" w:lineRule="auto"/>
        <w:tabs>
          <w:tab w:leader="none" w:pos="1598" w:val="left"/>
        </w:tabs>
        <w:numPr>
          <w:ilvl w:val="1"/>
          <w:numId w:val="27"/>
        </w:numPr>
        <w:rPr>
          <w:rFonts w:ascii="Arial" w:cs="Arial" w:eastAsia="Arial" w:hAnsi="Arial"/>
          <w:sz w:val="18"/>
          <w:szCs w:val="18"/>
          <w:color w:val="010000"/>
        </w:rPr>
      </w:pPr>
      <w:r>
        <w:rPr>
          <w:rFonts w:ascii="Arial" w:cs="Arial" w:eastAsia="Arial" w:hAnsi="Arial"/>
          <w:sz w:val="18"/>
          <w:szCs w:val="18"/>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(x) has promptly notified or promptly will notify the Representative of such conflict, untrue statement or omission, (y) has promptly amended or will promptly amend or supplement, at its own expense, such issuer free writing prospectus to eliminate or correct such conflict, untrue statement or omission and (z) has notified or promptly will notify you when such amendment or supplement was or is filed with the Commission to the extent required to be filed by the Rules and Regulations.</w:t>
      </w:r>
    </w:p>
    <w:p>
      <w:pPr>
        <w:spacing w:after="0" w:line="197" w:lineRule="exact"/>
        <w:rPr>
          <w:rFonts w:ascii="Arial" w:cs="Arial" w:eastAsia="Arial" w:hAnsi="Arial"/>
          <w:sz w:val="18"/>
          <w:szCs w:val="18"/>
          <w:color w:val="010000"/>
        </w:rPr>
      </w:pPr>
    </w:p>
    <w:p>
      <w:pPr>
        <w:ind w:right="180" w:firstLine="645"/>
        <w:spacing w:after="0" w:line="257" w:lineRule="auto"/>
        <w:tabs>
          <w:tab w:leader="none" w:pos="948" w:val="left"/>
        </w:tabs>
        <w:numPr>
          <w:ilvl w:val="0"/>
          <w:numId w:val="28"/>
        </w:numPr>
        <w:rPr>
          <w:rFonts w:ascii="Arial" w:cs="Arial" w:eastAsia="Arial" w:hAnsi="Arial"/>
          <w:sz w:val="18"/>
          <w:szCs w:val="18"/>
          <w:color w:val="010000"/>
        </w:rPr>
      </w:pPr>
      <w:r>
        <w:rPr>
          <w:rFonts w:ascii="Arial" w:cs="Arial" w:eastAsia="Arial" w:hAnsi="Arial"/>
          <w:sz w:val="18"/>
          <w:szCs w:val="18"/>
          <w:i w:val="1"/>
          <w:iCs w:val="1"/>
          <w:u w:val="single" w:color="auto"/>
          <w:color w:val="auto"/>
        </w:rPr>
        <w:t>Blue Sky Qualifications</w:t>
      </w:r>
      <w:r>
        <w:rPr>
          <w:rFonts w:ascii="Arial" w:cs="Arial" w:eastAsia="Arial" w:hAnsi="Arial"/>
          <w:sz w:val="18"/>
          <w:szCs w:val="18"/>
          <w:color w:val="auto"/>
        </w:rPr>
        <w:t>. The Company shall take or cause to be taken all necessary action to qualify the Securities for sale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of such domestic United States or foreign jurisdictions as you reasonably designate and to continue such qualifications in effect so long as required for the distribution of the Securities, except that the Company shall not be required in connection therewith to qualify as a foreign corporation or to execute a general consent to service of process in any state or subject itself to taxation in any jurisdiction in which it is not otherwise subject to taxation on the date hereof.</w:t>
      </w:r>
    </w:p>
    <w:p>
      <w:pPr>
        <w:spacing w:after="0" w:line="188" w:lineRule="exact"/>
        <w:rPr>
          <w:rFonts w:ascii="Arial" w:cs="Arial" w:eastAsia="Arial" w:hAnsi="Arial"/>
          <w:sz w:val="18"/>
          <w:szCs w:val="18"/>
          <w:color w:val="010000"/>
        </w:rPr>
      </w:pPr>
    </w:p>
    <w:p>
      <w:pPr>
        <w:ind w:firstLine="645"/>
        <w:spacing w:after="0" w:line="302" w:lineRule="auto"/>
        <w:tabs>
          <w:tab w:leader="none" w:pos="938" w:val="left"/>
        </w:tabs>
        <w:numPr>
          <w:ilvl w:val="0"/>
          <w:numId w:val="28"/>
        </w:numPr>
        <w:rPr>
          <w:rFonts w:ascii="Arial" w:cs="Arial" w:eastAsia="Arial" w:hAnsi="Arial"/>
          <w:sz w:val="16"/>
          <w:szCs w:val="16"/>
          <w:color w:val="010000"/>
        </w:rPr>
      </w:pPr>
      <w:r>
        <w:rPr>
          <w:rFonts w:ascii="Arial" w:cs="Arial" w:eastAsia="Arial" w:hAnsi="Arial"/>
          <w:sz w:val="16"/>
          <w:szCs w:val="16"/>
          <w:i w:val="1"/>
          <w:iCs w:val="1"/>
          <w:u w:val="single" w:color="auto"/>
          <w:color w:val="auto"/>
        </w:rPr>
        <w:t>Provision of Documents</w:t>
      </w:r>
      <w:r>
        <w:rPr>
          <w:rFonts w:ascii="Arial" w:cs="Arial" w:eastAsia="Arial" w:hAnsi="Arial"/>
          <w:sz w:val="16"/>
          <w:szCs w:val="16"/>
          <w:color w:val="auto"/>
        </w:rPr>
        <w:t>. The Company will furnish, at its own expense, to the Underwriters and counsel for the Underwriters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(one of which will be signed and will include all consents and exhibits filed therewith),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154" w:lineRule="exact"/>
        <w:rPr>
          <w:rFonts w:ascii="Arial" w:cs="Arial" w:eastAsia="Arial" w:hAnsi="Arial"/>
          <w:sz w:val="16"/>
          <w:szCs w:val="16"/>
          <w:color w:val="010000"/>
        </w:rPr>
      </w:pPr>
    </w:p>
    <w:p>
      <w:pPr>
        <w:ind w:firstLine="645"/>
        <w:spacing w:after="0" w:line="288" w:lineRule="auto"/>
        <w:tabs>
          <w:tab w:leader="none" w:pos="918" w:val="left"/>
        </w:tabs>
        <w:numPr>
          <w:ilvl w:val="0"/>
          <w:numId w:val="28"/>
        </w:numPr>
        <w:rPr>
          <w:rFonts w:ascii="Arial" w:cs="Arial" w:eastAsia="Arial" w:hAnsi="Arial"/>
          <w:sz w:val="16"/>
          <w:szCs w:val="16"/>
          <w:color w:val="010000"/>
        </w:rPr>
      </w:pPr>
      <w:r>
        <w:rPr>
          <w:rFonts w:ascii="Arial" w:cs="Arial" w:eastAsia="Arial" w:hAnsi="Arial"/>
          <w:sz w:val="16"/>
          <w:szCs w:val="16"/>
          <w:i w:val="1"/>
          <w:iCs w:val="1"/>
          <w:u w:val="single" w:color="auto"/>
          <w:color w:val="auto"/>
        </w:rPr>
        <w:t>Rule 158</w:t>
      </w:r>
      <w:r>
        <w:rPr>
          <w:rFonts w:ascii="Arial" w:cs="Arial" w:eastAsia="Arial" w:hAnsi="Arial"/>
          <w:sz w:val="16"/>
          <w:szCs w:val="16"/>
          <w:color w:val="auto"/>
        </w:rPr>
        <w:t>. The Company will make generally available to its security holders as soon as practicable, but in no event later than 15 months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end of the Company’s current fiscal quarter, an earnings statement (which need not be audited) covering a 12 month period beginning after the effective date of the Registration Statement (which, for purposes of this paragraph, will be deemed to be the effective date of the Rule 462(b)</w:t>
      </w:r>
    </w:p>
    <w:p>
      <w:pPr>
        <w:spacing w:after="0"/>
        <w:rPr>
          <w:rFonts w:ascii="Arial" w:cs="Arial" w:eastAsia="Arial" w:hAnsi="Arial"/>
          <w:sz w:val="16"/>
          <w:szCs w:val="16"/>
          <w:color w:val="010000"/>
        </w:rPr>
      </w:pPr>
      <w:r>
        <w:rPr>
          <w:rFonts w:ascii="Arial" w:cs="Arial" w:eastAsia="Arial" w:hAnsi="Arial"/>
          <w:sz w:val="17"/>
          <w:szCs w:val="17"/>
          <w:color w:val="auto"/>
        </w:rPr>
        <w:t>Registration Statement, if applicable) that shall satisfy the provisions of Section 11(a) of the Act and Rule 158 of the Rules and Regulations.</w:t>
      </w:r>
    </w:p>
    <w:p>
      <w:pPr>
        <w:spacing w:after="0" w:line="200" w:lineRule="exact"/>
        <w:rPr>
          <w:sz w:val="20"/>
          <w:szCs w:val="20"/>
          <w:color w:val="auto"/>
        </w:rPr>
      </w:pPr>
    </w:p>
    <w:p>
      <w:pPr>
        <w:spacing w:after="0" w:line="23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0"/>
          </w:cols>
          <w:pgMar w:left="900" w:top="881" w:right="279" w:bottom="1440" w:gutter="0" w:footer="0" w:header="0"/>
        </w:sectPr>
      </w:pPr>
    </w:p>
    <w:bookmarkStart w:id="22" w:name="page23"/>
    <w:bookmarkEnd w:id="22"/>
    <w:p>
      <w:pPr>
        <w:ind w:left="-540" w:firstLine="645"/>
        <w:spacing w:after="0" w:line="284" w:lineRule="auto"/>
        <w:tabs>
          <w:tab w:leader="none" w:pos="408" w:val="left"/>
        </w:tabs>
        <w:numPr>
          <w:ilvl w:val="0"/>
          <w:numId w:val="29"/>
        </w:numPr>
        <w:rPr>
          <w:rFonts w:ascii="Arial" w:cs="Arial" w:eastAsia="Arial" w:hAnsi="Arial"/>
          <w:sz w:val="16"/>
          <w:szCs w:val="16"/>
          <w:color w:val="010000"/>
        </w:rPr>
      </w:pPr>
      <w:r>
        <w:rPr>
          <w:rFonts w:ascii="Arial" w:cs="Arial" w:eastAsia="Arial" w:hAnsi="Arial"/>
          <w:sz w:val="16"/>
          <w:szCs w:val="16"/>
          <w:i w:val="1"/>
          <w:iCs w:val="1"/>
          <w:u w:val="single" w:color="auto"/>
          <w:color w:val="auto"/>
        </w:rPr>
        <w:t>Payment and Reimbursement of Expenses</w:t>
      </w:r>
      <w:r>
        <w:rPr>
          <w:rFonts w:ascii="Arial" w:cs="Arial" w:eastAsia="Arial" w:hAnsi="Arial"/>
          <w:sz w:val="16"/>
          <w:szCs w:val="16"/>
          <w:color w:val="auto"/>
        </w:rPr>
        <w:t>. The Company, whether or not the transactions contemplated hereunder are consummated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Agreement is terminated, will pay or cause to be paid (A) all expenses (including transfer taxes allocated to the respective transferees) incurred in connection with the delivery to the Underwriters of the Securities, (B)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fees incurred in connection with the qualification of the Securities for offering and sale by the Underwriters or by dealers under the securities or blue sky laws of the states and other jurisdictions which you shall designate, (D) the fees and expenses of any transfer agent or registrar, (E) listing fees, if any, (F) the cost and expenses of the Company relating to investor presentations or any road show as defined in Rule 433(h) under the Act (a </w:t>
      </w:r>
      <w:r>
        <w:rPr>
          <w:rFonts w:ascii="Arial" w:cs="Arial" w:eastAsia="Arial" w:hAnsi="Arial"/>
          <w:sz w:val="16"/>
          <w:szCs w:val="16"/>
          <w:b w:val="1"/>
          <w:bCs w:val="1"/>
          <w:i w:val="1"/>
          <w:iCs w:val="1"/>
          <w:color w:val="auto"/>
        </w:rPr>
        <w:t>“road show”</w:t>
      </w:r>
      <w:r>
        <w:rPr>
          <w:rFonts w:ascii="Arial" w:cs="Arial" w:eastAsia="Arial" w:hAnsi="Arial"/>
          <w:sz w:val="16"/>
          <w:szCs w:val="16"/>
          <w:color w:val="auto"/>
        </w:rPr>
        <w:t>) undertaken in connection with marketing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and other transportation chartered in connection with the road show; (G) the reasonable, actual and documented fees and disbursements of counsel to the Underwriters in an amount not to exceed $50,000; and (H) all other costs and expenses of the Company incident to the performance of its obligations hereunder that are not otherwise specifically provided for herein. Except as provided for in this Agreement, the Underwriters shall bear the costs and expenses incurred by them in connection with the sale of the Securities and the transactions contemplated hereby. If the sale of the Securities provided for herein is not consummated by reason of any failure, refusal or inability on the part of the Company to perform any agreement on its part to be performed, or because any other condition of the Underwriters’ obligations hereunder required to be fulfilled by the Company is not fulfilled, the Company will reimburse the several Underwriters for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 If this Agreement is terminated by the Representative pursuant to Section 8 hereof, the Company will reimburse the several Underwriters for 50% of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w:t>
      </w:r>
    </w:p>
    <w:p>
      <w:pPr>
        <w:spacing w:after="0" w:line="172" w:lineRule="exact"/>
        <w:rPr>
          <w:rFonts w:ascii="Arial" w:cs="Arial" w:eastAsia="Arial" w:hAnsi="Arial"/>
          <w:sz w:val="16"/>
          <w:szCs w:val="16"/>
          <w:color w:val="010000"/>
        </w:rPr>
      </w:pPr>
    </w:p>
    <w:p>
      <w:pPr>
        <w:ind w:left="-540" w:firstLine="645"/>
        <w:spacing w:after="0" w:line="312" w:lineRule="auto"/>
        <w:tabs>
          <w:tab w:leader="none" w:pos="408" w:val="left"/>
        </w:tabs>
        <w:numPr>
          <w:ilvl w:val="0"/>
          <w:numId w:val="29"/>
        </w:numPr>
        <w:rPr>
          <w:rFonts w:ascii="Arial" w:cs="Arial" w:eastAsia="Arial" w:hAnsi="Arial"/>
          <w:sz w:val="16"/>
          <w:szCs w:val="16"/>
          <w:color w:val="010000"/>
        </w:rPr>
      </w:pPr>
      <w:r>
        <w:rPr>
          <w:rFonts w:ascii="Arial" w:cs="Arial" w:eastAsia="Arial" w:hAnsi="Arial"/>
          <w:sz w:val="16"/>
          <w:szCs w:val="16"/>
          <w:i w:val="1"/>
          <w:iCs w:val="1"/>
          <w:u w:val="single" w:color="auto"/>
          <w:color w:val="auto"/>
        </w:rPr>
        <w:t>Use of Proceeds</w:t>
      </w:r>
      <w:r>
        <w:rPr>
          <w:rFonts w:ascii="Arial" w:cs="Arial" w:eastAsia="Arial" w:hAnsi="Arial"/>
          <w:sz w:val="16"/>
          <w:szCs w:val="16"/>
          <w:color w:val="auto"/>
        </w:rPr>
        <w:t>. The Company will apply the net proceeds from the sale of the Securities to be sold by it hereunder for the purposes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the Time of Sale Disclosure Package and in the Prospectus and will file such reports with the Commission with respect to the sale of the Securities and the application of the proceeds therefrom as may be required in accordance with Rule 463 of the Rules and Regulations.</w:t>
      </w:r>
    </w:p>
    <w:p>
      <w:pPr>
        <w:spacing w:after="0" w:line="35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881" w:right="259" w:bottom="1440" w:gutter="0" w:footer="0" w:header="0"/>
        </w:sectPr>
      </w:pPr>
    </w:p>
    <w:bookmarkStart w:id="23" w:name="page24"/>
    <w:bookmarkEnd w:id="23"/>
    <w:p>
      <w:pPr>
        <w:ind w:left="4" w:right="100" w:firstLine="645"/>
        <w:spacing w:after="0" w:line="284" w:lineRule="auto"/>
        <w:tabs>
          <w:tab w:leader="none" w:pos="912" w:val="left"/>
        </w:tabs>
        <w:numPr>
          <w:ilvl w:val="1"/>
          <w:numId w:val="30"/>
        </w:numPr>
        <w:rPr>
          <w:rFonts w:ascii="Arial" w:cs="Arial" w:eastAsia="Arial" w:hAnsi="Arial"/>
          <w:sz w:val="16"/>
          <w:szCs w:val="16"/>
          <w:color w:val="010000"/>
        </w:rPr>
      </w:pPr>
      <w:r>
        <w:rPr>
          <w:rFonts w:ascii="Arial" w:cs="Arial" w:eastAsia="Arial" w:hAnsi="Arial"/>
          <w:sz w:val="16"/>
          <w:szCs w:val="16"/>
          <w:i w:val="1"/>
          <w:iCs w:val="1"/>
          <w:u w:val="single" w:color="auto"/>
          <w:color w:val="auto"/>
        </w:rPr>
        <w:t>Company Lock Up</w:t>
      </w:r>
      <w:r>
        <w:rPr>
          <w:rFonts w:ascii="Arial" w:cs="Arial" w:eastAsia="Arial" w:hAnsi="Arial"/>
          <w:sz w:val="16"/>
          <w:szCs w:val="16"/>
          <w:color w:val="auto"/>
        </w:rPr>
        <w:t>. The Company will not, without the prior written consent of William Blair &amp; Company, L.L.C.,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execution of this Agreement and continuing to and including the date 90 days after the date of the Prospectus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(B) enter into any swap or other agreement that transfers, in whole or in part, any of the economic consequences of ownership of the Common Stock, whether any such transaction described in clause (A) or (B) above is to be settled by delivery of Common Stock or such other securities, in cash or otherwise, except to the Underwriters pursuant to this Agreement and</w:t>
      </w:r>
    </w:p>
    <w:p>
      <w:pPr>
        <w:spacing w:after="0" w:line="2" w:lineRule="exact"/>
        <w:rPr>
          <w:rFonts w:ascii="Arial" w:cs="Arial" w:eastAsia="Arial" w:hAnsi="Arial"/>
          <w:sz w:val="16"/>
          <w:szCs w:val="16"/>
          <w:color w:val="010000"/>
        </w:rPr>
      </w:pPr>
    </w:p>
    <w:p>
      <w:pPr>
        <w:ind w:left="4" w:right="20" w:hanging="4"/>
        <w:spacing w:after="0" w:line="268" w:lineRule="auto"/>
        <w:tabs>
          <w:tab w:leader="none" w:pos="219"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grants of options, shares of Common Stock and other awards to purchase or receive shares of Common Stock pursuant to the Company Stock Plans that are in effect as of or prior to the date hereof or otherwise in accordance with past practices of the Company as to the manner and timing of certain grants, (ii) issuances of shares of Common Stock upon the exercise, vesting or settlement of options or restricted stock units, warrants, or other awards outstanding as of the date hereof (including for this purpose shares of Common Stock withheld by the Company for the purpose of paying on behalf of the holder thereof the exercise price of stock options or for paying taxes due as a result of such exercise, vesting or settlement), or (iii) issuances of any shares of Common Stock (including upon exercise of options) related to the filing by the Company of any registration statement on Form S-8 or a successor form thereto relating to shares of Common Stock granted under any equity compensation plan or employee stock purchase plan, including relating to issuances or awards to officers or directors for compensatory purposes (including options) or to the directors in satisfaction of the compensation earned by the directors.</w:t>
      </w:r>
    </w:p>
    <w:p>
      <w:pPr>
        <w:spacing w:after="0" w:line="182" w:lineRule="exact"/>
        <w:rPr>
          <w:rFonts w:ascii="Arial" w:cs="Arial" w:eastAsia="Arial" w:hAnsi="Arial"/>
          <w:sz w:val="17"/>
          <w:szCs w:val="17"/>
          <w:color w:val="auto"/>
        </w:rPr>
      </w:pPr>
    </w:p>
    <w:p>
      <w:pPr>
        <w:ind w:left="4" w:right="180" w:firstLine="645"/>
        <w:spacing w:after="0" w:line="279" w:lineRule="auto"/>
        <w:tabs>
          <w:tab w:leader="none" w:pos="912" w:val="left"/>
        </w:tabs>
        <w:numPr>
          <w:ilvl w:val="1"/>
          <w:numId w:val="31"/>
        </w:numPr>
        <w:rPr>
          <w:rFonts w:ascii="Arial" w:cs="Arial" w:eastAsia="Arial" w:hAnsi="Arial"/>
          <w:sz w:val="17"/>
          <w:szCs w:val="17"/>
          <w:color w:val="010000"/>
        </w:rPr>
      </w:pPr>
      <w:r>
        <w:rPr>
          <w:rFonts w:ascii="Arial" w:cs="Arial" w:eastAsia="Arial" w:hAnsi="Arial"/>
          <w:sz w:val="17"/>
          <w:szCs w:val="17"/>
          <w:i w:val="1"/>
          <w:iCs w:val="1"/>
          <w:u w:val="single" w:color="auto"/>
          <w:color w:val="auto"/>
        </w:rPr>
        <w:t>Stockholder Lock-Ups</w:t>
      </w:r>
      <w:r>
        <w:rPr>
          <w:rFonts w:ascii="Arial" w:cs="Arial" w:eastAsia="Arial" w:hAnsi="Arial"/>
          <w:sz w:val="17"/>
          <w:szCs w:val="17"/>
          <w:color w:val="auto"/>
        </w:rPr>
        <w:t>. The Company has caused to be delivered to you prior to the date of this Agreement a letter,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Exhibit A hereto (the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 from each individual or entity listed on Schedule III. The Company will enforce the terms of each Lock-Up Agreement and issue stop-transfer instructions to its transfer agent and registrar for the Common Stock with respect to any transaction or contemplated transaction that would constitute a breach of or default under the applicable Lock-Up Agreement.</w:t>
      </w:r>
    </w:p>
    <w:p>
      <w:pPr>
        <w:spacing w:after="0" w:line="171" w:lineRule="exact"/>
        <w:rPr>
          <w:rFonts w:ascii="Arial" w:cs="Arial" w:eastAsia="Arial" w:hAnsi="Arial"/>
          <w:sz w:val="17"/>
          <w:szCs w:val="17"/>
          <w:color w:val="010000"/>
        </w:rPr>
      </w:pPr>
    </w:p>
    <w:p>
      <w:pPr>
        <w:ind w:left="4" w:firstLine="645"/>
        <w:spacing w:after="0" w:line="279" w:lineRule="auto"/>
        <w:tabs>
          <w:tab w:leader="none" w:pos="952" w:val="left"/>
        </w:tabs>
        <w:numPr>
          <w:ilvl w:val="1"/>
          <w:numId w:val="31"/>
        </w:numPr>
        <w:rPr>
          <w:rFonts w:ascii="Arial" w:cs="Arial" w:eastAsia="Arial" w:hAnsi="Arial"/>
          <w:sz w:val="17"/>
          <w:szCs w:val="17"/>
          <w:color w:val="010000"/>
        </w:rPr>
      </w:pPr>
      <w:r>
        <w:rPr>
          <w:rFonts w:ascii="Arial" w:cs="Arial" w:eastAsia="Arial" w:hAnsi="Arial"/>
          <w:sz w:val="17"/>
          <w:szCs w:val="17"/>
          <w:i w:val="1"/>
          <w:iCs w:val="1"/>
          <w:u w:val="single" w:color="auto"/>
          <w:color w:val="auto"/>
        </w:rPr>
        <w:t>No Market Stabilization or Manipulation</w:t>
      </w:r>
      <w:r>
        <w:rPr>
          <w:rFonts w:ascii="Arial" w:cs="Arial" w:eastAsia="Arial" w:hAnsi="Arial"/>
          <w:sz w:val="17"/>
          <w:szCs w:val="17"/>
          <w:color w:val="auto"/>
        </w:rPr>
        <w:t>. The Company has not taken, and will not take, directly or indirectly, any action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or which might reasonably be expected to cause or result in, or which has constituted, the stabilization or manipulation of the price of any security of the Company to facilitate the sale or resale of the Securities, and has not effected any sales of Common Stock which are required to be disclosed in response to Item 701 of Regulation S-K under the Act which have not been so disclosed in the Registration Statement.</w:t>
      </w:r>
    </w:p>
    <w:p>
      <w:pPr>
        <w:spacing w:after="0" w:line="171" w:lineRule="exact"/>
        <w:rPr>
          <w:rFonts w:ascii="Arial" w:cs="Arial" w:eastAsia="Arial" w:hAnsi="Arial"/>
          <w:sz w:val="17"/>
          <w:szCs w:val="17"/>
          <w:color w:val="010000"/>
        </w:rPr>
      </w:pPr>
    </w:p>
    <w:p>
      <w:pPr>
        <w:ind w:left="4" w:right="180" w:firstLine="645"/>
        <w:spacing w:after="0" w:line="277" w:lineRule="auto"/>
        <w:tabs>
          <w:tab w:leader="none" w:pos="912" w:val="left"/>
        </w:tabs>
        <w:numPr>
          <w:ilvl w:val="1"/>
          <w:numId w:val="31"/>
        </w:numPr>
        <w:rPr>
          <w:rFonts w:ascii="Arial" w:cs="Arial" w:eastAsia="Arial" w:hAnsi="Arial"/>
          <w:sz w:val="18"/>
          <w:szCs w:val="18"/>
          <w:color w:val="010000"/>
        </w:rPr>
      </w:pPr>
      <w:r>
        <w:rPr>
          <w:rFonts w:ascii="Arial" w:cs="Arial" w:eastAsia="Arial" w:hAnsi="Arial"/>
          <w:sz w:val="18"/>
          <w:szCs w:val="18"/>
          <w:i w:val="1"/>
          <w:iCs w:val="1"/>
          <w:u w:val="single" w:color="auto"/>
          <w:color w:val="auto"/>
        </w:rPr>
        <w:t>SEC Reports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Prospectus Delivery Period, the Company will file on a timely basis with the Commission such periodic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reports as required by the Rules and Regulations.</w:t>
      </w:r>
    </w:p>
    <w:p>
      <w:pPr>
        <w:spacing w:after="0" w:line="379"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881" w:right="279" w:bottom="1440" w:gutter="0" w:footer="0" w:header="0"/>
        </w:sectPr>
      </w:pPr>
    </w:p>
    <w:bookmarkStart w:id="24" w:name="page25"/>
    <w:bookmarkEnd w:id="24"/>
    <w:p>
      <w:pPr>
        <w:ind w:left="4" w:firstLine="645"/>
        <w:spacing w:after="0" w:line="271" w:lineRule="auto"/>
        <w:tabs>
          <w:tab w:leader="none" w:pos="992" w:val="left"/>
        </w:tabs>
        <w:numPr>
          <w:ilvl w:val="1"/>
          <w:numId w:val="32"/>
        </w:numPr>
        <w:rPr>
          <w:rFonts w:ascii="Arial" w:cs="Arial" w:eastAsia="Arial" w:hAnsi="Arial"/>
          <w:sz w:val="17"/>
          <w:szCs w:val="17"/>
          <w:i w:val="1"/>
          <w:iCs w:val="1"/>
          <w:color w:val="010000"/>
        </w:rPr>
      </w:pPr>
      <w:r>
        <w:rPr>
          <w:rFonts w:ascii="Arial" w:cs="Arial" w:eastAsia="Arial" w:hAnsi="Arial"/>
          <w:sz w:val="17"/>
          <w:szCs w:val="17"/>
          <w:i w:val="1"/>
          <w:iCs w:val="1"/>
          <w:u w:val="single" w:color="auto"/>
          <w:color w:val="auto"/>
        </w:rPr>
        <w:t>Internal Controls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Prospectus Delivery Period, the Company will maintain such controls and other procedures,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is made known to them by others within those entities.</w:t>
      </w:r>
    </w:p>
    <w:p>
      <w:pPr>
        <w:spacing w:after="0" w:line="178" w:lineRule="exact"/>
        <w:rPr>
          <w:rFonts w:ascii="Arial" w:cs="Arial" w:eastAsia="Arial" w:hAnsi="Arial"/>
          <w:sz w:val="17"/>
          <w:szCs w:val="17"/>
          <w:i w:val="1"/>
          <w:iCs w:val="1"/>
          <w:color w:val="010000"/>
        </w:rPr>
      </w:pPr>
    </w:p>
    <w:p>
      <w:pPr>
        <w:ind w:left="944" w:hanging="295"/>
        <w:spacing w:after="0"/>
        <w:tabs>
          <w:tab w:leader="none" w:pos="944" w:val="left"/>
        </w:tabs>
        <w:numPr>
          <w:ilvl w:val="1"/>
          <w:numId w:val="32"/>
        </w:numPr>
        <w:rPr>
          <w:rFonts w:ascii="Arial" w:cs="Arial" w:eastAsia="Arial" w:hAnsi="Arial"/>
          <w:sz w:val="17"/>
          <w:szCs w:val="17"/>
          <w:i w:val="1"/>
          <w:iCs w:val="1"/>
          <w:color w:val="010000"/>
        </w:rPr>
      </w:pPr>
      <w:r>
        <w:rPr>
          <w:rFonts w:ascii="Arial" w:cs="Arial" w:eastAsia="Arial" w:hAnsi="Arial"/>
          <w:sz w:val="17"/>
          <w:szCs w:val="17"/>
          <w:i w:val="1"/>
          <w:iCs w:val="1"/>
          <w:u w:val="single" w:color="auto"/>
          <w:color w:val="auto"/>
        </w:rPr>
        <w:t>Sarbanes-Oxley</w:t>
      </w:r>
      <w:r>
        <w:rPr>
          <w:rFonts w:ascii="Arial" w:cs="Arial" w:eastAsia="Arial" w:hAnsi="Arial"/>
          <w:sz w:val="17"/>
          <w:szCs w:val="17"/>
          <w:color w:val="auto"/>
        </w:rPr>
        <w:t>. During the Prospectus Delivery Period, the Company will comply with all applicable provisions of the Sarbanes-</w:t>
      </w:r>
    </w:p>
    <w:p>
      <w:pPr>
        <w:spacing w:after="0" w:line="34" w:lineRule="exact"/>
        <w:rPr>
          <w:rFonts w:ascii="Arial" w:cs="Arial" w:eastAsia="Arial" w:hAnsi="Arial"/>
          <w:sz w:val="17"/>
          <w:szCs w:val="17"/>
          <w:i w:val="1"/>
          <w:iCs w:val="1"/>
          <w:color w:val="010000"/>
        </w:rPr>
      </w:pPr>
    </w:p>
    <w:p>
      <w:pPr>
        <w:ind w:left="4"/>
        <w:spacing w:after="0"/>
        <w:rPr>
          <w:rFonts w:ascii="Arial" w:cs="Arial" w:eastAsia="Arial" w:hAnsi="Arial"/>
          <w:sz w:val="17"/>
          <w:szCs w:val="17"/>
          <w:i w:val="1"/>
          <w:iCs w:val="1"/>
          <w:color w:val="010000"/>
        </w:rPr>
      </w:pPr>
      <w:r>
        <w:rPr>
          <w:rFonts w:ascii="Arial" w:cs="Arial" w:eastAsia="Arial" w:hAnsi="Arial"/>
          <w:sz w:val="18"/>
          <w:szCs w:val="18"/>
          <w:color w:val="auto"/>
        </w:rPr>
        <w:t>Oxley Act.</w:t>
      </w:r>
    </w:p>
    <w:p>
      <w:pPr>
        <w:spacing w:after="0" w:line="210" w:lineRule="exact"/>
        <w:rPr>
          <w:rFonts w:ascii="Arial" w:cs="Arial" w:eastAsia="Arial" w:hAnsi="Arial"/>
          <w:sz w:val="17"/>
          <w:szCs w:val="17"/>
          <w:i w:val="1"/>
          <w:iCs w:val="1"/>
          <w:color w:val="010000"/>
        </w:rPr>
      </w:pPr>
    </w:p>
    <w:p>
      <w:pPr>
        <w:ind w:left="4" w:right="40" w:firstLine="645"/>
        <w:spacing w:after="0" w:line="289" w:lineRule="auto"/>
        <w:tabs>
          <w:tab w:leader="none" w:pos="952" w:val="left"/>
        </w:tabs>
        <w:numPr>
          <w:ilvl w:val="1"/>
          <w:numId w:val="32"/>
        </w:numPr>
        <w:rPr>
          <w:rFonts w:ascii="Arial" w:cs="Arial" w:eastAsia="Arial" w:hAnsi="Arial"/>
          <w:sz w:val="16"/>
          <w:szCs w:val="16"/>
          <w:color w:val="010000"/>
        </w:rPr>
      </w:pPr>
      <w:r>
        <w:rPr>
          <w:rFonts w:ascii="Arial" w:cs="Arial" w:eastAsia="Arial" w:hAnsi="Arial"/>
          <w:sz w:val="16"/>
          <w:szCs w:val="16"/>
          <w:i w:val="1"/>
          <w:iCs w:val="1"/>
          <w:u w:val="single" w:color="auto"/>
          <w:color w:val="auto"/>
        </w:rPr>
        <w:t>Free Writing Prospectuses</w:t>
      </w:r>
      <w:r>
        <w:rPr>
          <w:rFonts w:ascii="Arial" w:cs="Arial" w:eastAsia="Arial" w:hAnsi="Arial"/>
          <w:sz w:val="16"/>
          <w:szCs w:val="16"/>
          <w:color w:val="auto"/>
        </w:rPr>
        <w:t>. The Company represents and agrees that, unless it obtains the prior written consent of the Representative,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each Underwriter severally represents and agrees that, unless it obtains the prior written consent of the Company and the Representative,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IV. Any such free writing prospectus consented to by the Company and the Representative is hereinafter referred to as a </w:t>
      </w:r>
      <w:r>
        <w:rPr>
          <w:rFonts w:ascii="Arial" w:cs="Arial" w:eastAsia="Arial" w:hAnsi="Arial"/>
          <w:sz w:val="16"/>
          <w:szCs w:val="16"/>
          <w:b w:val="1"/>
          <w:bCs w:val="1"/>
          <w:i w:val="1"/>
          <w:iCs w:val="1"/>
          <w:color w:val="auto"/>
        </w:rPr>
        <w:t>“Permitted Free Writing Prospectus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Company represents that it has treated or agrees that it will treat each Permitted Free Writing Prospectus as an issuer free writing prospectus, and has complied and will comply with the requirements of Rules 164 and 433 of the Rules and Regulations applicable to any Permitted Free Writing Prospectus. The Company represents that it has satisfied and agrees that it will satisfy the conditions in Rule 433 to avoid a requirement to file with the Commission any electronic road show.</w:t>
      </w:r>
    </w:p>
    <w:p>
      <w:pPr>
        <w:spacing w:after="0" w:line="166" w:lineRule="exact"/>
        <w:rPr>
          <w:rFonts w:ascii="Arial" w:cs="Arial" w:eastAsia="Arial" w:hAnsi="Arial"/>
          <w:sz w:val="16"/>
          <w:szCs w:val="16"/>
          <w:color w:val="010000"/>
        </w:rPr>
      </w:pPr>
    </w:p>
    <w:p>
      <w:pPr>
        <w:ind w:left="4" w:right="40" w:hanging="4"/>
        <w:spacing w:after="0" w:line="259" w:lineRule="auto"/>
        <w:tabs>
          <w:tab w:leader="none" w:pos="229" w:val="left"/>
        </w:tabs>
        <w:numPr>
          <w:ilvl w:val="0"/>
          <w:numId w:val="33"/>
        </w:numPr>
        <w:rPr>
          <w:rFonts w:ascii="Arial" w:cs="Arial" w:eastAsia="Arial" w:hAnsi="Arial"/>
          <w:sz w:val="18"/>
          <w:szCs w:val="18"/>
          <w:color w:val="010000"/>
        </w:rPr>
      </w:pPr>
      <w:r>
        <w:rPr>
          <w:rFonts w:ascii="Arial" w:cs="Arial" w:eastAsia="Arial" w:hAnsi="Arial"/>
          <w:sz w:val="18"/>
          <w:szCs w:val="18"/>
          <w:b w:val="1"/>
          <w:bCs w:val="1"/>
          <w:i w:val="1"/>
          <w:iCs w:val="1"/>
          <w:color w:val="auto"/>
        </w:rPr>
        <w:t>Conditions of Underwriters’ Obligations</w:t>
      </w:r>
      <w:r>
        <w:rPr>
          <w:rFonts w:ascii="Arial" w:cs="Arial" w:eastAsia="Arial" w:hAnsi="Arial"/>
          <w:sz w:val="18"/>
          <w:szCs w:val="18"/>
          <w:color w:val="auto"/>
        </w:rPr>
        <w:t>. The obligations of the several Underwriters hereunder are subject to the accuracy, as of the date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at each of the First Closing Date and the Second Closing Date (as if made at such Closing Date), of and compliance with all representations, warranties and agreements of the Company contained herein, to the performance by the Company of its obligations hereunder and to the following additional conditions:</w:t>
      </w:r>
    </w:p>
    <w:p>
      <w:pPr>
        <w:spacing w:after="0" w:line="186" w:lineRule="exact"/>
        <w:rPr>
          <w:rFonts w:ascii="Arial" w:cs="Arial" w:eastAsia="Arial" w:hAnsi="Arial"/>
          <w:sz w:val="18"/>
          <w:szCs w:val="18"/>
          <w:color w:val="010000"/>
        </w:rPr>
      </w:pPr>
    </w:p>
    <w:p>
      <w:pPr>
        <w:ind w:left="4" w:right="20" w:firstLine="645"/>
        <w:spacing w:after="0" w:line="293" w:lineRule="auto"/>
        <w:tabs>
          <w:tab w:leader="none" w:pos="942" w:val="left"/>
        </w:tabs>
        <w:numPr>
          <w:ilvl w:val="1"/>
          <w:numId w:val="33"/>
        </w:numPr>
        <w:rPr>
          <w:rFonts w:ascii="Arial" w:cs="Arial" w:eastAsia="Arial" w:hAnsi="Arial"/>
          <w:sz w:val="16"/>
          <w:szCs w:val="16"/>
          <w:color w:val="010000"/>
        </w:rPr>
      </w:pPr>
      <w:r>
        <w:rPr>
          <w:rFonts w:ascii="Arial" w:cs="Arial" w:eastAsia="Arial" w:hAnsi="Arial"/>
          <w:sz w:val="16"/>
          <w:szCs w:val="16"/>
          <w:i w:val="1"/>
          <w:iCs w:val="1"/>
          <w:u w:val="single" w:color="auto"/>
          <w:color w:val="auto"/>
        </w:rPr>
        <w:t>Required Filings; Absence of Certain Commission Actions</w:t>
      </w:r>
      <w:r>
        <w:rPr>
          <w:rFonts w:ascii="Arial" w:cs="Arial" w:eastAsia="Arial" w:hAnsi="Arial"/>
          <w:sz w:val="16"/>
          <w:szCs w:val="16"/>
          <w:color w:val="auto"/>
        </w:rPr>
        <w:t>. All filings required by Rules 424, 430B and 433 of the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shall have been timely made (without reliance on Rule 424(b)(8) or Rule 164(b)); no stop order suspending the effectiveness of the Registration Statement or any part thereof or any amendment thereof, nor suspending or preventing the use of the Time of Sale Disclosure Package, the Prospectus or any issuer free writing prospectus shall have been issued; no proceedings for the issuance of such an order shall have been initiated or threatened; and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37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881" w:right="259" w:bottom="1440" w:gutter="0" w:footer="0" w:header="0"/>
        </w:sectPr>
      </w:pPr>
    </w:p>
    <w:bookmarkStart w:id="25" w:name="page26"/>
    <w:bookmarkEnd w:id="25"/>
    <w:p>
      <w:pPr>
        <w:ind w:left="-540" w:firstLine="645"/>
        <w:spacing w:after="0" w:line="293" w:lineRule="auto"/>
        <w:tabs>
          <w:tab w:leader="none" w:pos="408" w:val="left"/>
        </w:tabs>
        <w:numPr>
          <w:ilvl w:val="0"/>
          <w:numId w:val="34"/>
        </w:numPr>
        <w:rPr>
          <w:rFonts w:ascii="Arial" w:cs="Arial" w:eastAsia="Arial" w:hAnsi="Arial"/>
          <w:sz w:val="16"/>
          <w:szCs w:val="16"/>
          <w:color w:val="010000"/>
        </w:rPr>
      </w:pPr>
      <w:r>
        <w:rPr>
          <w:rFonts w:ascii="Arial" w:cs="Arial" w:eastAsia="Arial" w:hAnsi="Arial"/>
          <w:sz w:val="16"/>
          <w:szCs w:val="16"/>
          <w:i w:val="1"/>
          <w:iCs w:val="1"/>
          <w:u w:val="single" w:color="auto"/>
          <w:color w:val="auto"/>
        </w:rPr>
        <w:t>Continued Compliance with Securities Laws</w:t>
      </w:r>
      <w:r>
        <w:rPr>
          <w:rFonts w:ascii="Arial" w:cs="Arial" w:eastAsia="Arial" w:hAnsi="Arial"/>
          <w:sz w:val="16"/>
          <w:szCs w:val="16"/>
          <w:color w:val="auto"/>
        </w:rPr>
        <w:t>. No Underwriter shall have advised the Company that (i) the Registration Statement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the Prospectus or any issuer free writing prospectus, or any amendment thereof or supplement thereto,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164" w:lineRule="exact"/>
        <w:rPr>
          <w:rFonts w:ascii="Arial" w:cs="Arial" w:eastAsia="Arial" w:hAnsi="Arial"/>
          <w:sz w:val="16"/>
          <w:szCs w:val="16"/>
          <w:color w:val="010000"/>
        </w:rPr>
      </w:pPr>
    </w:p>
    <w:p>
      <w:pPr>
        <w:ind w:left="-540" w:firstLine="645"/>
        <w:spacing w:after="0" w:line="287" w:lineRule="auto"/>
        <w:tabs>
          <w:tab w:leader="none" w:pos="398" w:val="left"/>
        </w:tabs>
        <w:numPr>
          <w:ilvl w:val="0"/>
          <w:numId w:val="34"/>
        </w:numPr>
        <w:rPr>
          <w:rFonts w:ascii="Arial" w:cs="Arial" w:eastAsia="Arial" w:hAnsi="Arial"/>
          <w:sz w:val="16"/>
          <w:szCs w:val="16"/>
          <w:color w:val="010000"/>
        </w:rPr>
      </w:pPr>
      <w:r>
        <w:rPr>
          <w:rFonts w:ascii="Arial" w:cs="Arial" w:eastAsia="Arial" w:hAnsi="Arial"/>
          <w:sz w:val="16"/>
          <w:szCs w:val="16"/>
          <w:i w:val="1"/>
          <w:iCs w:val="1"/>
          <w:u w:val="single" w:color="auto"/>
          <w:color w:val="auto"/>
        </w:rPr>
        <w:t>Absence of Certain Events</w:t>
      </w:r>
      <w:r>
        <w:rPr>
          <w:rFonts w:ascii="Arial" w:cs="Arial" w:eastAsia="Arial" w:hAnsi="Arial"/>
          <w:sz w:val="16"/>
          <w:szCs w:val="16"/>
          <w:color w:val="auto"/>
        </w:rPr>
        <w:t>. Except as contemplated in the Time of Sale Disclosure Package and in the Prospectus, subsequent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dates as of which information is given in the Time of Sale Disclosure Package and the Prospectus, neither the Company nor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shares of Common Stock due to the issuance of shares upon the exercise of outstanding options or warrants or conversion of convertible securities or the issuance of shares of Common Stock or securities exercisable for shares of Common Stock to employees, directors or service providers of the Company for compensatory purposes), or any material change in the short-term or long-term debt of the Company (other than as a result of the conversion of convertible securities), or any issuance of options, warrants, convertible securities or other rights to purchase the capital stock of the Company or its subsidiaries, or any Material Adverse Change or any development involving a prospective Material Adverse Change (whether or not arising in the ordinary course of business), that, in your judgment, makes it impractical or inadvisable to offer or deliver the Securities on the terms and in the manner contemplated in the Time of Sale Disclosure Package and in the Prospectus.</w:t>
      </w:r>
    </w:p>
    <w:p>
      <w:pPr>
        <w:spacing w:after="0" w:line="172" w:lineRule="exact"/>
        <w:rPr>
          <w:rFonts w:ascii="Arial" w:cs="Arial" w:eastAsia="Arial" w:hAnsi="Arial"/>
          <w:sz w:val="16"/>
          <w:szCs w:val="16"/>
          <w:color w:val="010000"/>
        </w:rPr>
      </w:pPr>
    </w:p>
    <w:p>
      <w:pPr>
        <w:ind w:left="-540" w:right="40" w:firstLine="645"/>
        <w:spacing w:after="0" w:line="264" w:lineRule="auto"/>
        <w:tabs>
          <w:tab w:leader="none" w:pos="408" w:val="left"/>
        </w:tabs>
        <w:numPr>
          <w:ilvl w:val="0"/>
          <w:numId w:val="34"/>
        </w:numPr>
        <w:rPr>
          <w:rFonts w:ascii="Arial" w:cs="Arial" w:eastAsia="Arial" w:hAnsi="Arial"/>
          <w:sz w:val="18"/>
          <w:szCs w:val="18"/>
          <w:color w:val="010000"/>
        </w:rPr>
      </w:pPr>
      <w:r>
        <w:rPr>
          <w:rFonts w:ascii="Arial" w:cs="Arial" w:eastAsia="Arial" w:hAnsi="Arial"/>
          <w:sz w:val="18"/>
          <w:szCs w:val="18"/>
          <w:i w:val="1"/>
          <w:iCs w:val="1"/>
          <w:u w:val="single" w:color="auto"/>
          <w:color w:val="auto"/>
        </w:rPr>
        <w:t>Opinion of Company Counsels</w:t>
      </w:r>
      <w:r>
        <w:rPr>
          <w:rFonts w:ascii="Arial" w:cs="Arial" w:eastAsia="Arial" w:hAnsi="Arial"/>
          <w:sz w:val="18"/>
          <w:szCs w:val="18"/>
          <w:color w:val="auto"/>
        </w:rPr>
        <w:t>. On each Closing Date, there shall have been furnished to you, as Representative of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the opinions and negative assurance letter of Morgan, Lewis &amp; Bockius LLP and the opinion of The Doney Law Firm, counsel for the Company, dated such Closing Date and addressed to you, in form and substance satisfactory to you.</w:t>
      </w:r>
    </w:p>
    <w:p>
      <w:pPr>
        <w:spacing w:after="0" w:line="181" w:lineRule="exact"/>
        <w:rPr>
          <w:rFonts w:ascii="Arial" w:cs="Arial" w:eastAsia="Arial" w:hAnsi="Arial"/>
          <w:sz w:val="18"/>
          <w:szCs w:val="18"/>
          <w:color w:val="010000"/>
        </w:rPr>
      </w:pPr>
    </w:p>
    <w:p>
      <w:pPr>
        <w:ind w:left="-540" w:right="140" w:firstLine="645"/>
        <w:spacing w:after="0" w:line="312" w:lineRule="auto"/>
        <w:tabs>
          <w:tab w:leader="none" w:pos="398" w:val="left"/>
        </w:tabs>
        <w:numPr>
          <w:ilvl w:val="0"/>
          <w:numId w:val="34"/>
        </w:numPr>
        <w:rPr>
          <w:rFonts w:ascii="Arial" w:cs="Arial" w:eastAsia="Arial" w:hAnsi="Arial"/>
          <w:sz w:val="16"/>
          <w:szCs w:val="16"/>
          <w:color w:val="010000"/>
        </w:rPr>
      </w:pPr>
      <w:r>
        <w:rPr>
          <w:rFonts w:ascii="Arial" w:cs="Arial" w:eastAsia="Arial" w:hAnsi="Arial"/>
          <w:sz w:val="16"/>
          <w:szCs w:val="16"/>
          <w:i w:val="1"/>
          <w:iCs w:val="1"/>
          <w:u w:val="single" w:color="auto"/>
          <w:color w:val="auto"/>
        </w:rPr>
        <w:t>Negative Assurance Letter of Underwriters’ Counsel</w:t>
      </w:r>
      <w:r>
        <w:rPr>
          <w:rFonts w:ascii="Arial" w:cs="Arial" w:eastAsia="Arial" w:hAnsi="Arial"/>
          <w:sz w:val="16"/>
          <w:szCs w:val="16"/>
          <w:color w:val="auto"/>
        </w:rPr>
        <w:t>. On each Closing Date, there shall have been furnished to you, as Representative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several Underwriters, such negative assurance letter of Goodwin Procter LLP, counsel for the Underwriters, dated such Closing Date and addressed to you, and such counsel shall have received such papers and information as they request to enable them to pass upon such matters.</w:t>
      </w:r>
    </w:p>
    <w:p>
      <w:pPr>
        <w:spacing w:after="0" w:line="35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440" w:top="881" w:right="259" w:bottom="1440" w:gutter="0" w:footer="0" w:header="0"/>
        </w:sectPr>
      </w:pPr>
    </w:p>
    <w:bookmarkStart w:id="26" w:name="page27"/>
    <w:bookmarkEnd w:id="26"/>
    <w:p>
      <w:pPr>
        <w:ind w:right="80" w:firstLine="645"/>
        <w:spacing w:after="0" w:line="286" w:lineRule="auto"/>
        <w:tabs>
          <w:tab w:leader="none" w:pos="918" w:val="left"/>
        </w:tabs>
        <w:numPr>
          <w:ilvl w:val="0"/>
          <w:numId w:val="35"/>
        </w:numPr>
        <w:rPr>
          <w:rFonts w:ascii="Arial" w:cs="Arial" w:eastAsia="Arial" w:hAnsi="Arial"/>
          <w:sz w:val="17"/>
          <w:szCs w:val="17"/>
          <w:color w:val="010000"/>
        </w:rPr>
      </w:pPr>
      <w:r>
        <w:rPr>
          <w:rFonts w:ascii="Arial" w:cs="Arial" w:eastAsia="Arial" w:hAnsi="Arial"/>
          <w:sz w:val="17"/>
          <w:szCs w:val="17"/>
          <w:i w:val="1"/>
          <w:iCs w:val="1"/>
          <w:u w:val="single" w:color="auto"/>
          <w:color w:val="auto"/>
        </w:rPr>
        <w:t>Comfort Letters</w:t>
      </w:r>
      <w:r>
        <w:rPr>
          <w:rFonts w:ascii="Arial" w:cs="Arial" w:eastAsia="Arial" w:hAnsi="Arial"/>
          <w:sz w:val="17"/>
          <w:szCs w:val="17"/>
          <w:color w:val="auto"/>
        </w:rPr>
        <w:t>. On the date hereof, on the effective date of any post-effective amendment to the Registration Statement filed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hereof and on each Closing Date, you, as Representative of the several Underwriters, shall have received a letter from each of Sadler, Gibb &amp; Associates, LLC and Marcum LLP, dated such date and addressed to you, in form and substance satisfactory to you.</w:t>
      </w:r>
    </w:p>
    <w:p>
      <w:pPr>
        <w:spacing w:after="0" w:line="165" w:lineRule="exact"/>
        <w:rPr>
          <w:rFonts w:ascii="Arial" w:cs="Arial" w:eastAsia="Arial" w:hAnsi="Arial"/>
          <w:sz w:val="17"/>
          <w:szCs w:val="17"/>
          <w:color w:val="010000"/>
        </w:rPr>
      </w:pPr>
    </w:p>
    <w:p>
      <w:pPr>
        <w:ind w:right="40" w:firstLine="645"/>
        <w:spacing w:after="0" w:line="264" w:lineRule="auto"/>
        <w:tabs>
          <w:tab w:leader="none" w:pos="948" w:val="left"/>
        </w:tabs>
        <w:numPr>
          <w:ilvl w:val="0"/>
          <w:numId w:val="35"/>
        </w:numPr>
        <w:rPr>
          <w:rFonts w:ascii="Arial" w:cs="Arial" w:eastAsia="Arial" w:hAnsi="Arial"/>
          <w:sz w:val="18"/>
          <w:szCs w:val="18"/>
          <w:color w:val="010000"/>
        </w:rPr>
      </w:pPr>
      <w:r>
        <w:rPr>
          <w:rFonts w:ascii="Arial" w:cs="Arial" w:eastAsia="Arial" w:hAnsi="Arial"/>
          <w:sz w:val="18"/>
          <w:szCs w:val="18"/>
          <w:i w:val="1"/>
          <w:iCs w:val="1"/>
          <w:u w:val="single" w:color="auto"/>
          <w:color w:val="auto"/>
        </w:rPr>
        <w:t>Officers’ Certificate</w:t>
      </w:r>
      <w:r>
        <w:rPr>
          <w:rFonts w:ascii="Arial" w:cs="Arial" w:eastAsia="Arial" w:hAnsi="Arial"/>
          <w:sz w:val="18"/>
          <w:szCs w:val="18"/>
          <w:color w:val="auto"/>
        </w:rPr>
        <w:t>. On each Closing Date, there shall have been furnished to you, as Representative of the several Underwriters, a</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dated such Closing Date and addressed to you, signed by the chief executive officer and by the chief financial officer of the Company, to the effect that:</w:t>
      </w:r>
    </w:p>
    <w:p>
      <w:pPr>
        <w:spacing w:after="0" w:line="181" w:lineRule="exact"/>
        <w:rPr>
          <w:rFonts w:ascii="Arial" w:cs="Arial" w:eastAsia="Arial" w:hAnsi="Arial"/>
          <w:sz w:val="18"/>
          <w:szCs w:val="18"/>
          <w:color w:val="010000"/>
        </w:rPr>
      </w:pPr>
    </w:p>
    <w:p>
      <w:pPr>
        <w:ind w:left="640" w:firstLine="653"/>
        <w:spacing w:after="0" w:line="264" w:lineRule="auto"/>
        <w:tabs>
          <w:tab w:leader="none" w:pos="1548"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 and</w:t>
      </w:r>
    </w:p>
    <w:p>
      <w:pPr>
        <w:spacing w:after="0" w:line="181" w:lineRule="exact"/>
        <w:rPr>
          <w:rFonts w:ascii="Arial" w:cs="Arial" w:eastAsia="Arial" w:hAnsi="Arial"/>
          <w:sz w:val="18"/>
          <w:szCs w:val="18"/>
          <w:color w:val="010000"/>
        </w:rPr>
      </w:pPr>
    </w:p>
    <w:p>
      <w:pPr>
        <w:ind w:left="640" w:right="20" w:firstLine="653"/>
        <w:spacing w:after="0" w:line="279" w:lineRule="auto"/>
        <w:tabs>
          <w:tab w:leader="none" w:pos="1598" w:val="left"/>
        </w:tabs>
        <w:numPr>
          <w:ilvl w:val="1"/>
          <w:numId w:val="35"/>
        </w:numPr>
        <w:rPr>
          <w:rFonts w:ascii="Arial" w:cs="Arial" w:eastAsia="Arial" w:hAnsi="Arial"/>
          <w:sz w:val="17"/>
          <w:szCs w:val="17"/>
          <w:color w:val="010000"/>
        </w:rPr>
      </w:pPr>
      <w:r>
        <w:rPr>
          <w:rFonts w:ascii="Arial" w:cs="Arial" w:eastAsia="Arial" w:hAnsi="Arial"/>
          <w:sz w:val="17"/>
          <w:szCs w:val="17"/>
          <w:color w:val="auto"/>
        </w:rPr>
        <w:t>No stop order or other order suspending the effectiveness of the Registration Statement or any part thereof or any amendment thereof or the qualification of the Securities for offering or sale,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w:t>
      </w:r>
    </w:p>
    <w:p>
      <w:pPr>
        <w:spacing w:after="0" w:line="171" w:lineRule="exact"/>
        <w:rPr>
          <w:rFonts w:ascii="Arial" w:cs="Arial" w:eastAsia="Arial" w:hAnsi="Arial"/>
          <w:sz w:val="17"/>
          <w:szCs w:val="17"/>
          <w:color w:val="010000"/>
        </w:rPr>
      </w:pPr>
    </w:p>
    <w:p>
      <w:pPr>
        <w:ind w:right="120" w:firstLine="645"/>
        <w:spacing w:after="0" w:line="277" w:lineRule="auto"/>
        <w:tabs>
          <w:tab w:leader="none" w:pos="948" w:val="left"/>
        </w:tabs>
        <w:numPr>
          <w:ilvl w:val="0"/>
          <w:numId w:val="35"/>
        </w:numPr>
        <w:rPr>
          <w:rFonts w:ascii="Arial" w:cs="Arial" w:eastAsia="Arial" w:hAnsi="Arial"/>
          <w:sz w:val="18"/>
          <w:szCs w:val="18"/>
          <w:color w:val="010000"/>
        </w:rPr>
      </w:pPr>
      <w:r>
        <w:rPr>
          <w:rFonts w:ascii="Arial" w:cs="Arial" w:eastAsia="Arial" w:hAnsi="Arial"/>
          <w:sz w:val="18"/>
          <w:szCs w:val="18"/>
          <w:i w:val="1"/>
          <w:iCs w:val="1"/>
          <w:u w:val="single" w:color="auto"/>
          <w:color w:val="auto"/>
        </w:rPr>
        <w:t>Lock-Up Agreement</w:t>
      </w:r>
      <w:r>
        <w:rPr>
          <w:rFonts w:ascii="Arial" w:cs="Arial" w:eastAsia="Arial" w:hAnsi="Arial"/>
          <w:sz w:val="18"/>
          <w:szCs w:val="18"/>
          <w:color w:val="auto"/>
        </w:rPr>
        <w:t>. The Representative shall have received all of the Lock-Up Agreements referenced in Section 4 and the Lock-Up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shall remain in full force and effect.</w:t>
      </w:r>
    </w:p>
    <w:p>
      <w:pPr>
        <w:spacing w:after="0" w:line="170" w:lineRule="exact"/>
        <w:rPr>
          <w:rFonts w:ascii="Arial" w:cs="Arial" w:eastAsia="Arial" w:hAnsi="Arial"/>
          <w:sz w:val="18"/>
          <w:szCs w:val="18"/>
          <w:color w:val="010000"/>
        </w:rPr>
      </w:pPr>
    </w:p>
    <w:p>
      <w:pPr>
        <w:ind w:right="560" w:firstLine="645"/>
        <w:spacing w:after="0" w:line="308" w:lineRule="auto"/>
        <w:tabs>
          <w:tab w:leader="none" w:pos="908" w:val="left"/>
        </w:tabs>
        <w:numPr>
          <w:ilvl w:val="0"/>
          <w:numId w:val="35"/>
        </w:numPr>
        <w:rPr>
          <w:rFonts w:ascii="Arial" w:cs="Arial" w:eastAsia="Arial" w:hAnsi="Arial"/>
          <w:sz w:val="17"/>
          <w:szCs w:val="17"/>
          <w:color w:val="010000"/>
        </w:rPr>
      </w:pPr>
      <w:r>
        <w:rPr>
          <w:rFonts w:ascii="Arial" w:cs="Arial" w:eastAsia="Arial" w:hAnsi="Arial"/>
          <w:sz w:val="17"/>
          <w:szCs w:val="17"/>
          <w:i w:val="1"/>
          <w:iCs w:val="1"/>
          <w:u w:val="single" w:color="auto"/>
          <w:color w:val="auto"/>
        </w:rPr>
        <w:t>Other Documents</w:t>
      </w:r>
      <w:r>
        <w:rPr>
          <w:rFonts w:ascii="Arial" w:cs="Arial" w:eastAsia="Arial" w:hAnsi="Arial"/>
          <w:sz w:val="17"/>
          <w:szCs w:val="17"/>
          <w:color w:val="auto"/>
        </w:rPr>
        <w:t>. The Company shall have furnished to you, as Representative of the several Underwriters, and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such additional documents, certificates and evidence as you or they may have reasonably requested.</w:t>
      </w:r>
    </w:p>
    <w:p>
      <w:pPr>
        <w:spacing w:after="0" w:line="146" w:lineRule="exact"/>
        <w:rPr>
          <w:rFonts w:ascii="Arial" w:cs="Arial" w:eastAsia="Arial" w:hAnsi="Arial"/>
          <w:sz w:val="17"/>
          <w:szCs w:val="17"/>
          <w:color w:val="010000"/>
        </w:rPr>
      </w:pPr>
    </w:p>
    <w:p>
      <w:pPr>
        <w:ind w:right="700" w:firstLine="645"/>
        <w:spacing w:after="0" w:line="277" w:lineRule="auto"/>
        <w:tabs>
          <w:tab w:leader="none" w:pos="908" w:val="left"/>
        </w:tabs>
        <w:numPr>
          <w:ilvl w:val="0"/>
          <w:numId w:val="35"/>
        </w:numPr>
        <w:rPr>
          <w:rFonts w:ascii="Arial" w:cs="Arial" w:eastAsia="Arial" w:hAnsi="Arial"/>
          <w:sz w:val="18"/>
          <w:szCs w:val="18"/>
          <w:color w:val="010000"/>
        </w:rPr>
      </w:pPr>
      <w:r>
        <w:rPr>
          <w:rFonts w:ascii="Arial" w:cs="Arial" w:eastAsia="Arial" w:hAnsi="Arial"/>
          <w:sz w:val="18"/>
          <w:szCs w:val="18"/>
          <w:i w:val="1"/>
          <w:iCs w:val="1"/>
          <w:u w:val="single" w:color="auto"/>
          <w:color w:val="auto"/>
        </w:rPr>
        <w:t>FINRA No Objections</w:t>
      </w:r>
      <w:r>
        <w:rPr>
          <w:rFonts w:ascii="Arial" w:cs="Arial" w:eastAsia="Arial" w:hAnsi="Arial"/>
          <w:sz w:val="18"/>
          <w:szCs w:val="18"/>
          <w:color w:val="auto"/>
        </w:rPr>
        <w:t>. FINRA shall have raised no objection to the fairness and reasonableness of the underwriting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w:t>
      </w:r>
    </w:p>
    <w:p>
      <w:pPr>
        <w:spacing w:after="0" w:line="170" w:lineRule="exact"/>
        <w:rPr>
          <w:rFonts w:ascii="Arial" w:cs="Arial" w:eastAsia="Arial" w:hAnsi="Arial"/>
          <w:sz w:val="18"/>
          <w:szCs w:val="18"/>
          <w:color w:val="010000"/>
        </w:rPr>
      </w:pPr>
    </w:p>
    <w:p>
      <w:pPr>
        <w:ind w:right="460" w:firstLine="645"/>
        <w:spacing w:after="0" w:line="277" w:lineRule="auto"/>
        <w:tabs>
          <w:tab w:leader="none" w:pos="948" w:val="left"/>
        </w:tabs>
        <w:numPr>
          <w:ilvl w:val="0"/>
          <w:numId w:val="35"/>
        </w:numPr>
        <w:rPr>
          <w:rFonts w:ascii="Arial" w:cs="Arial" w:eastAsia="Arial" w:hAnsi="Arial"/>
          <w:sz w:val="18"/>
          <w:szCs w:val="18"/>
          <w:color w:val="010000"/>
        </w:rPr>
      </w:pPr>
      <w:r>
        <w:rPr>
          <w:rFonts w:ascii="Arial" w:cs="Arial" w:eastAsia="Arial" w:hAnsi="Arial"/>
          <w:sz w:val="18"/>
          <w:szCs w:val="18"/>
          <w:i w:val="1"/>
          <w:iCs w:val="1"/>
          <w:u w:val="single" w:color="auto"/>
          <w:color w:val="auto"/>
        </w:rPr>
        <w:t>Exchange Listing</w:t>
      </w:r>
      <w:r>
        <w:rPr>
          <w:rFonts w:ascii="Arial" w:cs="Arial" w:eastAsia="Arial" w:hAnsi="Arial"/>
          <w:sz w:val="18"/>
          <w:szCs w:val="18"/>
          <w:color w:val="auto"/>
        </w:rPr>
        <w:t>. The Securities to be delivered on such Closing Date will have been approved for listing on the Nasdaq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subject to official notice of issuance.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such opinions, certificates, letters and other documents will be in compliance with the provisions hereof only if they are satisfactory in form and substance to you, as Representative of the several Underwriters, and counsel for the Underwriters. The Company will furnish you with such conformed copies of such opinions, certificates, letters and other documents as you shall reasonably request.</w:t>
      </w:r>
    </w:p>
    <w:p>
      <w:pPr>
        <w:spacing w:after="0" w:line="390"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900" w:top="881" w:right="319" w:bottom="1440" w:gutter="0" w:footer="0" w:header="0"/>
        </w:sectPr>
      </w:pPr>
    </w:p>
    <w:bookmarkStart w:id="27" w:name="page28"/>
    <w:bookmarkEnd w:id="27"/>
    <w:p>
      <w:pPr>
        <w:ind w:left="224" w:hanging="224"/>
        <w:spacing w:after="0"/>
        <w:tabs>
          <w:tab w:leader="none" w:pos="224" w:val="left"/>
        </w:tabs>
        <w:numPr>
          <w:ilvl w:val="0"/>
          <w:numId w:val="36"/>
        </w:numPr>
        <w:rPr>
          <w:rFonts w:ascii="Arial" w:cs="Arial" w:eastAsia="Arial" w:hAnsi="Arial"/>
          <w:sz w:val="18"/>
          <w:szCs w:val="18"/>
          <w:color w:val="010000"/>
        </w:rPr>
      </w:pPr>
      <w:r>
        <w:rPr>
          <w:rFonts w:ascii="Arial" w:cs="Arial" w:eastAsia="Arial" w:hAnsi="Arial"/>
          <w:sz w:val="18"/>
          <w:szCs w:val="18"/>
          <w:b w:val="1"/>
          <w:bCs w:val="1"/>
          <w:i w:val="1"/>
          <w:iCs w:val="1"/>
          <w:color w:val="auto"/>
        </w:rPr>
        <w:t>Indemnification and Contribution.</w:t>
      </w:r>
    </w:p>
    <w:p>
      <w:pPr>
        <w:spacing w:after="0" w:line="225" w:lineRule="exact"/>
        <w:rPr>
          <w:rFonts w:ascii="Arial" w:cs="Arial" w:eastAsia="Arial" w:hAnsi="Arial"/>
          <w:sz w:val="18"/>
          <w:szCs w:val="18"/>
          <w:color w:val="010000"/>
        </w:rPr>
      </w:pPr>
    </w:p>
    <w:p>
      <w:pPr>
        <w:ind w:left="4" w:firstLine="645"/>
        <w:spacing w:after="0" w:line="285" w:lineRule="auto"/>
        <w:tabs>
          <w:tab w:leader="none" w:pos="942" w:val="left"/>
        </w:tabs>
        <w:numPr>
          <w:ilvl w:val="1"/>
          <w:numId w:val="36"/>
        </w:numPr>
        <w:rPr>
          <w:rFonts w:ascii="Arial" w:cs="Arial" w:eastAsia="Arial" w:hAnsi="Arial"/>
          <w:sz w:val="16"/>
          <w:szCs w:val="16"/>
          <w:color w:val="010000"/>
        </w:rPr>
      </w:pPr>
      <w:r>
        <w:rPr>
          <w:rFonts w:ascii="Arial" w:cs="Arial" w:eastAsia="Arial" w:hAnsi="Arial"/>
          <w:sz w:val="16"/>
          <w:szCs w:val="16"/>
          <w:i w:val="1"/>
          <w:iCs w:val="1"/>
          <w:u w:val="single" w:color="auto"/>
          <w:color w:val="auto"/>
        </w:rPr>
        <w:t>Indemnification by the Company</w:t>
      </w:r>
      <w:r>
        <w:rPr>
          <w:rFonts w:ascii="Arial" w:cs="Arial" w:eastAsia="Arial" w:hAnsi="Arial"/>
          <w:sz w:val="16"/>
          <w:szCs w:val="16"/>
          <w:color w:val="auto"/>
        </w:rPr>
        <w:t>. The Company agrees to indemnify and hold harmless each Underwriter, its affiliates,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officers 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the Company), insofar as such losses, claims, damages or liabilities (or actions in respect thereof) (i) arise out of or are based upon an untrue statement or alleged untrue statement of a material fact contained in the Registration Statement, including the Rule 430B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and will reimburse each Underwriter for any legal or other expenses reasonably incurred by it in connection with investigating or defending against such loss, claim, damage, liability or action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Underwriters Information.</w:t>
      </w:r>
    </w:p>
    <w:p>
      <w:pPr>
        <w:spacing w:after="0" w:line="177" w:lineRule="exact"/>
        <w:rPr>
          <w:rFonts w:ascii="Arial" w:cs="Arial" w:eastAsia="Arial" w:hAnsi="Arial"/>
          <w:sz w:val="16"/>
          <w:szCs w:val="16"/>
          <w:color w:val="010000"/>
        </w:rPr>
      </w:pPr>
    </w:p>
    <w:p>
      <w:pPr>
        <w:ind w:left="4" w:firstLine="645"/>
        <w:spacing w:after="0" w:line="286" w:lineRule="auto"/>
        <w:tabs>
          <w:tab w:leader="none" w:pos="952" w:val="left"/>
        </w:tabs>
        <w:numPr>
          <w:ilvl w:val="1"/>
          <w:numId w:val="36"/>
        </w:numPr>
        <w:rPr>
          <w:rFonts w:ascii="Arial" w:cs="Arial" w:eastAsia="Arial" w:hAnsi="Arial"/>
          <w:sz w:val="16"/>
          <w:szCs w:val="16"/>
          <w:color w:val="010000"/>
        </w:rPr>
      </w:pPr>
      <w:r>
        <w:rPr>
          <w:rFonts w:ascii="Arial" w:cs="Arial" w:eastAsia="Arial" w:hAnsi="Arial"/>
          <w:sz w:val="16"/>
          <w:szCs w:val="16"/>
          <w:i w:val="1"/>
          <w:iCs w:val="1"/>
          <w:u w:val="single" w:color="auto"/>
          <w:color w:val="auto"/>
        </w:rPr>
        <w:t>Indemnification by the Underwriters</w:t>
      </w:r>
      <w:r>
        <w:rPr>
          <w:rFonts w:ascii="Arial" w:cs="Arial" w:eastAsia="Arial" w:hAnsi="Arial"/>
          <w:sz w:val="16"/>
          <w:szCs w:val="16"/>
          <w:color w:val="auto"/>
        </w:rPr>
        <w:t>. Each Underwriter will, severally and not jointly,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directors and officers and each person, if any, who controls the Company within the meaning of Section 15 of the Act and Section 20 of the Exchange Act, from and against any losses, claims, damages or liabilities to which the Company may become subject, under the Act or otherwise (including in settlement of any litigation, if such settlement is effected with the written consent of such Underwriter), insofar as such losses, claims, damages or liabilities (or actions in respect thereof) (i) arise out of or are based upon an untrue statement or alleged untrue statement of a material fact contained in the Registration Statement, any Preliminary Prospectus, the Time of Sale Disclosure Package, the Prospectus, or any amendment or supplement thereto, any document incorporated by reference therein,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you, or by such Underwriter through you, specifically for use in the preparation thereof (it being understood and agreed that the only information furnished by an Underwriter consists of the Underwriters Information), and will reimburse the Company and the for any legal or other expenses reasonably incurred and documented by the Company in connection with investigating or defending against any such loss, claim, damage, liability or action as such expenses are incurred.</w:t>
      </w:r>
    </w:p>
    <w:p>
      <w:pPr>
        <w:spacing w:after="0" w:line="381"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28" w:name="page29"/>
    <w:bookmarkEnd w:id="28"/>
    <w:p>
      <w:pPr>
        <w:ind w:left="-540" w:firstLine="645"/>
        <w:spacing w:after="0" w:line="284" w:lineRule="auto"/>
        <w:tabs>
          <w:tab w:leader="none" w:pos="398" w:val="left"/>
        </w:tabs>
        <w:numPr>
          <w:ilvl w:val="0"/>
          <w:numId w:val="37"/>
        </w:numPr>
        <w:rPr>
          <w:rFonts w:ascii="Arial" w:cs="Arial" w:eastAsia="Arial" w:hAnsi="Arial"/>
          <w:sz w:val="16"/>
          <w:szCs w:val="16"/>
          <w:color w:val="010000"/>
        </w:rPr>
      </w:pPr>
      <w:r>
        <w:rPr>
          <w:rFonts w:ascii="Arial" w:cs="Arial" w:eastAsia="Arial" w:hAnsi="Arial"/>
          <w:sz w:val="16"/>
          <w:szCs w:val="16"/>
          <w:i w:val="1"/>
          <w:iCs w:val="1"/>
          <w:u w:val="single" w:color="auto"/>
          <w:color w:val="auto"/>
        </w:rPr>
        <w:t>Notice and Procedures</w:t>
      </w:r>
      <w:r>
        <w:rPr>
          <w:rFonts w:ascii="Arial" w:cs="Arial" w:eastAsia="Arial" w:hAnsi="Arial"/>
          <w:sz w:val="16"/>
          <w:szCs w:val="16"/>
          <w:color w:val="auto"/>
        </w:rPr>
        <w:t>. Promptly after receipt by an indemnified party under subsection (a), (b) or (c) above of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(i) the indemnified party has reasonably concluded (based on advice of counsel) that there may be legal defenses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to it or other indemnified parties that are different from or in addition to those available to the indemnifying party or (ii) a conflict or potential conflict exists (based on advice of counsel to the indemnified party) between the indemnified party and the indemnifying party, the indemnified party shall have the right to employ a single counsel (in addition to local counsel) to represent all Underwriters who may be subject to liability arising from any claim in respect of which indemnity may be sought by the Underwriters under subsection (a) or (b) above, in which event the reasonable fees and expenses of such separate counsel shall be borne by the indemnifying party or parties and reimbursed to the Underwriters as incurred and the indemnifying party shall not have the right to direct the defense of such action on behalf of the indemnified party. An indemnifying party shall not be obligated under any settlement agreement relating to any action under this Section 6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29" w:name="page30"/>
    <w:bookmarkEnd w:id="29"/>
    <w:p>
      <w:pPr>
        <w:ind w:left="-540" w:firstLine="645"/>
        <w:spacing w:after="0" w:line="284" w:lineRule="auto"/>
        <w:tabs>
          <w:tab w:leader="none" w:pos="408" w:val="left"/>
        </w:tabs>
        <w:numPr>
          <w:ilvl w:val="0"/>
          <w:numId w:val="38"/>
        </w:numPr>
        <w:rPr>
          <w:rFonts w:ascii="Arial" w:cs="Arial" w:eastAsia="Arial" w:hAnsi="Arial"/>
          <w:sz w:val="16"/>
          <w:szCs w:val="16"/>
          <w:color w:val="010000"/>
        </w:rPr>
      </w:pPr>
      <w:r>
        <w:rPr>
          <w:rFonts w:ascii="Arial" w:cs="Arial" w:eastAsia="Arial" w:hAnsi="Arial"/>
          <w:sz w:val="16"/>
          <w:szCs w:val="16"/>
          <w:i w:val="1"/>
          <w:iCs w:val="1"/>
          <w:u w:val="single" w:color="auto"/>
          <w:color w:val="auto"/>
        </w:rPr>
        <w:t>Contribution; Limitations on Liability; Non-Exclusive Remedy</w:t>
      </w:r>
      <w:r>
        <w:rPr>
          <w:rFonts w:ascii="Arial" w:cs="Arial" w:eastAsia="Arial" w:hAnsi="Arial"/>
          <w:sz w:val="16"/>
          <w:szCs w:val="16"/>
          <w:color w:val="auto"/>
        </w:rPr>
        <w:t>. If the indemnification provided for in this Section 6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(b) or (c) 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(e) were to be determined by pro rata allocation (even if the Underwriters were treated as one entity for such purpose) or by any other method of allocation which does not take account of the equitable considerations referred to in the first sentence of this subsection (e).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against any action or claim which is the subject of this subsection (e). Notwithstanding the provisions of this subsection (e), no Underwriter shall be required to contribute any amount in excess of the amount by which the total underwriting discounts and commissions received by such Underwriter with respect to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remedies provided for in this Section 6 are not exclusive and shall not limit any rights or remedies that might otherwise be available to any indemnified party at law or in equity.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30" w:name="page31"/>
    <w:bookmarkEnd w:id="30"/>
    <w:p>
      <w:pPr>
        <w:ind w:left="4" w:firstLine="645"/>
        <w:spacing w:after="0" w:line="293" w:lineRule="auto"/>
        <w:tabs>
          <w:tab w:leader="none" w:pos="942" w:val="left"/>
        </w:tabs>
        <w:numPr>
          <w:ilvl w:val="1"/>
          <w:numId w:val="39"/>
        </w:numPr>
        <w:rPr>
          <w:rFonts w:ascii="Arial" w:cs="Arial" w:eastAsia="Arial" w:hAnsi="Arial"/>
          <w:sz w:val="16"/>
          <w:szCs w:val="16"/>
          <w:color w:val="010000"/>
        </w:rPr>
      </w:pPr>
      <w:r>
        <w:rPr>
          <w:rFonts w:ascii="Arial" w:cs="Arial" w:eastAsia="Arial" w:hAnsi="Arial"/>
          <w:sz w:val="16"/>
          <w:szCs w:val="16"/>
          <w:i w:val="1"/>
          <w:iCs w:val="1"/>
          <w:u w:val="single" w:color="auto"/>
          <w:color w:val="auto"/>
        </w:rPr>
        <w:t>Information Provided by the Underwriters</w:t>
      </w:r>
      <w:r>
        <w:rPr>
          <w:rFonts w:ascii="Arial" w:cs="Arial" w:eastAsia="Arial" w:hAnsi="Arial"/>
          <w:sz w:val="16"/>
          <w:szCs w:val="16"/>
          <w:color w:val="auto"/>
        </w:rPr>
        <w:t>. The Underwriters severally confirm and the Company acknowledge that the statements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public offering of the Securities by the Underwriters set forth in the first and third paragraphs under the caption “Underwriting - Discounts and Commissions” and the estimate of the Underwriters’ reasonable out-of-pocket accountable fees and disbursements in connection with the offering of the Securities in the Time of Sale Disclosure Package and in the Prospectus are correct and constitute the only information concerning the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164" w:lineRule="exact"/>
        <w:rPr>
          <w:rFonts w:ascii="Arial" w:cs="Arial" w:eastAsia="Arial" w:hAnsi="Arial"/>
          <w:sz w:val="16"/>
          <w:szCs w:val="16"/>
          <w:color w:val="010000"/>
        </w:rPr>
      </w:pPr>
    </w:p>
    <w:p>
      <w:pPr>
        <w:ind w:left="4" w:right="200" w:hanging="4"/>
        <w:spacing w:after="0" w:line="257" w:lineRule="auto"/>
        <w:tabs>
          <w:tab w:leader="none" w:pos="229" w:val="left"/>
        </w:tabs>
        <w:numPr>
          <w:ilvl w:val="0"/>
          <w:numId w:val="40"/>
        </w:numPr>
        <w:rPr>
          <w:rFonts w:ascii="Arial" w:cs="Arial" w:eastAsia="Arial" w:hAnsi="Arial"/>
          <w:sz w:val="18"/>
          <w:szCs w:val="18"/>
          <w:color w:val="010000"/>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herein or in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pursuant hereto, and the agreements of the several Underwriters and the Company contained in Section 6 hereof, shall remain operative and in full force and effect regardless of any investigation made by or on behalf of any Underwriter or any controlling person thereof, or the Company or any of its officers, directors, or controlling persons and shall survive delivery of, and payment for, the Securities to and by the Underwriters hereunder and any termination of this Agreement.</w:t>
      </w:r>
    </w:p>
    <w:p>
      <w:pPr>
        <w:spacing w:after="0" w:line="188" w:lineRule="exact"/>
        <w:rPr>
          <w:rFonts w:ascii="Arial" w:cs="Arial" w:eastAsia="Arial" w:hAnsi="Arial"/>
          <w:sz w:val="18"/>
          <w:szCs w:val="18"/>
          <w:color w:val="010000"/>
        </w:rPr>
      </w:pPr>
    </w:p>
    <w:p>
      <w:pPr>
        <w:ind w:left="224" w:hanging="224"/>
        <w:spacing w:after="0"/>
        <w:tabs>
          <w:tab w:leader="none" w:pos="224" w:val="left"/>
        </w:tabs>
        <w:numPr>
          <w:ilvl w:val="0"/>
          <w:numId w:val="40"/>
        </w:numPr>
        <w:rPr>
          <w:rFonts w:ascii="Arial" w:cs="Arial" w:eastAsia="Arial" w:hAnsi="Arial"/>
          <w:sz w:val="18"/>
          <w:szCs w:val="18"/>
          <w:color w:val="010000"/>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4" w:right="100" w:firstLine="645"/>
        <w:spacing w:after="0" w:line="269" w:lineRule="auto"/>
        <w:tabs>
          <w:tab w:leader="none" w:pos="942" w:val="left"/>
        </w:tabs>
        <w:numPr>
          <w:ilvl w:val="1"/>
          <w:numId w:val="40"/>
        </w:numPr>
        <w:rPr>
          <w:rFonts w:ascii="Arial" w:cs="Arial" w:eastAsia="Arial" w:hAnsi="Arial"/>
          <w:sz w:val="17"/>
          <w:szCs w:val="17"/>
          <w:color w:val="010000"/>
        </w:rPr>
      </w:pPr>
      <w:r>
        <w:rPr>
          <w:rFonts w:ascii="Arial" w:cs="Arial" w:eastAsia="Arial" w:hAnsi="Arial"/>
          <w:sz w:val="17"/>
          <w:szCs w:val="17"/>
          <w:i w:val="1"/>
          <w:iCs w:val="1"/>
          <w:u w:val="single" w:color="auto"/>
          <w:color w:val="auto"/>
        </w:rPr>
        <w:t>Right to Terminate</w:t>
      </w:r>
      <w:r>
        <w:rPr>
          <w:rFonts w:ascii="Arial" w:cs="Arial" w:eastAsia="Arial" w:hAnsi="Arial"/>
          <w:sz w:val="17"/>
          <w:szCs w:val="17"/>
          <w:color w:val="auto"/>
        </w:rPr>
        <w:t>. You, as Representative of the several Underwriters, shall have the right to terminate this Agreement by giving</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as hereinafter specified at any time at or prior to the First Closing Date, and the option referred to in Section 3(b), if exercised, may be cancelled at any time prior to the Second Closing Date, if (i) there has been, since the time of execution of this Agreement or since the respective dates as of which information is given in the Registration Statement, the Time of Sale Disclosure Package or the Prospectus, any Material Adverse Change, (ii) any other condition of the Underwriters’ obligations hereunder is not fulfilled, (iii) trading on The Nasdaq Stock Market or New York Stock Exchange shall have been wholly suspended, (iv) minimum or maximum prices for trading shall have been fixed, or maximum ranges for prices for securities shall have been required, on The Nasdaq Stock Market or New York Stock Exchange, by such Exchange or by order of the Commission or any other Governmental Authority, (v) a banking moratorium shall have been declared by federal or state authorities, or (vi) there shall have occurred any outbreak or escalation of hostilities or any change in financial markets or any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4(g) and Section 6 hereof shall at all times be effective.</w:t>
      </w:r>
    </w:p>
    <w:p>
      <w:pPr>
        <w:spacing w:after="0" w:line="179" w:lineRule="exact"/>
        <w:rPr>
          <w:rFonts w:ascii="Arial" w:cs="Arial" w:eastAsia="Arial" w:hAnsi="Arial"/>
          <w:sz w:val="17"/>
          <w:szCs w:val="17"/>
          <w:color w:val="010000"/>
        </w:rPr>
      </w:pPr>
    </w:p>
    <w:p>
      <w:pPr>
        <w:ind w:left="4" w:right="100" w:firstLine="645"/>
        <w:spacing w:after="0" w:line="277" w:lineRule="auto"/>
        <w:tabs>
          <w:tab w:leader="none" w:pos="952" w:val="left"/>
        </w:tabs>
        <w:numPr>
          <w:ilvl w:val="1"/>
          <w:numId w:val="40"/>
        </w:numPr>
        <w:rPr>
          <w:rFonts w:ascii="Arial" w:cs="Arial" w:eastAsia="Arial" w:hAnsi="Arial"/>
          <w:sz w:val="18"/>
          <w:szCs w:val="18"/>
          <w:color w:val="010000"/>
        </w:rPr>
      </w:pP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If you elect to terminate this Agreement as provided in this Section, the Company shall be notified promptly by</w:t>
      </w:r>
      <w:r>
        <w:rPr>
          <w:rFonts w:ascii="Arial" w:cs="Arial" w:eastAsia="Arial" w:hAnsi="Arial"/>
          <w:sz w:val="18"/>
          <w:szCs w:val="18"/>
          <w:i w:val="1"/>
          <w:iCs w:val="1"/>
          <w:color w:val="auto"/>
        </w:rPr>
        <w:t xml:space="preserve"> </w:t>
      </w:r>
      <w:r>
        <w:rPr>
          <w:rFonts w:ascii="Arial" w:cs="Arial" w:eastAsia="Arial" w:hAnsi="Arial"/>
          <w:sz w:val="18"/>
          <w:szCs w:val="18"/>
          <w:color w:val="auto"/>
        </w:rPr>
        <w:t>you by telephone, confirmed by letter.</w:t>
      </w:r>
    </w:p>
    <w:p>
      <w:pPr>
        <w:spacing w:after="0" w:line="170" w:lineRule="exact"/>
        <w:rPr>
          <w:rFonts w:ascii="Arial" w:cs="Arial" w:eastAsia="Arial" w:hAnsi="Arial"/>
          <w:sz w:val="18"/>
          <w:szCs w:val="18"/>
          <w:color w:val="010000"/>
        </w:rPr>
      </w:pPr>
    </w:p>
    <w:p>
      <w:pPr>
        <w:ind w:left="224" w:hanging="224"/>
        <w:spacing w:after="0"/>
        <w:tabs>
          <w:tab w:leader="none" w:pos="224" w:val="left"/>
        </w:tabs>
        <w:numPr>
          <w:ilvl w:val="0"/>
          <w:numId w:val="40"/>
        </w:numPr>
        <w:rPr>
          <w:rFonts w:ascii="Arial" w:cs="Arial" w:eastAsia="Arial" w:hAnsi="Arial"/>
          <w:sz w:val="18"/>
          <w:szCs w:val="18"/>
          <w:color w:val="010000"/>
        </w:rPr>
      </w:pPr>
      <w:r>
        <w:rPr>
          <w:rFonts w:ascii="Arial" w:cs="Arial" w:eastAsia="Arial" w:hAnsi="Arial"/>
          <w:sz w:val="18"/>
          <w:szCs w:val="18"/>
          <w:b w:val="1"/>
          <w:bCs w:val="1"/>
          <w:i w:val="1"/>
          <w:iCs w:val="1"/>
          <w:color w:val="auto"/>
        </w:rPr>
        <w:t>Default by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4" w:right="20" w:firstLine="645"/>
        <w:spacing w:after="0" w:line="264" w:lineRule="auto"/>
        <w:tabs>
          <w:tab w:leader="none" w:pos="942" w:val="left"/>
        </w:tabs>
        <w:numPr>
          <w:ilvl w:val="1"/>
          <w:numId w:val="40"/>
        </w:numPr>
        <w:rPr>
          <w:rFonts w:ascii="Arial" w:cs="Arial" w:eastAsia="Arial" w:hAnsi="Arial"/>
          <w:sz w:val="18"/>
          <w:szCs w:val="18"/>
          <w:color w:val="010000"/>
        </w:rPr>
      </w:pPr>
      <w:r>
        <w:rPr>
          <w:rFonts w:ascii="Arial" w:cs="Arial" w:eastAsia="Arial" w:hAnsi="Arial"/>
          <w:sz w:val="18"/>
          <w:szCs w:val="18"/>
          <w:i w:val="1"/>
          <w:iCs w:val="1"/>
          <w:u w:val="single" w:color="auto"/>
          <w:color w:val="auto"/>
        </w:rPr>
        <w:t>Default by the Company</w:t>
      </w:r>
      <w:r>
        <w:rPr>
          <w:rFonts w:ascii="Arial" w:cs="Arial" w:eastAsia="Arial" w:hAnsi="Arial"/>
          <w:sz w:val="18"/>
          <w:szCs w:val="18"/>
          <w:color w:val="auto"/>
        </w:rPr>
        <w:t>. If the Company shall fail at the First Closing Date to sell and deliver the Securities which it is obligated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then this Agreement shall terminate without any liability on the part of any Underwriter or, except as provided in Section 4(g) and Section 6 hereof, any non-defaulting party.</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881" w:right="259" w:bottom="1440" w:gutter="0" w:footer="0" w:header="0"/>
        </w:sectPr>
      </w:pPr>
    </w:p>
    <w:bookmarkStart w:id="31" w:name="page32"/>
    <w:bookmarkEnd w:id="31"/>
    <w:p>
      <w:pPr>
        <w:ind w:left="4" w:right="440" w:firstLine="645"/>
        <w:spacing w:after="0" w:line="277" w:lineRule="auto"/>
        <w:tabs>
          <w:tab w:leader="none" w:pos="952" w:val="left"/>
        </w:tabs>
        <w:numPr>
          <w:ilvl w:val="1"/>
          <w:numId w:val="41"/>
        </w:numPr>
        <w:rPr>
          <w:rFonts w:ascii="Arial" w:cs="Arial" w:eastAsia="Arial" w:hAnsi="Arial"/>
          <w:sz w:val="18"/>
          <w:szCs w:val="18"/>
          <w:color w:val="010000"/>
        </w:rPr>
      </w:pPr>
      <w:r>
        <w:rPr>
          <w:rFonts w:ascii="Arial" w:cs="Arial" w:eastAsia="Arial" w:hAnsi="Arial"/>
          <w:sz w:val="18"/>
          <w:szCs w:val="18"/>
          <w:i w:val="1"/>
          <w:iCs w:val="1"/>
          <w:u w:val="single" w:color="auto"/>
          <w:color w:val="auto"/>
        </w:rPr>
        <w:t>No Relief from Liability</w:t>
      </w:r>
      <w:r>
        <w:rPr>
          <w:rFonts w:ascii="Arial" w:cs="Arial" w:eastAsia="Arial" w:hAnsi="Arial"/>
          <w:sz w:val="18"/>
          <w:szCs w:val="18"/>
          <w:color w:val="auto"/>
        </w:rPr>
        <w:t>. No action taken pursuant to this Section shall relieve the Company from liability, if any, in respect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hereunder.</w:t>
      </w:r>
    </w:p>
    <w:p>
      <w:pPr>
        <w:spacing w:after="0" w:line="170" w:lineRule="exact"/>
        <w:rPr>
          <w:rFonts w:ascii="Arial" w:cs="Arial" w:eastAsia="Arial" w:hAnsi="Arial"/>
          <w:sz w:val="18"/>
          <w:szCs w:val="18"/>
          <w:color w:val="010000"/>
        </w:rPr>
      </w:pPr>
    </w:p>
    <w:p>
      <w:pPr>
        <w:ind w:left="4" w:right="80" w:hanging="4"/>
        <w:spacing w:after="0" w:line="254" w:lineRule="auto"/>
        <w:tabs>
          <w:tab w:leader="none" w:pos="319" w:val="left"/>
        </w:tabs>
        <w:numPr>
          <w:ilvl w:val="0"/>
          <w:numId w:val="42"/>
        </w:numPr>
        <w:rPr>
          <w:rFonts w:ascii="Arial" w:cs="Arial" w:eastAsia="Arial" w:hAnsi="Arial"/>
          <w:sz w:val="18"/>
          <w:szCs w:val="18"/>
          <w:color w:val="010000"/>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Except as otherwise provided herein, all communications hereunder shall be in writing and, (i) if to the Underwriters, shall be mailed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 overnight delivery service or hand delivered via courier, to the Representative c/o William Blair &amp; Company, L.L.C., 150 North Riverside Plaza, Chicago, Illinois 60606, to the attention of Equity Capital Markets (with a copy, which shall not constitute notice, to Goodwin Procter LLP, 620 Eighth Avenue, New York, NY 10018, Attention: Michael Maline); (ii) if to the Company, shall be mailed or delivered to it at 400 Water Street, Suite 200, Rochester, MI 48307, Attention: Chief Executive Officer (with a copy, which shall not constitute notice, to Morgan, Lewis &amp; Bockius LLP, One Federal Street, Boston, MA 02110, Attention: Mark Stein);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92" w:lineRule="exact"/>
        <w:rPr>
          <w:rFonts w:ascii="Arial" w:cs="Arial" w:eastAsia="Arial" w:hAnsi="Arial"/>
          <w:sz w:val="18"/>
          <w:szCs w:val="18"/>
          <w:color w:val="010000"/>
        </w:rPr>
      </w:pPr>
    </w:p>
    <w:p>
      <w:pPr>
        <w:ind w:left="4" w:hanging="4"/>
        <w:spacing w:after="0" w:line="257" w:lineRule="auto"/>
        <w:tabs>
          <w:tab w:leader="none" w:pos="312" w:val="left"/>
        </w:tabs>
        <w:numPr>
          <w:ilvl w:val="0"/>
          <w:numId w:val="42"/>
        </w:numPr>
        <w:rPr>
          <w:rFonts w:ascii="Arial" w:cs="Arial" w:eastAsia="Arial" w:hAnsi="Arial"/>
          <w:sz w:val="18"/>
          <w:szCs w:val="18"/>
          <w:color w:val="010000"/>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6.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188" w:lineRule="exact"/>
        <w:rPr>
          <w:rFonts w:ascii="Arial" w:cs="Arial" w:eastAsia="Arial" w:hAnsi="Arial"/>
          <w:sz w:val="18"/>
          <w:szCs w:val="18"/>
          <w:color w:val="010000"/>
        </w:rPr>
      </w:pPr>
    </w:p>
    <w:p>
      <w:pPr>
        <w:ind w:left="4" w:hanging="4"/>
        <w:spacing w:after="0" w:line="286" w:lineRule="auto"/>
        <w:tabs>
          <w:tab w:leader="none" w:pos="319" w:val="left"/>
        </w:tabs>
        <w:numPr>
          <w:ilvl w:val="0"/>
          <w:numId w:val="42"/>
        </w:numPr>
        <w:rPr>
          <w:rFonts w:ascii="Arial" w:cs="Arial" w:eastAsia="Arial" w:hAnsi="Arial"/>
          <w:sz w:val="16"/>
          <w:szCs w:val="16"/>
          <w:color w:val="010000"/>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acknowledges and agrees that: (a) the Representative has been retained solely to act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 in connection with the sale of the Securities and that no fiduciary, advisory or agency relationship between the Company and the Representative has been created in respect of any of the transactions contemplated by this Agreement, irrespective of whether the Representative has advised or is advising the Company on other matters; (b) the price and other terms of the Securities set forth in this Agreement were established by the Company following discussions and arms-length negotiations with the Representative and the Company is capable of evaluating and understanding and understands and accepts the terms, risks and conditions of the transactions contemplated by this Agreement; (c) it has been advised that the Representative and its affiliates are engaged in a broad range of transactions which may involve interests that differ from those of the Company and that the Representative has no obligation to disclose such interest and transactions to the Company by virtue of any fiduciary, advisory or agency relationship; (d) it has been advised that the Representative is acting, in respect of the transactions contemplated by this Agreement, solely for the benefit of the Underwriters, and not on behalf of the Company; (e) it waives to the fullest extent permitted by law, any claims it may have against the Underwriters for breach of fiduciary duty or alleged breach of fiduciary duty in respect of any of the transactions contemplated by this Agreement and agrees that the Underwriters shall have no liability (whether direct or indirect) to the Company in respect of such a fiduciary duty claim on behalf of or in right of the Company, including stockholders, employees or creditors of the Company.</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32" w:name="page33"/>
    <w:bookmarkEnd w:id="32"/>
    <w:p>
      <w:pPr>
        <w:ind w:left="4" w:right="180" w:hanging="4"/>
        <w:spacing w:after="0" w:line="259" w:lineRule="auto"/>
        <w:tabs>
          <w:tab w:leader="none" w:pos="319" w:val="left"/>
        </w:tabs>
        <w:numPr>
          <w:ilvl w:val="0"/>
          <w:numId w:val="43"/>
        </w:numPr>
        <w:rPr>
          <w:rFonts w:ascii="Arial" w:cs="Arial" w:eastAsia="Arial" w:hAnsi="Arial"/>
          <w:sz w:val="18"/>
          <w:szCs w:val="18"/>
          <w:color w:val="010000"/>
        </w:rPr>
      </w:pPr>
      <w:r>
        <w:rPr>
          <w:rFonts w:ascii="Arial" w:cs="Arial" w:eastAsia="Arial" w:hAnsi="Arial"/>
          <w:sz w:val="18"/>
          <w:szCs w:val="18"/>
          <w:b w:val="1"/>
          <w:bCs w:val="1"/>
          <w:i w:val="1"/>
          <w:iCs w:val="1"/>
          <w:color w:val="auto"/>
        </w:rPr>
        <w:t>Governing Law; Waiver of Jury Trial</w:t>
      </w:r>
      <w:r>
        <w:rPr>
          <w:rFonts w:ascii="Arial" w:cs="Arial" w:eastAsia="Arial" w:hAnsi="Arial"/>
          <w:sz w:val="18"/>
          <w:szCs w:val="18"/>
          <w:color w:val="auto"/>
        </w:rPr>
        <w:t>. This Agreement shall be governed by and construed in accordance with the laws of the State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6" w:lineRule="exact"/>
        <w:rPr>
          <w:rFonts w:ascii="Arial" w:cs="Arial" w:eastAsia="Arial" w:hAnsi="Arial"/>
          <w:sz w:val="18"/>
          <w:szCs w:val="18"/>
          <w:color w:val="010000"/>
        </w:rPr>
      </w:pPr>
    </w:p>
    <w:p>
      <w:pPr>
        <w:ind w:left="4" w:right="520" w:hanging="4"/>
        <w:spacing w:after="0" w:line="342" w:lineRule="auto"/>
        <w:tabs>
          <w:tab w:leader="none" w:pos="319" w:val="left"/>
        </w:tabs>
        <w:numPr>
          <w:ilvl w:val="0"/>
          <w:numId w:val="43"/>
        </w:numPr>
        <w:rPr>
          <w:rFonts w:ascii="Arial" w:cs="Arial" w:eastAsia="Arial" w:hAnsi="Arial"/>
          <w:sz w:val="16"/>
          <w:szCs w:val="16"/>
          <w:color w:val="010000"/>
        </w:rPr>
      </w:pPr>
      <w:r>
        <w:rPr>
          <w:rFonts w:ascii="Arial" w:cs="Arial" w:eastAsia="Arial" w:hAnsi="Arial"/>
          <w:sz w:val="16"/>
          <w:szCs w:val="16"/>
          <w:b w:val="1"/>
          <w:bCs w:val="1"/>
          <w:i w:val="1"/>
          <w:iCs w:val="1"/>
          <w:color w:val="auto"/>
        </w:rPr>
        <w:t>Counterparts</w:t>
      </w:r>
      <w:r>
        <w:rPr>
          <w:rFonts w:ascii="Arial" w:cs="Arial" w:eastAsia="Arial" w:hAnsi="Arial"/>
          <w:sz w:val="16"/>
          <w:szCs w:val="16"/>
          <w:color w:val="auto"/>
        </w:rPr>
        <w:t>. This Agreement may be executed in one or more counterparts and, if executed in more than one counterpart, the executed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counterparts shall each be deemed to be an original and all such counterparts shall together constitute one and the same instrument.</w:t>
      </w:r>
    </w:p>
    <w:p>
      <w:pPr>
        <w:spacing w:after="0" w:line="123" w:lineRule="exact"/>
        <w:rPr>
          <w:rFonts w:ascii="Arial" w:cs="Arial" w:eastAsia="Arial" w:hAnsi="Arial"/>
          <w:sz w:val="16"/>
          <w:szCs w:val="16"/>
          <w:color w:val="010000"/>
        </w:rPr>
      </w:pPr>
    </w:p>
    <w:p>
      <w:pPr>
        <w:ind w:left="4" w:hanging="4"/>
        <w:spacing w:after="0" w:line="271" w:lineRule="auto"/>
        <w:tabs>
          <w:tab w:leader="none" w:pos="319" w:val="left"/>
        </w:tabs>
        <w:numPr>
          <w:ilvl w:val="0"/>
          <w:numId w:val="43"/>
        </w:numPr>
        <w:rPr>
          <w:rFonts w:ascii="Arial" w:cs="Arial" w:eastAsia="Arial" w:hAnsi="Arial"/>
          <w:sz w:val="17"/>
          <w:szCs w:val="17"/>
          <w:color w:val="010000"/>
        </w:rPr>
      </w:pPr>
      <w:r>
        <w:rPr>
          <w:rFonts w:ascii="Arial" w:cs="Arial" w:eastAsia="Arial" w:hAnsi="Arial"/>
          <w:sz w:val="17"/>
          <w:szCs w:val="17"/>
          <w:b w:val="1"/>
          <w:bCs w:val="1"/>
          <w:i w:val="1"/>
          <w:iCs w:val="1"/>
          <w:color w:val="auto"/>
        </w:rPr>
        <w:t xml:space="preserve">General Provisions. </w:t>
      </w:r>
      <w:r>
        <w:rPr>
          <w:rFonts w:ascii="Arial" w:cs="Arial" w:eastAsia="Arial" w:hAnsi="Arial"/>
          <w:sz w:val="17"/>
          <w:szCs w:val="17"/>
          <w:color w:val="auto"/>
        </w:rPr>
        <w:t>This Agreement constitutes the entire agreement of the parties to this Agreement and supersedes all prior written or oral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5" w:lineRule="exact"/>
        <w:rPr>
          <w:sz w:val="20"/>
          <w:szCs w:val="20"/>
          <w:color w:val="auto"/>
        </w:rPr>
      </w:pPr>
    </w:p>
    <w:p>
      <w:pPr>
        <w:ind w:left="4104"/>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ind w:right="536"/>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4"/>
          </w:cols>
          <w:pgMar w:left="896" w:top="881" w:right="339" w:bottom="1440" w:gutter="0" w:footer="0" w:header="0"/>
        </w:sectPr>
      </w:pPr>
    </w:p>
    <w:bookmarkStart w:id="33" w:name="page34"/>
    <w:bookmarkEnd w:id="33"/>
    <w:p>
      <w:pPr>
        <w:ind w:right="480" w:firstLine="648"/>
        <w:spacing w:after="0" w:line="277" w:lineRule="auto"/>
        <w:rPr>
          <w:sz w:val="20"/>
          <w:szCs w:val="20"/>
          <w:color w:val="auto"/>
        </w:rPr>
      </w:pPr>
      <w:r>
        <w:rPr>
          <w:rFonts w:ascii="Arial" w:cs="Arial" w:eastAsia="Arial" w:hAnsi="Arial"/>
          <w:sz w:val="18"/>
          <w:szCs w:val="18"/>
          <w:color w:val="auto"/>
        </w:rPr>
        <w:t>Please sign and return to the Company the enclosed duplicates of this Agreement whereupon this Agreement will become a binding agreement between the Company and the several Underwriters in accordance with its terms.</w:t>
      </w:r>
    </w:p>
    <w:p>
      <w:pPr>
        <w:spacing w:after="0" w:line="17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tbl>
      <w:tblPr>
        <w:tblLayout w:type="fixed"/>
        <w:tblInd w:w="644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jc w:val="right"/>
              <w:ind w:right="3230"/>
              <w:spacing w:after="0"/>
              <w:rPr>
                <w:sz w:val="20"/>
                <w:szCs w:val="20"/>
                <w:color w:val="auto"/>
              </w:rPr>
            </w:pPr>
            <w:r>
              <w:rPr>
                <w:rFonts w:ascii="Arial" w:cs="Arial" w:eastAsia="Arial" w:hAnsi="Arial"/>
                <w:sz w:val="18"/>
                <w:szCs w:val="18"/>
                <w:color w:val="auto"/>
                <w:w w:val="94"/>
              </w:rPr>
              <w:t>/s/ Doug Baker</w:t>
            </w:r>
          </w:p>
        </w:tc>
      </w:tr>
      <w:tr>
        <w:trPr>
          <w:trHeight w:val="223"/>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9"/>
                <w:szCs w:val="19"/>
                <w:color w:val="auto"/>
              </w:rPr>
            </w:pPr>
          </w:p>
        </w:tc>
        <w:tc>
          <w:tcPr>
            <w:tcW w:w="4400" w:type="dxa"/>
            <w:vAlign w:val="bottom"/>
            <w:tcBorders>
              <w:top w:val="single" w:sz="8" w:color="auto"/>
              <w:bottom w:val="single" w:sz="8" w:color="auto"/>
            </w:tcBorders>
          </w:tcPr>
          <w:p>
            <w:pPr>
              <w:jc w:val="right"/>
              <w:ind w:right="3230"/>
              <w:spacing w:after="0"/>
              <w:rPr>
                <w:sz w:val="20"/>
                <w:szCs w:val="20"/>
                <w:color w:val="auto"/>
              </w:rPr>
            </w:pPr>
            <w:r>
              <w:rPr>
                <w:rFonts w:ascii="Arial" w:cs="Arial" w:eastAsia="Arial" w:hAnsi="Arial"/>
                <w:sz w:val="18"/>
                <w:szCs w:val="18"/>
                <w:color w:val="auto"/>
              </w:rPr>
              <w:t>Doug Baker</w:t>
            </w:r>
          </w:p>
        </w:tc>
      </w:tr>
      <w:tr>
        <w:trPr>
          <w:trHeight w:val="223"/>
        </w:trPr>
        <w:tc>
          <w:tcPr>
            <w:tcW w:w="520" w:type="dxa"/>
            <w:vAlign w:val="bottom"/>
          </w:tcPr>
          <w:p>
            <w:pPr>
              <w:spacing w:after="0" w:line="203" w:lineRule="exact"/>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4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themselves and the other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ILLIAM</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LAIR</w:t>
      </w:r>
      <w:r>
        <w:rPr>
          <w:rFonts w:ascii="Arial" w:cs="Arial" w:eastAsia="Arial" w:hAnsi="Arial"/>
          <w:sz w:val="18"/>
          <w:szCs w:val="18"/>
          <w:b w:val="1"/>
          <w:bCs w:val="1"/>
          <w:color w:val="auto"/>
        </w:rPr>
        <w:t xml:space="preserve"> &amp;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 Maletzky</w:t>
            </w:r>
          </w:p>
        </w:tc>
      </w:tr>
      <w:tr>
        <w:trPr>
          <w:trHeight w:val="22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Steve Maletzky</w:t>
            </w:r>
          </w:p>
        </w:tc>
      </w:tr>
      <w:tr>
        <w:trPr>
          <w:trHeight w:val="223"/>
        </w:trPr>
        <w:tc>
          <w:tcPr>
            <w:tcW w:w="580" w:type="dxa"/>
            <w:vAlign w:val="bottom"/>
          </w:tcPr>
          <w:p>
            <w:pPr>
              <w:spacing w:after="0" w:line="203" w:lineRule="exact"/>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Partner, Equity Capital Markets</w:t>
            </w:r>
          </w:p>
        </w:tc>
      </w:tr>
    </w:tbl>
    <w:p>
      <w:pPr>
        <w:spacing w:after="0" w:line="200" w:lineRule="exact"/>
        <w:rPr>
          <w:sz w:val="20"/>
          <w:szCs w:val="20"/>
          <w:color w:val="auto"/>
        </w:rPr>
      </w:pPr>
    </w:p>
    <w:p>
      <w:pPr>
        <w:spacing w:after="0" w:line="218"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35" w:name="page36"/>
    <w:bookmarkEnd w:id="35"/>
    <w:p>
      <w:pPr>
        <w:jc w:val="right"/>
        <w:ind w:right="334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Riley FBR, Inc.</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18097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Number of</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Firm</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Shares(1)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1,292,340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246,160</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1,538,500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43180</wp:posOffset>
            </wp:positionV>
            <wp:extent cx="7200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0" w:space="720"/>
            <w:col w:w="1000"/>
          </w:cols>
          <w:pgMar w:left="240" w:top="877" w:right="339" w:bottom="1440" w:gutter="0" w:footer="0" w:header="0"/>
        </w:sectPr>
      </w:pPr>
    </w:p>
    <w:p>
      <w:pPr>
        <w:spacing w:after="0" w:line="137" w:lineRule="exact"/>
        <w:rPr>
          <w:sz w:val="20"/>
          <w:szCs w:val="20"/>
          <w:color w:val="auto"/>
        </w:rPr>
      </w:pPr>
    </w:p>
    <w:p>
      <w:pPr>
        <w:ind w:left="460" w:right="38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Underwriters may purchase up to an additional 230,775 Option Shares, to the extent the option described in Section 3(b) of the Agreement is exercised, in the proportions and in the manner described in the Agreement.</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Sh.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type w:val="continuous"/>
        </w:sectPr>
      </w:pPr>
    </w:p>
    <w:bookmarkStart w:id="36" w:name="page37"/>
    <w:bookmarkEnd w:id="36"/>
    <w:p>
      <w:pPr>
        <w:jc w:val="center"/>
        <w:ind w:right="-888"/>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right"/>
        <w:ind w:right="2059"/>
        <w:spacing w:after="0"/>
        <w:rPr>
          <w:sz w:val="20"/>
          <w:szCs w:val="20"/>
          <w:color w:val="auto"/>
        </w:rPr>
      </w:pPr>
      <w:r>
        <w:rPr>
          <w:rFonts w:ascii="Arial" w:cs="Arial" w:eastAsia="Arial" w:hAnsi="Arial"/>
          <w:sz w:val="18"/>
          <w:szCs w:val="18"/>
          <w:b w:val="1"/>
          <w:bCs w:val="1"/>
          <w:color w:val="auto"/>
        </w:rPr>
        <w:t>List of Individuals and Entities Executing Lock-Up Agreements</w:t>
      </w:r>
    </w:p>
    <w:p>
      <w:pPr>
        <w:spacing w:after="0" w:line="229" w:lineRule="exact"/>
        <w:rPr>
          <w:sz w:val="20"/>
          <w:szCs w:val="20"/>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William J. Febbo</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James P. Lang</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Ellen O’Connor Vos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Gus D. Halas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Patrick D. Spangler</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Terence J. Hamilton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Douglas P. Baker</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Miriam J. Paramore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Stephen L. Silvestro</w:t>
      </w:r>
    </w:p>
    <w:p>
      <w:pPr>
        <w:spacing w:after="0" w:line="200" w:lineRule="exact"/>
        <w:rPr>
          <w:sz w:val="20"/>
          <w:szCs w:val="20"/>
          <w:color w:val="auto"/>
        </w:rPr>
      </w:pPr>
    </w:p>
    <w:p>
      <w:pPr>
        <w:spacing w:after="0" w:line="220" w:lineRule="exact"/>
        <w:rPr>
          <w:sz w:val="20"/>
          <w:szCs w:val="20"/>
          <w:color w:val="auto"/>
        </w:rPr>
      </w:pPr>
    </w:p>
    <w:p>
      <w:pPr>
        <w:ind w:left="5148"/>
        <w:spacing w:after="0"/>
        <w:rPr>
          <w:sz w:val="20"/>
          <w:szCs w:val="20"/>
          <w:color w:val="auto"/>
        </w:rPr>
      </w:pPr>
      <w:r>
        <w:rPr>
          <w:rFonts w:ascii="Arial" w:cs="Arial" w:eastAsia="Arial" w:hAnsi="Arial"/>
          <w:sz w:val="22"/>
          <w:szCs w:val="22"/>
          <w:color w:val="auto"/>
        </w:rPr>
        <w:t>Sh.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87"/>
          </w:cols>
          <w:pgMar w:left="572" w:top="877" w:right="1440" w:bottom="1440" w:gutter="0" w:footer="0" w:header="0"/>
        </w:sectPr>
      </w:pPr>
    </w:p>
    <w:bookmarkStart w:id="37" w:name="page38"/>
    <w:bookmarkEnd w:id="37"/>
    <w:p>
      <w:pPr>
        <w:jc w:val="center"/>
        <w:ind w:right="-122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right"/>
        <w:ind w:right="2759"/>
        <w:spacing w:after="0"/>
        <w:rPr>
          <w:sz w:val="20"/>
          <w:szCs w:val="20"/>
          <w:color w:val="auto"/>
        </w:rPr>
      </w:pPr>
      <w:r>
        <w:rPr>
          <w:rFonts w:ascii="Arial" w:cs="Arial" w:eastAsia="Arial" w:hAnsi="Arial"/>
          <w:sz w:val="18"/>
          <w:szCs w:val="18"/>
          <w:b w:val="1"/>
          <w:bCs w:val="1"/>
          <w:color w:val="auto"/>
        </w:rPr>
        <w:t>Certain Permitted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38" w:name="page39"/>
    <w:bookmarkEnd w:id="38"/>
    <w:p>
      <w:pPr>
        <w:jc w:val="center"/>
        <w:ind w:right="-120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Firm Shares to be Sold by the Company: 1,538,500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Shares to be sold by the Company: 230,775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$13.000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the Underwriters: $12.155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Sh.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39" w:name="page40"/>
    <w:bookmarkEnd w:id="39"/>
    <w:p>
      <w:pPr>
        <w:jc w:val="center"/>
        <w:ind w:right="-1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 to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Chicago, IL 60606</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OptimizeRx Corporation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letter agreement is delivered to you pursuant to the Underwriting Agreement (the “Underwriting Agreement”) to be entered into by the Company, as issuer, and William Blair &amp; Company, L.L.C. (“William Blair”) and B. Riley FBR, Inc., as Representative (the “Representative”) of the several underwriters named in Schedule I thereto (the “Underwriters”). Upon the terms and subject to the conditions of the Underwriting Agreement, the Underwriters intend to effect a public offering (the “Offering”) of common stock, par value $0.001 per share (the “Common Stock”), of the Company (the “Shares”) pursuant to a Registration Statement on Form S-3.</w:t>
      </w:r>
    </w:p>
    <w:p>
      <w:pPr>
        <w:spacing w:after="0" w:line="18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undersigned recognizes that it is in the best financial interests of the undersigned, as a stockholder, that the Company completes the proposed Offering. For purposes of this letter agreement, the term “Company Securities” shall mean stock, options, warrants or other securities of the Company.</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undersigned further recognizes that the Company Securities held by the undersigned are, or may be, subject to certain restrictions on transferability, including those imposed by United States federal securities laws. Notwithstanding these restrictions, the undersigned has agreed to enter into this letter agreement to further assure the Underwriters that the Company Securities of the undersigned, now held or hereafter acquired, will not enter the public market at a time that might impair the Offering.</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877" w:right="359" w:bottom="1440" w:gutter="0" w:footer="0" w:header="0"/>
        </w:sectPr>
      </w:pPr>
    </w:p>
    <w:bookmarkStart w:id="40" w:name="page41"/>
    <w:bookmarkEnd w:id="40"/>
    <w:p>
      <w:pPr>
        <w:ind w:firstLine="648"/>
        <w:spacing w:after="0" w:line="267" w:lineRule="auto"/>
        <w:rPr>
          <w:sz w:val="20"/>
          <w:szCs w:val="20"/>
          <w:color w:val="auto"/>
        </w:rPr>
      </w:pPr>
      <w:r>
        <w:rPr>
          <w:rFonts w:ascii="Arial" w:cs="Arial" w:eastAsia="Arial" w:hAnsi="Arial"/>
          <w:sz w:val="17"/>
          <w:szCs w:val="17"/>
          <w:color w:val="auto"/>
        </w:rPr>
        <w:t>Therefore, as an inducement to the Underwriters to execute the Underwriting Agreement, the undersigned hereby acknowledges and agrees that the undersigned will not (i) offer, sell, contract to sell, announce the intention to sell, pledge, grant any option to purchase or otherwise dispose of (collectively, a “Disposition”) any Company Securities, or any securities convertible into or exercisable or exchangeable for, or any rights to purchase or otherwise acquire, any Company Securities held by the undersigned or acquired by the undersigned after the date hereof (collectively, “Other Securities”), or that may be deemed to be beneficially owned by the undersigned (collectively, the “Lock-Up Shares”), pursuant to the Rules and Regulations promulgated under the Securities Act of 1933, as amended (the “Act”), and the Securities Exchange Act of 1934, as amended (the “Exchange Act”), for a period commencing on the date hereof and ending 90 days after the date of the Company’s final prospectus supplement used to sell the Shares in the Offering pursuant to the Underwriting Agreement is first filed pursuant to Rule 424(b) under the Act (the “Public Offering Date”), inclusive (the “Lock-Up Period”), without the prior written consent of William Blair; (ii) exercise or seek to exercise or effectuate in any manner any rights of any nature that the undersigned has or may have hereafter to require the Company to register under the Act the undersigned’s sale, transfer or other disposition of any of the Lock-Up Shares or other securities of the Company held by the undersigned, or to otherwise participate as a selling securityholder in any manner in any registration effected by the Company under the Act during the Lock-Up Period; or (iii) publicly disclose the intention to do any of the foregoing (except as may be required by applicable law). The foregoing restrictions are expressly agreed to preclude the undersigned from engaging in any hedging, collar (whether or not for any consideration), swap or other transaction that is designed to or reasonably expected to lead to or result in a Disposition of Lock-Up Shares during the Lock-Up Period, even if such Lock-Up Shares would be disposed of by someone other than such holder. Such prohibited hedging or other transactions would include any short sale or any purchase, sale or grant of any right (including any put or call option or reversal or cancellation thereof) with respect to any Lock-Up Shares or with respect to any security (other than a broad-based market basket or index) that includes, relates to or derives any significant part of its value from the Lock-Up Shares.</w:t>
      </w:r>
    </w:p>
    <w:p>
      <w:pPr>
        <w:spacing w:after="0" w:line="19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Notwithstanding the agreement not to make any Disposition during the Lock-Up Period, the Underwriters and the undersigned have agreed that the foregoing restrictions shall not apply to:</w:t>
      </w:r>
    </w:p>
    <w:p>
      <w:pPr>
        <w:spacing w:after="0" w:line="170" w:lineRule="exact"/>
        <w:rPr>
          <w:sz w:val="20"/>
          <w:szCs w:val="20"/>
          <w:color w:val="auto"/>
        </w:rPr>
      </w:pPr>
    </w:p>
    <w:p>
      <w:pPr>
        <w:ind w:left="1300" w:right="140" w:hanging="644"/>
        <w:spacing w:after="0" w:line="258"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grant to or exercise by the undersigned of any option or warrant to acquire any shares of Common Stock or options to purchase shares of Common Stock, pursuant to any stock option, stock bonus or other stock plan or arrangement;</w:t>
      </w:r>
    </w:p>
    <w:p>
      <w:pPr>
        <w:spacing w:after="0" w:line="1" w:lineRule="exact"/>
        <w:rPr>
          <w:rFonts w:ascii="Arial" w:cs="Arial" w:eastAsia="Arial" w:hAnsi="Arial"/>
          <w:sz w:val="18"/>
          <w:szCs w:val="18"/>
          <w:color w:val="auto"/>
        </w:rPr>
      </w:pPr>
    </w:p>
    <w:p>
      <w:pPr>
        <w:ind w:left="1300" w:right="700" w:hanging="644"/>
        <w:spacing w:after="0" w:line="250"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transfer of Lock-Up Shares to the “immediate family” of the undersigned or to any trust for the direct or indirect benefit of the undersigned or the “immediate family” of the undersigned;</w:t>
      </w: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bona fide gift;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transfer of Lock-Up Shares by will or intestate succession;</w:t>
      </w:r>
    </w:p>
    <w:p>
      <w:pPr>
        <w:spacing w:after="0" w:line="9" w:lineRule="exact"/>
        <w:rPr>
          <w:rFonts w:ascii="Arial" w:cs="Arial" w:eastAsia="Arial" w:hAnsi="Arial"/>
          <w:sz w:val="18"/>
          <w:szCs w:val="18"/>
          <w:color w:val="auto"/>
        </w:rPr>
      </w:pPr>
    </w:p>
    <w:p>
      <w:pPr>
        <w:jc w:val="both"/>
        <w:ind w:left="1300" w:right="420" w:hanging="644"/>
        <w:spacing w:after="0" w:line="281"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1" w:lineRule="exact"/>
        <w:rPr>
          <w:rFonts w:ascii="Arial" w:cs="Arial" w:eastAsia="Arial" w:hAnsi="Arial"/>
          <w:sz w:val="16"/>
          <w:szCs w:val="16"/>
          <w:color w:val="auto"/>
        </w:rPr>
      </w:pPr>
    </w:p>
    <w:p>
      <w:pPr>
        <w:ind w:left="1300" w:right="360" w:hanging="644"/>
        <w:spacing w:after="0" w:line="250"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transfer to the undersigned’s affiliates (as defined in Rule 405 promulgated under the Act) or to any investment fund or other entity controlled or managed by the undersigned;</w:t>
      </w: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transfer pursuant to a qualified domestic relations order or in connection with a divorce settlement;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1" w:name="page42"/>
    <w:bookmarkEnd w:id="41"/>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Company Securities acquired in open market transactions after completion of the Offering;</w:t>
      </w:r>
    </w:p>
    <w:p>
      <w:pPr>
        <w:spacing w:after="0" w:line="23" w:lineRule="exact"/>
        <w:rPr>
          <w:rFonts w:ascii="Arial" w:cs="Arial" w:eastAsia="Arial" w:hAnsi="Arial"/>
          <w:sz w:val="18"/>
          <w:szCs w:val="18"/>
          <w:color w:val="auto"/>
        </w:rPr>
      </w:pPr>
    </w:p>
    <w:p>
      <w:pPr>
        <w:ind w:left="1300" w:right="900" w:hanging="644"/>
        <w:spacing w:after="0" w:line="265"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transfer to a partnership, limited liability company or other entity of which the undersigned and the immediate family of the undersigned are the legal and beneficial owner of all of the outstanding equity securities or similar interests;</w:t>
      </w:r>
    </w:p>
    <w:p>
      <w:pPr>
        <w:ind w:left="1300" w:right="80" w:hanging="644"/>
        <w:spacing w:after="0" w:line="250"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transfer to a nominee or custodian of a person or entity to whom a disposition or transfer would be permissible under (2), (3), (4) or (9) above;</w:t>
      </w:r>
    </w:p>
    <w:p>
      <w:pPr>
        <w:ind w:left="1300" w:right="60" w:hanging="644"/>
        <w:spacing w:after="0" w:line="250"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transfer to the Company from an employee of or service provider of the Company upon death, disability or termination of employment, in each case, of such employee or service provider;</w:t>
      </w:r>
    </w:p>
    <w:p>
      <w:pPr>
        <w:ind w:left="1300" w:right="20" w:hanging="644"/>
        <w:spacing w:after="0" w:line="281"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transfer (A)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or (B) necessary (including transfers on the open market) to generate such amount of cash needed for the payment of taxes, including estimated taxes, due as a result of the vesting or settlement of restricted stock units whether by means of a “net settlement” or otherwise, provided that any such transfers described in this subclause (B) may only take place if at least 45 days have elapsed since the Public Offering Date (and, for the sake of clarity, no transfers on the open market are permitted pursuant to this subclause (B) if less than 45 days have elapsed since the Public Offering Date), and in all such cases described in subclauses (A) and (B), provided that any such shares of Common Stock received upon such exercise, vesting or settlement shall be subject to the terms of this letter agreement; or</w:t>
      </w:r>
    </w:p>
    <w:p>
      <w:pPr>
        <w:spacing w:after="0" w:line="6" w:lineRule="exact"/>
        <w:rPr>
          <w:rFonts w:ascii="Arial" w:cs="Arial" w:eastAsia="Arial" w:hAnsi="Arial"/>
          <w:sz w:val="16"/>
          <w:szCs w:val="16"/>
          <w:color w:val="auto"/>
        </w:rPr>
      </w:pPr>
    </w:p>
    <w:p>
      <w:pPr>
        <w:ind w:left="1300" w:right="340" w:hanging="644"/>
        <w:spacing w:after="0" w:line="273"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transfers of shares of Common Stock or Other Securities in connection with the conversion, reclassification, exchange or swap of any outstanding preferred stock, other classes of Common Stock or Other Securities into shares of one or more series or classes of Common Stock or Other Securities, provided that any such shares of Common Stock or Other Securities received upon such conversion, reclassification, exchange or swap shall be subject to the terms of this letter agreement;</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provided that, in the case of any transfer, gift or other disposition pursuant to (2), (3), (4), (6), (7), (9) or (10), the transferee, trust, donee or other recipient agrees to be bound in writing by the terms of this letter agreement prior to such transfer and no filing by any party (donor, donee, transferor or transferee) under the Exchange Act shall be required or shall be voluntarily made in connection with such transfer (other than required filings under Section 16(a) and Section 13(d) or 13(g) of the Exchange Act and any filings made after the expiration of the Lock-Up Period). For purposes of this letter agreement, “immediate family” shall mean any relationship by blood, marriage or adoption, nor more remote than first cousin.</w:t>
      </w:r>
    </w:p>
    <w:p>
      <w:pPr>
        <w:spacing w:after="0" w:line="173"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Furthermore, no provision in this letter agreement shall be deemed to restrict or prohibit the transfer of Lock-Up Shares upon the completion of a bona fide third-party tender offer, merger, consolidation or other similar transaction made to all holders of the Company Securities involving a change of control of the Company, provided that (1) the per-share consideration for the Company Securities transferred as described above shall be greater than the public offering price per share in the Offering, (2) all Company Securities subject to this letter agreement that are not so transferred, sold, tendered or otherwise disposed of remain subject to this letter agreement, and (3) it shall be a condition of transfer, sale, tender or other disposition that if such tender offer or other transaction is not completed, any Company Securities subject to this letter agreement shall remain subject to the restrictions herein.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firstLine="648"/>
        <w:spacing w:after="0" w:line="255" w:lineRule="auto"/>
        <w:rPr>
          <w:sz w:val="20"/>
          <w:szCs w:val="20"/>
          <w:color w:val="auto"/>
        </w:rPr>
      </w:pPr>
      <w:r>
        <w:rPr>
          <w:rFonts w:ascii="Arial" w:cs="Arial" w:eastAsia="Arial" w:hAnsi="Arial"/>
          <w:sz w:val="18"/>
          <w:szCs w:val="18"/>
          <w:color w:val="auto"/>
        </w:rPr>
        <w:t>Notwithstanding anything herein to the contrary, nothing herein shall prevent the undersigned from establishing a 10b5-1 trading plan that complies with Rule 10b5-1 under the Exchange Act (“10b5-1 trading plan”) or from amending an existing 10b5-1 trading plan, so long as there are no sales of Lock-Up Shares under such plans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restrictions imposed by this letter agreement shall be equally applicable to any issuer-directed shares of Common Stock the undersigned may purchase in the Offering.</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It is understood that this letter agreement shall automatically terminate, and the undersigned shall be released from its obligations hereunder, upon the earliest to occur, if any, of (i) prior to the execution of the Underwriting Agreement, the Company advises the Representative in writing that it has determined not to proceed with the Offering, (ii) the Underwriting Agreement (other than the provisions thereof that survive termination) is executed but is terminated prior to payment for and delivery of the Shares, or (iii) August 31, 2019, in the event that the Underwriting Agreement has not been executed by such date.</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Lock-Up Shares if such transfer would constitute a violation or breach of this letter agreement. This letter agreement shall be binding on the undersigned and the respective successors, heirs, personal representatives and assigns of the undersigned. Capitalized terms used but not defined herein have the respective meanings assigned to such terms in the Underwriting Agreement.</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Offering in reliance upon this letter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56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Printed Name and Title of Person Signing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signing as custodian, trustee, or on behalf of an entity</w:t>
      </w:r>
      <w:r>
        <w:rPr>
          <w:rFonts w:ascii="Arial" w:cs="Arial" w:eastAsia="Arial" w:hAnsi="Arial"/>
          <w:sz w:val="16"/>
          <w:szCs w:val="16"/>
          <w:color w:val="auto"/>
        </w:rPr>
        <w:t>)</w:t>
      </w:r>
    </w:p>
    <w:p>
      <w:pPr>
        <w:spacing w:after="0" w:line="200" w:lineRule="exact"/>
        <w:rPr>
          <w:sz w:val="20"/>
          <w:szCs w:val="20"/>
          <w:color w:val="auto"/>
        </w:rPr>
      </w:pPr>
    </w:p>
    <w:p>
      <w:pPr>
        <w:spacing w:after="0" w:line="25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0"/>
          </w:cols>
          <w:pgMar w:left="1440" w:top="909" w:right="6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OptimizeRx Corp.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You have requested our opinion, as counsel to OptimizeRx Corporation, a Nevada corporation (the “Company”), with respect to certain matters in connection with the offering of up to 1,538,500 shares (the “Shares”) to be sold by Company, and 230,775 shares that may be sold pursuant to the exercise of the underwriters' option to purchase additional shares (the "Option Shares") pursuant to a registration statement (Registration Statement No. 333- 333-228357) (the “Registration Statement”), filed with the Securities and Exchange Commission (the “Commission”) under the Securities Act of 1933, as amended (the “Act”), the prospectus included within the Registration Statement (the “Base Prospectus”), and the prospectus supplement, dated June 5, 2019, and filed with the Commission pursuant to Rule 424(b) of the Rules and Regulations of the Act (the “Prospectus Supplement”). The Base Prospectus and the Prospectus Supplement are collectively referred to as the “Prospectus.” The Shares and Option Shares are to be sold as described in the Registration Statement and the Prospectus.</w:t>
      </w:r>
    </w:p>
    <w:p>
      <w:pPr>
        <w:spacing w:after="0" w:line="19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connection with this opinion, we have examined and relied upon the Registration Statement, the Prospectus, the Company’s Articles of Incorporation, as amended, the Company’s Amended and Restated Bylaws and the originals or copies certified to our satisfaction of such records, documents, certificates, memoranda and other instruments as in our judgment are necessary or appropriate to enable us to render the opinion expressed below. As to certain factual matters, we have relied upon a certificate of an officer of the Company and have not sought to independently verify such matters.</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opinion herein is expressed solely with respect to the corporate law of the State of Nevada. We express no opinion to the extent that any other laws are applicable to the subject matter hereof and express no opinion and provide no assurance as to compliance with any federal or state securities law, rule or regulation.</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the basis of the foregoing, and in reliance thereon, we are of the opinion that the Shares and the Option Shares have been duly and validly authorized and, when sold and issued in accordance with the Registration Statement and the Prospectus, will be validly issued, fully paid and nonassessable.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ind w:right="-13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reference to our firm under the caption “Legal Matters” in the Prospectus and to the filing of this opinion as an exhibit to a Current Report on Form 8-K to be filed with the Commission for incorporation by reference into the Registration Statement. This opinion is expressed as of the date hereof, and we disclaim any responsibility to advise you of any changes in the facts stated or assumed herein or any changes in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80"/>
      </w:cols>
      <w:pgMar w:left="24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4"/>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lvl w:ilvl="1">
      <w:lvlJc w:val="left"/>
      <w:lvlText w:val="(%2)"/>
      <w:numFmt w:val="lowerLetter"/>
      <w:start w:val="1"/>
    </w:lvl>
  </w:abstractNum>
  <w:abstractNum w:abstractNumId="4">
    <w:nsid w:val="B03E0C6"/>
    <w:multiLevelType w:val="hybridMultilevel"/>
    <w:lvl w:ilvl="0">
      <w:lvlJc w:val="left"/>
      <w:lvlText w:val="(%1)"/>
      <w:numFmt w:val="lowerLetter"/>
      <w:start w:val="3"/>
    </w:lvl>
    <w:lvl w:ilvl="1">
      <w:lvlJc w:val="left"/>
      <w:lvlText w:val="(%2)"/>
      <w:numFmt w:val="lowerRoman"/>
      <w:start w:val="1"/>
    </w:lvl>
  </w:abstractNum>
  <w:abstractNum w:abstractNumId="5">
    <w:nsid w:val="189A769B"/>
    <w:multiLevelType w:val="hybridMultilevel"/>
    <w:lvl w:ilvl="0">
      <w:lvlJc w:val="left"/>
      <w:lvlText w:val="(%1)"/>
      <w:numFmt w:val="lowerLetter"/>
      <w:start w:val="6"/>
    </w:lvl>
  </w:abstractNum>
  <w:abstractNum w:abstractNumId="6">
    <w:nsid w:val="54E49EB4"/>
    <w:multiLevelType w:val="hybridMultilevel"/>
    <w:lvl w:ilvl="0">
      <w:lvlJc w:val="left"/>
      <w:lvlText w:val="(%1)"/>
      <w:numFmt w:val="lowerLetter"/>
      <w:start w:val="8"/>
    </w:lvl>
  </w:abstractNum>
  <w:abstractNum w:abstractNumId="7">
    <w:nsid w:val="71F32454"/>
    <w:multiLevelType w:val="hybridMultilevel"/>
    <w:lvl w:ilvl="0">
      <w:lvlJc w:val="left"/>
      <w:lvlText w:val="%1"/>
      <w:numFmt w:val="upperLetter"/>
      <w:start w:val="1"/>
    </w:lvl>
    <w:lvl w:ilvl="1">
      <w:lvlJc w:val="left"/>
      <w:lvlText w:val="(%2)"/>
      <w:numFmt w:val="lowerLetter"/>
      <w:start w:val="10"/>
    </w:lvl>
  </w:abstractNum>
  <w:abstractNum w:abstractNumId="8">
    <w:nsid w:val="2CA88611"/>
    <w:multiLevelType w:val="hybridMultilevel"/>
    <w:lvl w:ilvl="0">
      <w:lvlJc w:val="left"/>
      <w:lvlText w:val="(%1)"/>
      <w:numFmt w:val="upperLetter"/>
      <w:start w:val="3"/>
    </w:lvl>
    <w:lvl w:ilvl="1">
      <w:lvlJc w:val="left"/>
      <w:lvlText w:val="(%2)"/>
      <w:numFmt w:val="lowerLetter"/>
      <w:start w:val="11"/>
    </w:lvl>
  </w:abstractNum>
  <w:abstractNum w:abstractNumId="9">
    <w:nsid w:val="836C40E"/>
    <w:multiLevelType w:val="hybridMultilevel"/>
    <w:lvl w:ilvl="0">
      <w:lvlJc w:val="left"/>
      <w:lvlText w:val="(%1)"/>
      <w:numFmt w:val="lowerLetter"/>
      <w:start w:val="12"/>
    </w:lvl>
  </w:abstractNum>
  <w:abstractNum w:abstractNumId="10">
    <w:nsid w:val="2901D82"/>
    <w:multiLevelType w:val="hybridMultilevel"/>
    <w:lvl w:ilvl="0">
      <w:lvlJc w:val="left"/>
      <w:lvlText w:val="%1"/>
      <w:numFmt w:val="upperLetter"/>
      <w:start w:val="1"/>
    </w:lvl>
    <w:lvl w:ilvl="1">
      <w:lvlJc w:val="left"/>
      <w:lvlText w:val="(%2)"/>
      <w:numFmt w:val="lowerLetter"/>
      <w:start w:val="14"/>
    </w:lvl>
  </w:abstractNum>
  <w:abstractNum w:abstractNumId="11">
    <w:nsid w:val="3A95F874"/>
    <w:multiLevelType w:val="hybridMultilevel"/>
    <w:lvl w:ilvl="0">
      <w:lvlJc w:val="left"/>
      <w:lvlText w:val="(%1)"/>
      <w:numFmt w:val="upperLetter"/>
      <w:start w:val="2"/>
    </w:lvl>
    <w:lvl w:ilvl="1">
      <w:lvlJc w:val="left"/>
      <w:lvlText w:val="(%2)"/>
      <w:numFmt w:val="lowerLetter"/>
      <w:start w:val="15"/>
    </w:lvl>
  </w:abstractNum>
  <w:abstractNum w:abstractNumId="12">
    <w:nsid w:val="8138641"/>
    <w:multiLevelType w:val="hybridMultilevel"/>
    <w:lvl w:ilvl="0">
      <w:lvlJc w:val="left"/>
      <w:lvlText w:val="(%1)"/>
      <w:numFmt w:val="upperLetter"/>
      <w:start w:val="1"/>
    </w:lvl>
    <w:lvl w:ilvl="1">
      <w:lvlJc w:val="left"/>
      <w:lvlText w:val="%2"/>
      <w:numFmt w:val="lowerLetter"/>
      <w:start w:val="1"/>
    </w:lvl>
  </w:abstractNum>
  <w:abstractNum w:abstractNumId="13">
    <w:nsid w:val="1E7FF521"/>
    <w:multiLevelType w:val="hybridMultilevel"/>
    <w:lvl w:ilvl="0">
      <w:lvlJc w:val="left"/>
      <w:lvlText w:val="(%1)"/>
      <w:numFmt w:val="lowerLetter"/>
      <w:start w:val="16"/>
    </w:lvl>
  </w:abstractNum>
  <w:abstractNum w:abstractNumId="14">
    <w:nsid w:val="7C3DBD3D"/>
    <w:multiLevelType w:val="hybridMultilevel"/>
    <w:lvl w:ilvl="0">
      <w:lvlJc w:val="left"/>
      <w:lvlText w:val="(%1)"/>
      <w:numFmt w:val="lowerLetter"/>
      <w:start w:val="19"/>
    </w:lvl>
  </w:abstractNum>
  <w:abstractNum w:abstractNumId="15">
    <w:nsid w:val="737B8DDC"/>
    <w:multiLevelType w:val="hybridMultilevel"/>
    <w:lvl w:ilvl="0">
      <w:lvlJc w:val="left"/>
      <w:lvlText w:val="(%1)"/>
      <w:numFmt w:val="lowerLetter"/>
      <w:start w:val="22"/>
    </w:lvl>
  </w:abstractNum>
  <w:abstractNum w:abstractNumId="16">
    <w:nsid w:val="6CEAF087"/>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17">
    <w:nsid w:val="22221A70"/>
    <w:multiLevelType w:val="hybridMultilevel"/>
    <w:lvl w:ilvl="0">
      <w:lvlJc w:val="left"/>
      <w:lvlText w:val="(%1)"/>
      <w:numFmt w:val="lowerLetter"/>
      <w:start w:val="28"/>
    </w:lvl>
  </w:abstractNum>
  <w:abstractNum w:abstractNumId="18">
    <w:nsid w:val="4516DDE9"/>
    <w:multiLevelType w:val="hybridMultilevel"/>
    <w:lvl w:ilvl="0">
      <w:lvlJc w:val="left"/>
      <w:lvlText w:val="%1"/>
      <w:numFmt w:val="lowerLetter"/>
      <w:start w:val="1"/>
    </w:lvl>
    <w:lvl w:ilvl="1">
      <w:lvlJc w:val="left"/>
      <w:lvlText w:val="(%2)"/>
      <w:numFmt w:val="lowerLetter"/>
      <w:start w:val="30"/>
    </w:lvl>
  </w:abstractNum>
  <w:abstractNum w:abstractNumId="19">
    <w:nsid w:val="3006C83E"/>
    <w:multiLevelType w:val="hybridMultilevel"/>
    <w:lvl w:ilvl="0">
      <w:lvlJc w:val="left"/>
      <w:lvlText w:val="(%1)"/>
      <w:numFmt w:val="lowerLetter"/>
      <w:start w:val="13"/>
    </w:lvl>
    <w:lvl w:ilvl="1">
      <w:lvlJc w:val="left"/>
      <w:lvlText w:val="(%2)"/>
      <w:numFmt w:val="lowerLetter"/>
      <w:start w:val="31"/>
    </w:lvl>
  </w:abstractNum>
  <w:abstractNum w:abstractNumId="20">
    <w:nsid w:val="614FD4A1"/>
    <w:multiLevelType w:val="hybridMultilevel"/>
    <w:lvl w:ilvl="0">
      <w:lvlJc w:val="left"/>
      <w:lvlText w:val="(%1)"/>
      <w:numFmt w:val="lowerLetter"/>
      <w:start w:val="33"/>
    </w:lvl>
  </w:abstractNum>
  <w:abstractNum w:abstractNumId="21">
    <w:nsid w:val="419AC241"/>
    <w:multiLevelType w:val="hybridMultilevel"/>
    <w:lvl w:ilvl="0">
      <w:lvlJc w:val="left"/>
      <w:lvlText w:val="%1"/>
      <w:numFmt w:val="decimal"/>
      <w:start w:val="1"/>
    </w:lvl>
    <w:lvl w:ilvl="1">
      <w:lvlJc w:val="left"/>
      <w:lvlText w:val="(%2)"/>
      <w:numFmt w:val="lowerLetter"/>
      <w:start w:val="38"/>
    </w:lvl>
  </w:abstractNum>
  <w:abstractNum w:abstractNumId="22">
    <w:nsid w:val="5577F8E1"/>
    <w:multiLevelType w:val="hybridMultilevel"/>
    <w:lvl w:ilvl="0">
      <w:lvlJc w:val="left"/>
      <w:lvlText w:val="%1."/>
      <w:numFmt w:val="decimal"/>
      <w:start w:val="3"/>
    </w:lvl>
    <w:lvl w:ilvl="1">
      <w:lvlJc w:val="left"/>
      <w:lvlText w:val="(%2)"/>
      <w:numFmt w:val="lowerLetter"/>
      <w:start w:val="1"/>
    </w:lvl>
  </w:abstractNum>
  <w:abstractNum w:abstractNumId="23">
    <w:nsid w:val="440BADF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
    <w:nsid w:val="507236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5">
    <w:nsid w:val="3804823E"/>
    <w:multiLevelType w:val="hybridMultilevel"/>
    <w:lvl w:ilvl="0">
      <w:lvlJc w:val="left"/>
      <w:lvlText w:val="(%1)"/>
      <w:numFmt w:val="lowerLetter"/>
      <w:start w:val="2"/>
    </w:lvl>
    <w:lvl w:ilvl="1">
      <w:lvlJc w:val="left"/>
      <w:lvlText w:val="(%2)"/>
      <w:numFmt w:val="lowerLetter"/>
      <w:start w:val="9"/>
    </w:lvl>
  </w:abstractNum>
  <w:abstractNum w:abstractNumId="26">
    <w:nsid w:val="77465F01"/>
    <w:multiLevelType w:val="hybridMultilevel"/>
    <w:lvl w:ilvl="0">
      <w:lvlJc w:val="left"/>
      <w:lvlText w:val="%1"/>
      <w:numFmt w:val="lowerLetter"/>
      <w:start w:val="1"/>
    </w:lvl>
    <w:lvl w:ilvl="1">
      <w:lvlJc w:val="left"/>
      <w:lvlText w:val="(%2)"/>
      <w:numFmt w:val="lowerLetter"/>
      <w:start w:val="35"/>
    </w:lvl>
  </w:abstractNum>
  <w:abstractNum w:abstractNumId="27">
    <w:nsid w:val="7724C67E"/>
    <w:multiLevelType w:val="hybridMultilevel"/>
    <w:lvl w:ilvl="0">
      <w:lvlJc w:val="left"/>
      <w:lvlText w:val="(%1)"/>
      <w:numFmt w:val="lowerLetter"/>
      <w:start w:val="4"/>
    </w:lvl>
    <w:lvl w:ilvl="1">
      <w:lvlJc w:val="left"/>
      <w:lvlText w:val="%2"/>
      <w:numFmt w:val="lowerLetter"/>
      <w:start w:val="1"/>
    </w:lvl>
  </w:abstractNum>
  <w:abstractNum w:abstractNumId="28">
    <w:nsid w:val="5C482A97"/>
    <w:multiLevelType w:val="hybridMultilevel"/>
    <w:lvl w:ilvl="0">
      <w:lvlJc w:val="left"/>
      <w:lvlText w:val="(%1)"/>
      <w:numFmt w:val="lowerLetter"/>
      <w:start w:val="7"/>
    </w:lvl>
  </w:abstractNum>
  <w:abstractNum w:abstractNumId="29">
    <w:nsid w:val="2463B9EA"/>
    <w:multiLevelType w:val="hybridMultilevel"/>
    <w:lvl w:ilvl="0">
      <w:lvlJc w:val="left"/>
      <w:lvlText w:val="%1"/>
      <w:numFmt w:val="lowerLetter"/>
      <w:start w:val="1"/>
    </w:lvl>
    <w:lvl w:ilvl="1">
      <w:lvlJc w:val="left"/>
      <w:lvlText w:val="(%2)"/>
      <w:numFmt w:val="lowerLetter"/>
      <w:start w:val="9"/>
    </w:lvl>
  </w:abstractNum>
  <w:abstractNum w:abstractNumId="30">
    <w:nsid w:val="5E884ADC"/>
    <w:multiLevelType w:val="hybridMultilevel"/>
    <w:lvl w:ilvl="0">
      <w:lvlJc w:val="left"/>
      <w:lvlText w:val="(%1)"/>
      <w:numFmt w:val="lowerLetter"/>
      <w:start w:val="9"/>
    </w:lvl>
    <w:lvl w:ilvl="1">
      <w:lvlJc w:val="left"/>
      <w:lvlText w:val="(%2)"/>
      <w:numFmt w:val="lowerLetter"/>
      <w:start w:val="10"/>
    </w:lvl>
  </w:abstractNum>
  <w:abstractNum w:abstractNumId="31">
    <w:nsid w:val="51EAD36B"/>
    <w:multiLevelType w:val="hybridMultilevel"/>
    <w:lvl w:ilvl="0">
      <w:lvlJc w:val="left"/>
      <w:lvlText w:val="%1"/>
      <w:numFmt w:val="decimal"/>
      <w:start w:val="1"/>
    </w:lvl>
    <w:lvl w:ilvl="1">
      <w:lvlJc w:val="left"/>
      <w:lvlText w:val="(%2)"/>
      <w:numFmt w:val="lowerLetter"/>
      <w:start w:val="13"/>
    </w:lvl>
  </w:abstractNum>
  <w:abstractNum w:abstractNumId="32">
    <w:nsid w:val="2D517796"/>
    <w:multiLevelType w:val="hybridMultilevel"/>
    <w:lvl w:ilvl="0">
      <w:lvlJc w:val="left"/>
      <w:lvlText w:val="%1."/>
      <w:numFmt w:val="decimal"/>
      <w:start w:val="5"/>
    </w:lvl>
    <w:lvl w:ilvl="1">
      <w:lvlJc w:val="left"/>
      <w:lvlText w:val="(%2)"/>
      <w:numFmt w:val="lowerLetter"/>
      <w:start w:val="1"/>
    </w:lvl>
  </w:abstractNum>
  <w:abstractNum w:abstractNumId="33">
    <w:nsid w:val="580BD78F"/>
    <w:multiLevelType w:val="hybridMultilevel"/>
    <w:lvl w:ilvl="0">
      <w:lvlJc w:val="left"/>
      <w:lvlText w:val="(%1)"/>
      <w:numFmt w:val="lowerLetter"/>
      <w:start w:val="2"/>
    </w:lvl>
  </w:abstractNum>
  <w:abstractNum w:abstractNumId="34">
    <w:nsid w:val="153EA438"/>
    <w:multiLevelType w:val="hybridMultilevel"/>
    <w:lvl w:ilvl="0">
      <w:lvlJc w:val="left"/>
      <w:lvlText w:val="(%1)"/>
      <w:numFmt w:val="lowerLetter"/>
      <w:start w:val="6"/>
    </w:lvl>
    <w:lvl w:ilvl="1">
      <w:lvlJc w:val="left"/>
      <w:lvlText w:val="(%2)"/>
      <w:numFmt w:val="lowerRoman"/>
      <w:start w:val="1"/>
    </w:lvl>
  </w:abstractNum>
  <w:abstractNum w:abstractNumId="35">
    <w:nsid w:val="3855585C"/>
    <w:multiLevelType w:val="hybridMultilevel"/>
    <w:lvl w:ilvl="0">
      <w:lvlJc w:val="left"/>
      <w:lvlText w:val="%1."/>
      <w:numFmt w:val="decimal"/>
      <w:start w:val="6"/>
    </w:lvl>
    <w:lvl w:ilvl="1">
      <w:lvlJc w:val="left"/>
      <w:lvlText w:val="(%2)"/>
      <w:numFmt w:val="lowerLetter"/>
      <w:start w:val="1"/>
    </w:lvl>
  </w:abstractNum>
  <w:abstractNum w:abstractNumId="36">
    <w:nsid w:val="70A64E2A"/>
    <w:multiLevelType w:val="hybridMultilevel"/>
    <w:lvl w:ilvl="0">
      <w:lvlJc w:val="left"/>
      <w:lvlText w:val="(%1)"/>
      <w:numFmt w:val="lowerLetter"/>
      <w:start w:val="3"/>
    </w:lvl>
  </w:abstractNum>
  <w:abstractNum w:abstractNumId="37">
    <w:nsid w:val="6A2342EC"/>
    <w:multiLevelType w:val="hybridMultilevel"/>
    <w:lvl w:ilvl="0">
      <w:lvlJc w:val="left"/>
      <w:lvlText w:val="(%1)"/>
      <w:numFmt w:val="lowerLetter"/>
      <w:start w:val="4"/>
    </w:lvl>
  </w:abstractNum>
  <w:abstractNum w:abstractNumId="38">
    <w:nsid w:val="2A487CB0"/>
    <w:multiLevelType w:val="hybridMultilevel"/>
    <w:lvl w:ilvl="0">
      <w:lvlJc w:val="left"/>
      <w:lvlText w:val="%1"/>
      <w:numFmt w:val="decimal"/>
      <w:start w:val="1"/>
    </w:lvl>
    <w:lvl w:ilvl="1">
      <w:lvlJc w:val="left"/>
      <w:lvlText w:val="(%2)"/>
      <w:numFmt w:val="lowerLetter"/>
      <w:start w:val="5"/>
    </w:lvl>
  </w:abstractNum>
  <w:abstractNum w:abstractNumId="39">
    <w:nsid w:val="1D4ED43B"/>
    <w:multiLevelType w:val="hybridMultilevel"/>
    <w:lvl w:ilvl="0">
      <w:lvlJc w:val="left"/>
      <w:lvlText w:val="%1."/>
      <w:numFmt w:val="decimal"/>
      <w:start w:val="7"/>
    </w:lvl>
    <w:lvl w:ilvl="1">
      <w:lvlJc w:val="left"/>
      <w:lvlText w:val="(%2)"/>
      <w:numFmt w:val="lowerLetter"/>
      <w:start w:val="1"/>
    </w:lvl>
  </w:abstractNum>
  <w:abstractNum w:abstractNumId="40">
    <w:nsid w:val="725A06FB"/>
    <w:multiLevelType w:val="hybridMultilevel"/>
    <w:lvl w:ilvl="0">
      <w:lvlJc w:val="left"/>
      <w:lvlText w:val="%1"/>
      <w:numFmt w:val="decimal"/>
      <w:start w:val="1"/>
    </w:lvl>
    <w:lvl w:ilvl="1">
      <w:lvlJc w:val="left"/>
      <w:lvlText w:val="(%2)"/>
      <w:numFmt w:val="lowerLetter"/>
      <w:start w:val="2"/>
    </w:lvl>
  </w:abstractNum>
  <w:abstractNum w:abstractNumId="41">
    <w:nsid w:val="2CD89A32"/>
    <w:multiLevelType w:val="hybridMultilevel"/>
    <w:lvl w:ilvl="0">
      <w:lvlJc w:val="left"/>
      <w:lvlText w:val="%1."/>
      <w:numFmt w:val="decimal"/>
      <w:start w:val="10"/>
    </w:lvl>
    <w:lvl w:ilvl="1">
      <w:lvlJc w:val="left"/>
      <w:lvlText w:val="%2"/>
      <w:numFmt w:val="lowerLetter"/>
      <w:start w:val="1"/>
    </w:lvl>
  </w:abstractNum>
  <w:abstractNum w:abstractNumId="42">
    <w:nsid w:val="57E4CCAF"/>
    <w:multiLevelType w:val="hybridMultilevel"/>
    <w:lvl w:ilvl="0">
      <w:lvlJc w:val="left"/>
      <w:lvlText w:val="%1."/>
      <w:numFmt w:val="decimal"/>
      <w:start w:val="13"/>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2019-12-28T11:29:27Z</dcterms:created>
  <dcterms:modified xsi:type="dcterms:W3CDTF">2019-12-28T11:29:27Z</dcterms:modified>
</cp:coreProperties>
</file>