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1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Odence-Ford Marion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500"/>
        <w:spacing w:after="0" w:line="331"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03/01/2025</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76"/>
        <w:spacing w:after="0"/>
        <w:rPr>
          <w:sz w:val="20"/>
          <w:szCs w:val="20"/>
          <w:color w:val="auto"/>
        </w:rPr>
      </w:pPr>
      <w:r>
        <w:rPr>
          <w:rFonts w:ascii="Times New Roman" w:cs="Times New Roman" w:eastAsia="Times New Roman" w:hAnsi="Times New Roman"/>
          <w:sz w:val="17"/>
          <w:szCs w:val="17"/>
          <w:color w:val="0000FF"/>
        </w:rPr>
        <w:t>Chief Legal Officer &amp; CHRO</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03/01/2025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771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70,544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03/01/2025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268</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5.18</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70,276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03/01/2025</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771</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5" w:lineRule="exact"/>
        <w:rPr>
          <w:rFonts w:ascii="Times New Roman" w:cs="Times New Roman" w:eastAsia="Times New Roman" w:hAnsi="Times New Roman"/>
          <w:sz w:val="13"/>
          <w:szCs w:val="13"/>
          <w:color w:val="008000"/>
        </w:rPr>
      </w:pPr>
    </w:p>
    <w:p>
      <w:pPr>
        <w:ind w:left="40" w:right="2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in three equal annual installments beginning March 1, 2023, the first anniversary of the grant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Marion K. Odence-Ford</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03/04/2025</w:t>
            </w:r>
          </w:p>
        </w:tc>
      </w:tr>
      <w:tr>
        <w:trPr>
          <w:trHeight w:val="20"/>
        </w:trPr>
        <w:tc>
          <w:tcPr>
            <w:tcW w:w="1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5002"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2025-03-04T08:19:18Z</dcterms:created>
  <dcterms:modified xsi:type="dcterms:W3CDTF">2025-03-04T08:19:18Z</dcterms:modified>
</cp:coreProperties>
</file>