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06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January 9, 2018</w:t>
            </w:r>
          </w:p>
        </w:tc>
        <w:tc>
          <w:tcPr>
            <w:tcW w:w="3280" w:type="dxa"/>
            <w:vAlign w:val="bottom"/>
          </w:tcPr>
          <w:p>
            <w:pPr>
              <w:spacing w:after="0"/>
              <w:rPr>
                <w:sz w:val="24"/>
                <w:szCs w:val="24"/>
                <w:color w:val="auto"/>
              </w:rPr>
            </w:pPr>
          </w:p>
        </w:tc>
      </w:tr>
      <w:tr>
        <w:trPr>
          <w:trHeight w:val="392"/>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20" w:type="dxa"/>
            <w:vAlign w:val="bottom"/>
            <w:gridSpan w:val="3"/>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53"/>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0"/>
              </w:rPr>
              <w:t>Nevada</w:t>
            </w:r>
          </w:p>
        </w:tc>
        <w:tc>
          <w:tcPr>
            <w:tcW w:w="3540" w:type="dxa"/>
            <w:vAlign w:val="bottom"/>
            <w:gridSpan w:val="6"/>
          </w:tcPr>
          <w:p>
            <w:pPr>
              <w:jc w:val="center"/>
              <w:ind w:left="16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jc w:val="center"/>
              <w:ind w:right="270"/>
              <w:spacing w:after="0"/>
              <w:rPr>
                <w:sz w:val="20"/>
                <w:szCs w:val="20"/>
                <w:color w:val="auto"/>
              </w:rPr>
            </w:pPr>
            <w:r>
              <w:rPr>
                <w:rFonts w:ascii="Arial" w:cs="Arial" w:eastAsia="Arial" w:hAnsi="Arial"/>
                <w:sz w:val="18"/>
                <w:szCs w:val="18"/>
                <w:color w:val="auto"/>
                <w:w w:val="91"/>
              </w:rPr>
              <w:t>26-1265381</w:t>
            </w:r>
          </w:p>
        </w:tc>
      </w:tr>
      <w:tr>
        <w:trPr>
          <w:trHeight w:val="202"/>
        </w:trPr>
        <w:tc>
          <w:tcPr>
            <w:tcW w:w="308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1"/>
              </w:rPr>
              <w:t>(State or other jurisdiction</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5"/>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jc w:val="center"/>
              <w:ind w:right="29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40" w:type="dxa"/>
            <w:vAlign w:val="bottom"/>
            <w:gridSpan w:val="10"/>
          </w:tcPr>
          <w:p>
            <w:pPr>
              <w:jc w:val="center"/>
              <w:ind w:right="2520"/>
              <w:spacing w:after="0"/>
              <w:rPr>
                <w:sz w:val="20"/>
                <w:szCs w:val="20"/>
                <w:color w:val="auto"/>
              </w:rPr>
            </w:pPr>
            <w:r>
              <w:rPr>
                <w:rFonts w:ascii="Arial" w:cs="Arial" w:eastAsia="Arial" w:hAnsi="Arial"/>
                <w:sz w:val="18"/>
                <w:szCs w:val="18"/>
                <w:color w:val="auto"/>
                <w:w w:val="90"/>
              </w:rPr>
              <w:t>400 Water Street, Suite 200, Rochester, MI</w:t>
            </w:r>
          </w:p>
        </w:tc>
        <w:tc>
          <w:tcPr>
            <w:tcW w:w="328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2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9, 2018, we issued a press release announcing an expanded partnership with Allscripts Healthcare.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January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148590</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OptimizeRx Expands Exclusive Partnership with Allscripts for Prescription Cost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Savings and Real-time Messaging at Point-of-Care</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Rochester, MI (January 9, 2018)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(OTCQB: OPRX), the nation’s leading provider of digital health messaging, has expanded its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with Allscripts Healthcare (NASDAQ:MDRX) which now includes a variety of real-time messaging to Allscripts ambulatory platforms. The agreement includes financial, informational, and clinical messaging delivered at the point-of-care through Allscripts ePrescribe™, Allscripts Professional EHR™ and Allscripts TouchWorks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EHR solutions.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goal at OptimizeRx is to help make medications more affordable, encourage greater adherence, and provide important clinical information,” commented Miriam Paramore, president of OptimizeRx. “Supported by our pharma partners, OptimizeRx and Allscripts continue to empower healthcare providers to make better decisions and deliver better, more affordable care for healthier patients, populations and communities.”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Allscripts’ industry leading electronic health record (EHR) and ePrescribing (eRx) network totals more than 180,000 physicians across 45,000 ambulatory facilities, 2,500 hospitals and 17,000 post-acute organizations. In 2017, Allscripts achieved an industry-leading milestone of one billion data exchange transactions through its platform – the most in a single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OptimizeRx’s growing EHR and eRx network now reaches more than 500,000 healthcare providers (HCPs) in the U.S., making it the healthcare industry’s largest point-of-prescribe network. It delivers real-time access to financial assistance, education, and critical clinical information from pharma companies to HCPs.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long-running relationship with Allscripts, a recognized global leader in healthcare information technology, reflects the unmatched value proposition we offer to our EHR and pharma manufacturer partners,” said William Febbo, CEO of OptimizeRx. “Allscripts’ continued innovation around real-time messaging on its network helps sets the stage for stronger revenue growth and pharma partner relationships in the New Year.”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OptimizeRx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a million healthcare providers access to these benefits within their workflow at the point of care. For more information, follow the company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LinkedIn</w:t>
      </w:r>
      <w:r>
        <w:rPr>
          <w:rFonts w:ascii="Arial" w:cs="Arial" w:eastAsia="Arial" w:hAnsi="Arial"/>
          <w:sz w:val="17"/>
          <w:szCs w:val="17"/>
          <w:color w:val="auto"/>
        </w:rPr>
        <w:t xml:space="preserve"> or visit </w:t>
      </w:r>
      <w:r>
        <w:rPr>
          <w:rFonts w:ascii="Arial" w:cs="Arial" w:eastAsia="Arial" w:hAnsi="Arial"/>
          <w:sz w:val="17"/>
          <w:szCs w:val="17"/>
          <w:u w:val="single" w:color="auto"/>
          <w:color w:val="auto"/>
        </w:rPr>
        <w:t>www.optimizerx.com</w:t>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2019-12-29T02:29:13Z</dcterms:created>
  <dcterms:modified xsi:type="dcterms:W3CDTF">2019-12-29T02:29:13Z</dcterms:modified>
</cp:coreProperties>
</file>