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4"/>
              </w:rPr>
              <w:t>Nevada</w:t>
            </w:r>
          </w:p>
        </w:tc>
        <w:tc>
          <w:tcPr>
            <w:tcW w:w="11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7389</w:t>
            </w:r>
          </w:p>
        </w:tc>
        <w:tc>
          <w:tcPr>
            <w:tcW w:w="26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26-1265381</w:t>
            </w: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(State or other jurisdiction of</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9"/>
                <w:szCs w:val="19"/>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incorporation or organization)</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00" w:type="dxa"/>
            <w:vAlign w:val="bottom"/>
          </w:tcPr>
          <w:p>
            <w:pPr>
              <w:spacing w:after="0"/>
              <w:rPr>
                <w:sz w:val="20"/>
                <w:szCs w:val="20"/>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Cane Clark Agency, LLC</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400 Water Street, Suite 200</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3273 E. Warm Springs Rd.</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Rochester, MI 48307</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Las Vegas, NV 89120</w:t>
            </w: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w w:val="87"/>
              </w:rPr>
              <w:t>(248) 651-6568</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0"/>
              <w:spacing w:after="0" w:line="194" w:lineRule="exact"/>
              <w:rPr>
                <w:sz w:val="20"/>
                <w:szCs w:val="20"/>
                <w:color w:val="auto"/>
              </w:rPr>
            </w:pPr>
            <w:r>
              <w:rPr>
                <w:rFonts w:ascii="Arial" w:cs="Arial" w:eastAsia="Arial" w:hAnsi="Arial"/>
                <w:sz w:val="18"/>
                <w:szCs w:val="18"/>
                <w:b w:val="1"/>
                <w:bCs w:val="1"/>
                <w:color w:val="auto"/>
              </w:rPr>
              <w:t>(702) 312-6255</w:t>
            </w:r>
          </w:p>
        </w:tc>
        <w:tc>
          <w:tcPr>
            <w:tcW w:w="840" w:type="dxa"/>
            <w:vAlign w:val="bottom"/>
          </w:tcPr>
          <w:p>
            <w:pPr>
              <w:spacing w:after="0"/>
              <w:rPr>
                <w:sz w:val="16"/>
                <w:szCs w:val="16"/>
                <w:color w:val="auto"/>
              </w:rPr>
            </w:pP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22"/>
        </w:trPr>
        <w:tc>
          <w:tcPr>
            <w:tcW w:w="2780" w:type="dxa"/>
            <w:vAlign w:val="bottom"/>
            <w:gridSpan w:val="3"/>
          </w:tcPr>
          <w:p>
            <w:pPr>
              <w:spacing w:after="0"/>
              <w:rPr>
                <w:sz w:val="20"/>
                <w:szCs w:val="20"/>
                <w:color w:val="auto"/>
              </w:rPr>
            </w:pPr>
            <w:r>
              <w:rPr>
                <w:rFonts w:ascii="Arial" w:cs="Arial" w:eastAsia="Arial" w:hAnsi="Arial"/>
                <w:sz w:val="18"/>
                <w:szCs w:val="18"/>
                <w:color w:val="auto"/>
              </w:rPr>
              <w:t>(Address, including zip code, and</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89"/>
              </w:rPr>
              <w:t>(Name, address, including zip code,</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color w:val="auto"/>
              </w:rPr>
              <w:t>telephone number, including area</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98"/>
              </w:rPr>
              <w:t>and telephone number, including</w:t>
            </w:r>
          </w:p>
        </w:tc>
      </w:tr>
      <w:tr>
        <w:trPr>
          <w:trHeight w:val="212"/>
        </w:trPr>
        <w:tc>
          <w:tcPr>
            <w:tcW w:w="2780" w:type="dxa"/>
            <w:vAlign w:val="bottom"/>
            <w:gridSpan w:val="3"/>
          </w:tcPr>
          <w:p>
            <w:pPr>
              <w:spacing w:after="0"/>
              <w:rPr>
                <w:sz w:val="20"/>
                <w:szCs w:val="20"/>
                <w:color w:val="auto"/>
              </w:rPr>
            </w:pPr>
            <w:r>
              <w:rPr>
                <w:rFonts w:ascii="Arial" w:cs="Arial" w:eastAsia="Arial" w:hAnsi="Arial"/>
                <w:sz w:val="18"/>
                <w:szCs w:val="18"/>
                <w:color w:val="auto"/>
                <w:w w:val="98"/>
              </w:rPr>
              <w:t>code, of principal executive offices)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rPr>
              <w:t>area code, of agent for service)</w:t>
            </w:r>
          </w:p>
        </w:tc>
      </w:tr>
      <w:tr>
        <w:trPr>
          <w:trHeight w:val="220"/>
        </w:trPr>
        <w:tc>
          <w:tcPr>
            <w:tcW w:w="5260" w:type="dxa"/>
            <w:vAlign w:val="bottom"/>
            <w:gridSpan w:val="6"/>
          </w:tcPr>
          <w:p>
            <w:pPr>
              <w:spacing w:after="0"/>
              <w:rPr>
                <w:sz w:val="20"/>
                <w:szCs w:val="20"/>
                <w:color w:val="auto"/>
              </w:rPr>
            </w:pPr>
            <w:r>
              <w:rPr>
                <w:rFonts w:ascii="Arial" w:cs="Arial" w:eastAsia="Arial" w:hAnsi="Arial"/>
                <w:sz w:val="18"/>
                <w:szCs w:val="18"/>
                <w:b w:val="1"/>
                <w:bCs w:val="1"/>
                <w:color w:val="auto"/>
                <w:w w:val="89"/>
              </w:rPr>
              <w:t>Approximate date of commencement of proposed sale to the public:</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260" w:type="dxa"/>
            <w:vAlign w:val="bottom"/>
            <w:gridSpan w:val="6"/>
          </w:tcPr>
          <w:p>
            <w:pPr>
              <w:spacing w:after="0"/>
              <w:rPr>
                <w:sz w:val="20"/>
                <w:szCs w:val="20"/>
                <w:color w:val="auto"/>
              </w:rPr>
            </w:pPr>
            <w:r>
              <w:rPr>
                <w:rFonts w:ascii="Arial" w:cs="Arial" w:eastAsia="Arial" w:hAnsi="Arial"/>
                <w:sz w:val="18"/>
                <w:szCs w:val="18"/>
                <w:color w:val="auto"/>
                <w:w w:val="95"/>
              </w:rPr>
              <w:t>From time to time after this registration statement becomes effective.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tbl>
      <w:tblPr>
        <w:tblLayout w:type="fixed"/>
        <w:tblInd w:w="172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7"/>
              </w:rPr>
              <w:t>Accelerated filer</w:t>
            </w: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459"/>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40"/>
              <w:spacing w:after="0"/>
              <w:rPr>
                <w:sz w:val="20"/>
                <w:szCs w:val="20"/>
                <w:color w:val="auto"/>
              </w:rPr>
            </w:pPr>
            <w:r>
              <w:rPr>
                <w:rFonts w:ascii="Arial" w:cs="Arial" w:eastAsia="Arial" w:hAnsi="Arial"/>
                <w:sz w:val="18"/>
                <w:szCs w:val="18"/>
                <w:color w:val="auto"/>
                <w:w w:val="95"/>
              </w:rPr>
              <w:t>] (Do not check if a smaller reporting company)</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w w:val="96"/>
              </w:rPr>
              <w:t>Smaller reporting company  [X]</w:t>
            </w:r>
          </w:p>
        </w:tc>
      </w:tr>
      <w:tr>
        <w:trPr>
          <w:trHeight w:val="432"/>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4"/>
          </w:tcPr>
          <w:p>
            <w:pPr>
              <w:ind w:left="400"/>
              <w:spacing w:after="0"/>
              <w:rPr>
                <w:sz w:val="20"/>
                <w:szCs w:val="20"/>
                <w:color w:val="auto"/>
              </w:rPr>
            </w:pPr>
            <w:r>
              <w:rPr>
                <w:rFonts w:ascii="Arial" w:cs="Arial" w:eastAsia="Arial" w:hAnsi="Arial"/>
                <w:sz w:val="18"/>
                <w:szCs w:val="18"/>
                <w:b w:val="1"/>
                <w:bCs w:val="1"/>
                <w:color w:val="auto"/>
              </w:rPr>
              <w:t>CALCULATION OF REGISTRATION FEE</w:t>
            </w:r>
          </w:p>
        </w:tc>
        <w:tc>
          <w:tcPr>
            <w:tcW w:w="1120" w:type="dxa"/>
            <w:vAlign w:val="bottom"/>
          </w:tcPr>
          <w:p>
            <w:pPr>
              <w:spacing w:after="0"/>
              <w:rPr>
                <w:sz w:val="24"/>
                <w:szCs w:val="24"/>
                <w:color w:val="auto"/>
              </w:rPr>
            </w:pPr>
          </w:p>
        </w:tc>
      </w:tr>
      <w:tr>
        <w:trPr>
          <w:trHeight w:val="414"/>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Proposed</w:t>
            </w: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Proposed</w:t>
            </w:r>
          </w:p>
        </w:tc>
        <w:tc>
          <w:tcPr>
            <w:tcW w:w="1120" w:type="dxa"/>
            <w:vAlign w:val="bottom"/>
          </w:tcPr>
          <w:p>
            <w:pPr>
              <w:spacing w:after="0"/>
              <w:rPr>
                <w:sz w:val="24"/>
                <w:szCs w:val="24"/>
                <w:color w:val="auto"/>
              </w:rPr>
            </w:pPr>
          </w:p>
        </w:tc>
      </w:tr>
      <w:tr>
        <w:trPr>
          <w:trHeight w:val="216"/>
        </w:trPr>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w:t>
            </w: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Pr>
          <w:p>
            <w:pPr>
              <w:spacing w:after="0"/>
              <w:rPr>
                <w:sz w:val="18"/>
                <w:szCs w:val="18"/>
                <w:color w:val="auto"/>
              </w:rPr>
            </w:pPr>
          </w:p>
        </w:tc>
      </w:tr>
      <w:tr>
        <w:trPr>
          <w:trHeight w:val="216"/>
        </w:trPr>
        <w:tc>
          <w:tcPr>
            <w:tcW w:w="286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6"/>
              </w:rPr>
              <w:t>Title of each class of</w:t>
            </w:r>
          </w:p>
        </w:tc>
        <w:tc>
          <w:tcPr>
            <w:tcW w:w="2620" w:type="dxa"/>
            <w:vAlign w:val="bottom"/>
            <w:gridSpan w:val="2"/>
          </w:tcPr>
          <w:p>
            <w:pPr>
              <w:ind w:left="320"/>
              <w:spacing w:after="0"/>
              <w:rPr>
                <w:sz w:val="20"/>
                <w:szCs w:val="20"/>
                <w:color w:val="auto"/>
              </w:rPr>
            </w:pPr>
            <w:r>
              <w:rPr>
                <w:rFonts w:ascii="Arial" w:cs="Arial" w:eastAsia="Arial" w:hAnsi="Arial"/>
                <w:sz w:val="18"/>
                <w:szCs w:val="18"/>
                <w:b w:val="1"/>
                <w:bCs w:val="1"/>
                <w:color w:val="auto"/>
                <w:w w:val="96"/>
              </w:rPr>
              <w:t>Amount to beOffering Price</w:t>
            </w: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Aggregate</w:t>
            </w: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86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7"/>
              </w:rPr>
              <w:t>securities to be registered</w:t>
            </w: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2"/>
              </w:rPr>
              <w:t>Registered(1)</w:t>
            </w:r>
          </w:p>
        </w:tc>
        <w:tc>
          <w:tcPr>
            <w:tcW w:w="3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per Share(3) Offering Price(3) Registration Fee</w:t>
            </w:r>
          </w:p>
        </w:tc>
      </w:tr>
      <w:tr>
        <w:trPr>
          <w:trHeight w:val="210"/>
        </w:trPr>
        <w:tc>
          <w:tcPr>
            <w:tcW w:w="4260" w:type="dxa"/>
            <w:vAlign w:val="bottom"/>
            <w:gridSpan w:val="4"/>
            <w:shd w:val="clear" w:color="auto" w:fill="CCEECC"/>
          </w:tcPr>
          <w:p>
            <w:pPr>
              <w:spacing w:after="0"/>
              <w:rPr>
                <w:sz w:val="20"/>
                <w:szCs w:val="20"/>
                <w:color w:val="auto"/>
              </w:rPr>
            </w:pPr>
            <w:r>
              <w:rPr>
                <w:rFonts w:ascii="Arial" w:cs="Arial" w:eastAsia="Arial" w:hAnsi="Arial"/>
                <w:sz w:val="18"/>
                <w:szCs w:val="18"/>
                <w:color w:val="auto"/>
                <w:w w:val="92"/>
              </w:rPr>
              <w:t>Common Stock, par value $0.001 per share 9,137,472 (2)</w:t>
            </w:r>
          </w:p>
        </w:tc>
        <w:tc>
          <w:tcPr>
            <w:tcW w:w="1220" w:type="dxa"/>
            <w:vAlign w:val="bottom"/>
            <w:shd w:val="clear" w:color="auto" w:fill="CCEECC"/>
          </w:tcPr>
          <w:p>
            <w:pPr>
              <w:jc w:val="center"/>
              <w:ind w:right="70"/>
              <w:spacing w:after="0"/>
              <w:rPr>
                <w:sz w:val="20"/>
                <w:szCs w:val="20"/>
                <w:color w:val="auto"/>
              </w:rPr>
            </w:pPr>
            <w:r>
              <w:rPr>
                <w:rFonts w:ascii="Arial" w:cs="Arial" w:eastAsia="Arial" w:hAnsi="Arial"/>
                <w:sz w:val="18"/>
                <w:szCs w:val="18"/>
                <w:color w:val="auto"/>
                <w:w w:val="93"/>
              </w:rPr>
              <w:t>$1.92</w:t>
            </w:r>
          </w:p>
        </w:tc>
        <w:tc>
          <w:tcPr>
            <w:tcW w:w="1380" w:type="dxa"/>
            <w:vAlign w:val="bottom"/>
            <w:shd w:val="clear" w:color="auto" w:fill="CCEECC"/>
          </w:tcPr>
          <w:p>
            <w:pPr>
              <w:jc w:val="center"/>
              <w:ind w:right="210"/>
              <w:spacing w:after="0"/>
              <w:rPr>
                <w:sz w:val="20"/>
                <w:szCs w:val="20"/>
                <w:color w:val="auto"/>
              </w:rPr>
            </w:pPr>
            <w:r>
              <w:rPr>
                <w:rFonts w:ascii="Arial" w:cs="Arial" w:eastAsia="Arial" w:hAnsi="Arial"/>
                <w:sz w:val="18"/>
                <w:szCs w:val="18"/>
                <w:color w:val="auto"/>
                <w:w w:val="91"/>
              </w:rPr>
              <w:t>$ 17,543,946</w:t>
            </w:r>
          </w:p>
        </w:tc>
        <w:tc>
          <w:tcPr>
            <w:tcW w:w="1120" w:type="dxa"/>
            <w:vAlign w:val="bottom"/>
            <w:shd w:val="clear" w:color="auto" w:fill="CCEECC"/>
          </w:tcPr>
          <w:p>
            <w:pPr>
              <w:jc w:val="right"/>
              <w:ind w:right="310"/>
              <w:spacing w:after="0"/>
              <w:rPr>
                <w:sz w:val="20"/>
                <w:szCs w:val="20"/>
                <w:color w:val="auto"/>
              </w:rPr>
            </w:pPr>
            <w:r>
              <w:rPr>
                <w:rFonts w:ascii="Arial" w:cs="Arial" w:eastAsia="Arial" w:hAnsi="Arial"/>
                <w:sz w:val="18"/>
                <w:szCs w:val="18"/>
                <w:color w:val="auto"/>
              </w:rPr>
              <w:t>$2,260</w:t>
            </w:r>
          </w:p>
        </w:tc>
      </w:tr>
    </w:tbl>
    <w:p>
      <w:pPr>
        <w:spacing w:after="0" w:line="202" w:lineRule="exact"/>
        <w:rPr>
          <w:sz w:val="24"/>
          <w:szCs w:val="24"/>
          <w:color w:val="auto"/>
        </w:rPr>
      </w:pPr>
    </w:p>
    <w:p>
      <w:pPr>
        <w:jc w:val="both"/>
        <w:ind w:left="4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being registered hereunder include such indeterminate number of shares of our Common Stock as may be issuable with respect to the shares being registered hereunder to prevent dilution by reason of any stock dividend, stock split, recapitalization or other similar transaction.</w:t>
      </w:r>
    </w:p>
    <w:p>
      <w:pPr>
        <w:spacing w:after="0" w:line="18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9,137,472 shares of Common Stock are to be offered by the Selling Shareholders named herein and were acquired in connection with a private placement consummated by the Company.</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upon the closing price per share of our Common Stock as reported on the OTC Bulletin Board, on April 8, 2014.</w:t>
      </w:r>
    </w:p>
    <w:p>
      <w:pPr>
        <w:spacing w:after="0" w:line="16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Cane Clark,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3273 E. Warm Springs 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NV 89120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(702) 312-6255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Facsimile: (702) 944-7100</w:t>
      </w:r>
    </w:p>
    <w:p>
      <w:pPr>
        <w:spacing w:after="0" w:line="20" w:lineRule="exact"/>
        <w:rPr>
          <w:sz w:val="24"/>
          <w:szCs w:val="24"/>
          <w:color w:val="auto"/>
        </w:rPr>
      </w:pPr>
    </w:p>
    <w:p>
      <w:pPr>
        <w:sectPr>
          <w:pgSz w:w="11900" w:h="16838" w:orient="portrait"/>
          <w:cols w:equalWidth="0" w:num="1">
            <w:col w:w="11420"/>
          </w:cols>
          <w:pgMar w:left="240" w:top="220" w:right="239" w:bottom="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April 9,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9,137,472 Shares of Common Stock</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relates to the resale by the Selling Shareholders of up to 9,137,472 shares of our Common Stock, par value $0.001 per share (the “Common Stock”). The Common Stock was acquired by the Selling Shareholders in connection with a private placement offering we completed on March 17, 2014 (the “March 2014 Private Placement”). We are registering the resale of the Common Stock as required by the Registration Rights Agreement we entered into with the Selling Shareholders in connection with the March 2014 Private Placement (the “Registration Rights Agreement”).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14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 Bulletin Board under the symbol “OPRX.” On April 8, 2014, the last reported sale price of our Common Stock was $1.92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an "emerging growth company" under the federal securities laws and will be subject to reduced public company reporting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7.</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April 9,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154940</wp:posOffset>
            </wp:positionV>
            <wp:extent cx="2598420"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84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2920" w:type="dxa"/>
            <w:vAlign w:val="bottom"/>
            <w:gridSpan w:val="13"/>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ABOUT FORWARD-LOOKING STATEMENTS</w:t>
              </w:r>
            </w:hyperlink>
          </w:p>
        </w:tc>
        <w:tc>
          <w:tcPr>
            <w:tcW w:w="1560" w:type="dxa"/>
            <w:vAlign w:val="bottom"/>
            <w:gridSpan w:val="8"/>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5</w:t>
            </w: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RISK FACTORS</w:t>
              </w:r>
            </w:hyperlink>
          </w:p>
        </w:tc>
        <w:tc>
          <w:tcPr>
            <w:tcW w:w="3900" w:type="dxa"/>
            <w:vAlign w:val="bottom"/>
            <w:gridSpan w:val="2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7</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20"/>
        </w:trPr>
        <w:tc>
          <w:tcPr>
            <w:tcW w:w="286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DETERMINATION OF OFFERING PRICE</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SELLING SHAREHOLDERS</w:t>
              </w:r>
            </w:hyperlink>
          </w:p>
        </w:tc>
        <w:tc>
          <w:tcPr>
            <w:tcW w:w="1000" w:type="dxa"/>
            <w:vAlign w:val="bottom"/>
            <w:tcBorders>
              <w:top w:val="single" w:sz="8" w:color="0000EE"/>
            </w:tcBorders>
            <w:gridSpan w:val="5"/>
          </w:tcPr>
          <w:p>
            <w:pPr>
              <w:spacing w:after="0"/>
              <w:rPr>
                <w:sz w:val="17"/>
                <w:szCs w:val="17"/>
                <w:color w:val="auto"/>
              </w:rPr>
            </w:pPr>
          </w:p>
        </w:tc>
        <w:tc>
          <w:tcPr>
            <w:tcW w:w="1940" w:type="dxa"/>
            <w:vAlign w:val="bottom"/>
            <w:gridSpan w:val="9"/>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PLAN OF DISTRIBUTION</w:t>
              </w:r>
            </w:hyperlink>
          </w:p>
        </w:tc>
        <w:tc>
          <w:tcPr>
            <w:tcW w:w="3100" w:type="dxa"/>
            <w:vAlign w:val="bottom"/>
            <w:gridSpan w:val="16"/>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14</w:t>
            </w:r>
          </w:p>
        </w:tc>
      </w:tr>
      <w:tr>
        <w:trPr>
          <w:trHeight w:val="196"/>
        </w:trPr>
        <w:tc>
          <w:tcPr>
            <w:tcW w:w="28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LEGAL PROCEEDINGS</w:t>
              </w:r>
            </w:hyperlink>
          </w:p>
        </w:tc>
        <w:tc>
          <w:tcPr>
            <w:tcW w:w="3280" w:type="dxa"/>
            <w:vAlign w:val="bottom"/>
            <w:gridSpan w:val="17"/>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DIRECTORS, EXECUTIVE OFFICERS, PROMOTERS AND</w:t>
              </w:r>
            </w:hyperlink>
          </w:p>
        </w:tc>
        <w:tc>
          <w:tcPr>
            <w:tcW w:w="560" w:type="dxa"/>
            <w:vAlign w:val="bottom"/>
            <w:gridSpan w:val="3"/>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CONTROL PERSONS</w:t>
              </w:r>
            </w:hyperlink>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SECURITY OWNERSHIP OF CERTAIN BENEFICIAL OWNERS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AND MANAGEMENT</w:t>
              </w:r>
            </w:hyperlink>
          </w:p>
        </w:tc>
        <w:tc>
          <w:tcPr>
            <w:tcW w:w="3420" w:type="dxa"/>
            <w:vAlign w:val="bottom"/>
            <w:gridSpan w:val="18"/>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DESCRIPTION OF SECURITIES</w:t>
              </w:r>
            </w:hyperlink>
          </w:p>
        </w:tc>
        <w:tc>
          <w:tcPr>
            <w:tcW w:w="2640" w:type="dxa"/>
            <w:vAlign w:val="bottom"/>
            <w:gridSpan w:val="10"/>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INTERESTS OF NAMED EXPERTS AND COUNSEL</w:t>
              </w:r>
            </w:hyperlink>
          </w:p>
        </w:tc>
        <w:tc>
          <w:tcPr>
            <w:tcW w:w="1100" w:type="dxa"/>
            <w:vAlign w:val="bottom"/>
            <w:gridSpan w:val="5"/>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DISCLOSURE OF COMMISSION POSITION OF</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INDEMNIFICATION FOR SECURITIES ACT LIABILITIES</w:t>
              </w:r>
            </w:hyperlink>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BUSINESS</w:t>
              </w:r>
            </w:hyperlink>
          </w:p>
        </w:tc>
        <w:tc>
          <w:tcPr>
            <w:tcW w:w="620" w:type="dxa"/>
            <w:vAlign w:val="bottom"/>
            <w:gridSpan w:val="4"/>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MARKET FOR COMMON EQUITY AND RELATED</w:t>
              </w:r>
            </w:hyperlink>
          </w:p>
        </w:tc>
        <w:tc>
          <w:tcPr>
            <w:tcW w:w="300" w:type="dxa"/>
            <w:vAlign w:val="bottom"/>
            <w:gridSpan w:val="2"/>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STOCKHOLDER MATTERS</w:t>
              </w:r>
            </w:hyperlink>
          </w:p>
        </w:tc>
        <w:tc>
          <w:tcPr>
            <w:tcW w:w="1140" w:type="dxa"/>
            <w:vAlign w:val="bottom"/>
            <w:gridSpan w:val="6"/>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32</w:t>
            </w:r>
          </w:p>
        </w:tc>
      </w:tr>
      <w:tr>
        <w:trPr>
          <w:trHeight w:val="196"/>
        </w:trPr>
        <w:tc>
          <w:tcPr>
            <w:tcW w:w="2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FINANCIAL STATEMENTS</w:t>
              </w:r>
            </w:hyperlink>
          </w:p>
        </w:tc>
        <w:tc>
          <w:tcPr>
            <w:tcW w:w="260" w:type="dxa"/>
            <w:vAlign w:val="bottom"/>
            <w:tcBorders>
              <w:top w:val="single" w:sz="8" w:color="0000EE"/>
            </w:tcBorders>
            <w:gridSpan w:val="4"/>
          </w:tcPr>
          <w:p>
            <w:pPr>
              <w:spacing w:after="0"/>
              <w:rPr>
                <w:sz w:val="17"/>
                <w:szCs w:val="17"/>
                <w:color w:val="auto"/>
              </w:rPr>
            </w:pPr>
          </w:p>
        </w:tc>
        <w:tc>
          <w:tcPr>
            <w:tcW w:w="2720" w:type="dxa"/>
            <w:vAlign w:val="bottom"/>
            <w:gridSpan w:val="1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CHANGES IN AND DISAGREEMENTS WITH ACCOUNTANTS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AVAILABLE INFORMATION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426"/>
        </w:trPr>
        <w:tc>
          <w:tcPr>
            <w:tcW w:w="286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24"/>
        </w:trPr>
        <w:tc>
          <w:tcPr>
            <w:tcW w:w="6080" w:type="dxa"/>
            <w:vAlign w:val="bottom"/>
            <w:gridSpan w:val="15"/>
          </w:tcPr>
          <w:p>
            <w:pPr>
              <w:jc w:val="right"/>
              <w:ind w:right="3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9,137,472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7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consumer support website, www.OPTIMIZERx.com and our subscriber base exceeding 2.5 million patients, continues to grow each month and we believe is quickly becoming the preferred way to access branded prescription vouchers, co-pay savings and other support programs.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March 2014 Private Placement Financing and Exercise of Redemption Option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the net proceeds of the March 2014 Private Placement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 The balance of the net proceeds will be used for working capital purposes.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March 2014 Private Placement, we entered into a registration rights agreement with the Purchasers (the “Registration Rights Agreement”), pursuant to which we agreed to register for resale the Common Shares acquired by the Purchasers (the “Registrable Securities”).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March 2014 Private Placement and to use our reasonable best efforts to cause the Registration Statement to be declared effective as soon as practicable after the filing thereof, but in any event no later than 90 days following the close of the March 2014 Private Placement (or 120 days following the close of the March 2014 Private Placement if the SEC determines to review the Registration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March 2014 Private Placement,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we have agreed to make payments to each Purchaser as liquidated damages in an amount equal to 1.0% of the aggregate amount invested by each such Purchaser per 30-day period, up to a maximum aggregate liquidated damages amount equal to 6% of the aggregate amount invested by each such Purchaser. In addition, we have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3"/>
              </w:rPr>
              <w:t>The Offering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w w:val="98"/>
              </w:rPr>
              <w:t>Common stock offered by the Selling Shareholders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9,137,472 shares of common stock, consisting of 8,333,333 Common Shares and Agent Warrants</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to purchase up to 804,139 shares of the our common stock.</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Selling Shareholders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Selling Shareholders</w:t>
            </w:r>
            <w:r>
              <w:rPr>
                <w:rFonts w:ascii="Arial" w:cs="Arial" w:eastAsia="Arial" w:hAnsi="Arial"/>
                <w:sz w:val="18"/>
                <w:szCs w:val="18"/>
                <w:color w:val="auto"/>
              </w:rPr>
              <w:t>” beginning on page 12 .</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Common stock outstanding</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22,809,586 common shares as of March 31, 2014.</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We will not receive any proceeds from the sale or other disposition of the shares of common stock</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4"/>
              </w:rPr>
              <w:t>covered by this prospectus. However, upon any exercise of the Agent Warrants for cash, such</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0"/>
              </w:rPr>
              <w:t>Selling Shareholders would pay us the exercise price of the warrants. Cash received from exercise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5"/>
              </w:rPr>
              <w:t>of Agent Warrants will be used for general corporate purposes. Additionally, the Warrants are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88"/>
              </w:rPr>
              <w:t>exercisable on a cashless basis. If any Agent Warrants are exercised on a cashless basis, we would</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2"/>
              </w:rPr>
              <w:t>not receive any cash payment from such Selling Shareholders upon any exercise of such Agent</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Warrants. See “</w:t>
            </w:r>
            <w:r>
              <w:rPr>
                <w:rFonts w:ascii="Arial" w:cs="Arial" w:eastAsia="Arial" w:hAnsi="Arial"/>
                <w:sz w:val="18"/>
                <w:szCs w:val="18"/>
                <w:i w:val="1"/>
                <w:iCs w:val="1"/>
                <w:color w:val="auto"/>
              </w:rPr>
              <w:t>Use of Proceeds</w:t>
            </w:r>
            <w:r>
              <w:rPr>
                <w:rFonts w:ascii="Arial" w:cs="Arial" w:eastAsia="Arial" w:hAnsi="Arial"/>
                <w:sz w:val="18"/>
                <w:szCs w:val="18"/>
                <w:color w:val="auto"/>
              </w:rPr>
              <w:t>” on page 12 .</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OTC Bulletin Board Symbol</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8"/>
              </w:rPr>
              <w:t>Our Common Stock is quoted on the OTC Bulletin Board under the ticker symbol “OPRX”.</w:t>
            </w:r>
          </w:p>
        </w:tc>
        <w:tc>
          <w:tcPr>
            <w:tcW w:w="0" w:type="dxa"/>
            <w:vAlign w:val="bottom"/>
          </w:tcPr>
          <w:p>
            <w:pPr>
              <w:spacing w:after="0"/>
              <w:rPr>
                <w:sz w:val="1"/>
                <w:szCs w:val="1"/>
                <w:color w:val="auto"/>
              </w:rPr>
            </w:pP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3"/>
              </w:rPr>
              <w:t>You should consider the matters set forth under “</w:t>
            </w:r>
            <w:r>
              <w:rPr>
                <w:rFonts w:ascii="Arial" w:cs="Arial" w:eastAsia="Arial" w:hAnsi="Arial"/>
                <w:sz w:val="18"/>
                <w:szCs w:val="18"/>
                <w:i w:val="1"/>
                <w:iCs w:val="1"/>
                <w:color w:val="auto"/>
                <w:w w:val="93"/>
              </w:rPr>
              <w:t>Risk Factors</w:t>
            </w:r>
            <w:r>
              <w:rPr>
                <w:rFonts w:ascii="Arial" w:cs="Arial" w:eastAsia="Arial" w:hAnsi="Arial"/>
                <w:sz w:val="18"/>
                <w:szCs w:val="18"/>
                <w:color w:val="auto"/>
                <w:w w:val="93"/>
              </w:rPr>
              <w:t>” beginning on page 7 , as well as</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w w:val="94"/>
              </w:rPr>
              <w:t>other cautionary statements throughout or incorporated by reference in this prospectus, before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80" w:type="dxa"/>
            <w:vAlign w:val="bottom"/>
            <w:gridSpan w:val="10"/>
          </w:tcPr>
          <w:p>
            <w:pPr>
              <w:ind w:left="300"/>
              <w:spacing w:after="0"/>
              <w:rPr>
                <w:sz w:val="20"/>
                <w:szCs w:val="20"/>
                <w:color w:val="auto"/>
              </w:rPr>
            </w:pPr>
            <w:r>
              <w:rPr>
                <w:rFonts w:ascii="Arial" w:cs="Arial" w:eastAsia="Arial" w:hAnsi="Arial"/>
                <w:sz w:val="18"/>
                <w:szCs w:val="18"/>
                <w:color w:val="auto"/>
              </w:rPr>
              <w:t>deciding to invest in shares of our common stock.</w:t>
            </w: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Summary Financial Information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080" w:type="dxa"/>
            <w:vAlign w:val="bottom"/>
            <w:gridSpan w:val="3"/>
          </w:tcPr>
          <w:p>
            <w:pPr>
              <w:ind w:left="286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4"/>
                <w:szCs w:val="24"/>
                <w:color w:val="auto"/>
              </w:rPr>
            </w:pPr>
          </w:p>
        </w:tc>
        <w:tc>
          <w:tcPr>
            <w:tcW w:w="166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December 31, 2012</w:t>
            </w:r>
          </w:p>
        </w:tc>
        <w:tc>
          <w:tcPr>
            <w:tcW w:w="20" w:type="dxa"/>
            <w:vAlign w:val="bottom"/>
          </w:tcPr>
          <w:p>
            <w:pPr>
              <w:spacing w:after="0"/>
              <w:rPr>
                <w:sz w:val="24"/>
                <w:szCs w:val="24"/>
                <w:color w:val="auto"/>
              </w:rPr>
            </w:pPr>
          </w:p>
        </w:tc>
        <w:tc>
          <w:tcPr>
            <w:tcW w:w="4420" w:type="dxa"/>
            <w:vAlign w:val="bottom"/>
            <w:gridSpan w:val="3"/>
          </w:tcPr>
          <w:p>
            <w:pPr>
              <w:jc w:val="right"/>
              <w:ind w:right="2920"/>
              <w:spacing w:after="0"/>
              <w:rPr>
                <w:sz w:val="20"/>
                <w:szCs w:val="20"/>
                <w:color w:val="auto"/>
              </w:rPr>
            </w:pPr>
            <w:r>
              <w:rPr>
                <w:rFonts w:ascii="Arial" w:cs="Arial" w:eastAsia="Arial" w:hAnsi="Arial"/>
                <w:sz w:val="18"/>
                <w:szCs w:val="18"/>
                <w:b w:val="1"/>
                <w:bCs w:val="1"/>
                <w:color w:val="auto"/>
                <w:w w:val="91"/>
              </w:rPr>
              <w:t>December 31, 2013</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1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1040" w:type="dxa"/>
            <w:vAlign w:val="bottom"/>
            <w:tcBorders>
              <w:top w:val="single" w:sz="8" w:color="CCEECC"/>
            </w:tcBorders>
            <w:shd w:val="clear" w:color="auto" w:fill="CCEECC"/>
          </w:tcPr>
          <w:p>
            <w:pPr>
              <w:spacing w:after="0"/>
              <w:rPr>
                <w:sz w:val="18"/>
                <w:szCs w:val="18"/>
                <w:color w:val="auto"/>
              </w:rPr>
            </w:pPr>
          </w:p>
        </w:tc>
        <w:tc>
          <w:tcPr>
            <w:tcW w:w="240" w:type="dxa"/>
            <w:vAlign w:val="bottom"/>
            <w:tcBorders>
              <w:top w:val="single" w:sz="8" w:color="CCEECC"/>
            </w:tcBorders>
            <w:shd w:val="clear" w:color="auto" w:fill="CCEECC"/>
          </w:tcPr>
          <w:p>
            <w:pPr>
              <w:spacing w:after="0"/>
              <w:rPr>
                <w:sz w:val="18"/>
                <w:szCs w:val="18"/>
                <w:color w:val="auto"/>
              </w:rPr>
            </w:pPr>
          </w:p>
        </w:tc>
        <w:tc>
          <w:tcPr>
            <w:tcW w:w="220" w:type="dxa"/>
            <w:vAlign w:val="bottom"/>
            <w:tcBorders>
              <w:top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tcBorders>
            <w:shd w:val="clear" w:color="auto" w:fill="CCEECC"/>
          </w:tcPr>
          <w:p>
            <w:pPr>
              <w:jc w:val="right"/>
              <w:ind w:right="11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2,175,404</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CC"/>
          </w:tcPr>
          <w:p>
            <w:pPr>
              <w:spacing w:after="0"/>
              <w:rPr>
                <w:sz w:val="18"/>
                <w:szCs w:val="18"/>
                <w:color w:val="auto"/>
              </w:rPr>
            </w:pPr>
          </w:p>
        </w:tc>
        <w:tc>
          <w:tcPr>
            <w:tcW w:w="4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1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1,404,882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116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1440" w:type="dxa"/>
            <w:vAlign w:val="bottom"/>
            <w:gridSpan w:val="3"/>
            <w:shd w:val="clear" w:color="auto" w:fill="CCEECC"/>
          </w:tcPr>
          <w:p>
            <w:pPr>
              <w:jc w:val="right"/>
              <w:ind w:right="160"/>
              <w:spacing w:after="0" w:line="198" w:lineRule="exact"/>
              <w:rPr>
                <w:sz w:val="20"/>
                <w:szCs w:val="20"/>
                <w:color w:val="auto"/>
              </w:rPr>
            </w:pPr>
            <w:r>
              <w:rPr>
                <w:rFonts w:ascii="Arial" w:cs="Arial" w:eastAsia="Arial" w:hAnsi="Arial"/>
                <w:sz w:val="18"/>
                <w:szCs w:val="18"/>
                <w:b w:val="1"/>
                <w:bCs w:val="1"/>
                <w:color w:val="auto"/>
              </w:rPr>
              <w:t>Year Ended</w:t>
            </w: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300" w:type="dxa"/>
            <w:vAlign w:val="bottom"/>
            <w:tcBorders>
              <w:right w:val="single" w:sz="8" w:color="CCEECC"/>
            </w:tcBorders>
            <w:shd w:val="clear" w:color="auto" w:fill="CCEECC"/>
          </w:tcPr>
          <w:p>
            <w:pPr>
              <w:jc w:val="right"/>
              <w:spacing w:after="0" w:line="198" w:lineRule="exact"/>
              <w:rPr>
                <w:sz w:val="20"/>
                <w:szCs w:val="20"/>
                <w:color w:val="auto"/>
              </w:rPr>
            </w:pPr>
            <w:r>
              <w:rPr>
                <w:rFonts w:ascii="Arial" w:cs="Arial" w:eastAsia="Arial" w:hAnsi="Arial"/>
                <w:sz w:val="18"/>
                <w:szCs w:val="18"/>
                <w:b w:val="1"/>
                <w:bCs w:val="1"/>
                <w:color w:val="auto"/>
              </w:rPr>
              <w:t>Year Ended</w:t>
            </w: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vMerge w:val="restart"/>
            <w:shd w:val="clear" w:color="auto" w:fill="CCEECC"/>
          </w:tcPr>
          <w:p>
            <w:pPr>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1440" w:type="dxa"/>
            <w:vAlign w:val="bottom"/>
            <w:gridSpan w:val="3"/>
            <w:shd w:val="clear" w:color="auto" w:fill="CCEECC"/>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December 31,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0" w:type="dxa"/>
            <w:vAlign w:val="bottom"/>
            <w:gridSpan w:val="2"/>
            <w:vMerge w:val="continue"/>
            <w:shd w:val="clear" w:color="auto" w:fill="CCEECC"/>
          </w:tcPr>
          <w:p>
            <w:pPr>
              <w:spacing w:after="0"/>
              <w:rPr>
                <w:sz w:val="20"/>
                <w:szCs w:val="20"/>
                <w:color w:val="auto"/>
              </w:rPr>
            </w:pPr>
          </w:p>
        </w:tc>
        <w:tc>
          <w:tcPr>
            <w:tcW w:w="240" w:type="dxa"/>
            <w:vAlign w:val="bottom"/>
            <w:shd w:val="clear" w:color="auto" w:fill="CCEECC"/>
          </w:tcPr>
          <w:p>
            <w:pPr>
              <w:spacing w:after="0"/>
              <w:rPr>
                <w:sz w:val="20"/>
                <w:szCs w:val="20"/>
                <w:color w:val="auto"/>
              </w:rPr>
            </w:pPr>
          </w:p>
        </w:tc>
        <w:tc>
          <w:tcPr>
            <w:tcW w:w="220" w:type="dxa"/>
            <w:vAlign w:val="bottom"/>
            <w:tcBorders>
              <w:bottom w:val="single" w:sz="8" w:color="auto"/>
            </w:tcBorders>
            <w:shd w:val="clear" w:color="auto" w:fill="CCEECC"/>
          </w:tcPr>
          <w:p>
            <w:pPr>
              <w:spacing w:after="0"/>
              <w:rPr>
                <w:sz w:val="20"/>
                <w:szCs w:val="20"/>
                <w:color w:val="auto"/>
              </w:rPr>
            </w:pPr>
          </w:p>
        </w:tc>
        <w:tc>
          <w:tcPr>
            <w:tcW w:w="12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2012</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tcBorders>
              <w:bottom w:val="single" w:sz="8" w:color="auto"/>
            </w:tcBorders>
            <w:shd w:val="clear" w:color="auto" w:fill="CCEECC"/>
          </w:tcPr>
          <w:p>
            <w:pPr>
              <w:spacing w:after="0"/>
              <w:rPr>
                <w:sz w:val="20"/>
                <w:szCs w:val="20"/>
                <w:color w:val="auto"/>
              </w:rPr>
            </w:pPr>
          </w:p>
        </w:tc>
        <w:tc>
          <w:tcPr>
            <w:tcW w:w="130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b w:val="1"/>
                <w:bCs w:val="1"/>
                <w:color w:val="auto"/>
              </w:rPr>
              <w:t>2013</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4,957,016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0" w:type="dxa"/>
            <w:vAlign w:val="bottom"/>
            <w:gridSpan w:val="2"/>
            <w:shd w:val="clear" w:color="auto" w:fill="CCEECC"/>
          </w:tcPr>
          <w:p>
            <w:pPr>
              <w:spacing w:after="0"/>
              <w:rPr>
                <w:sz w:val="20"/>
                <w:szCs w:val="20"/>
                <w:color w:val="auto"/>
              </w:rPr>
            </w:pPr>
            <w:r>
              <w:rPr>
                <w:rFonts w:ascii="Arial" w:cs="Arial" w:eastAsia="Arial" w:hAnsi="Arial"/>
                <w:sz w:val="18"/>
                <w:szCs w:val="18"/>
                <w:color w:val="auto"/>
                <w:w w:val="95"/>
              </w:rPr>
              <w:t>Income (Loss) for the Period</w:t>
            </w:r>
          </w:p>
        </w:tc>
        <w:tc>
          <w:tcPr>
            <w:tcW w:w="46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3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850"/>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If we do not achieve sustainable profitability, we may not be able to continue our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have disclosed the restated numbers in our annual report on Form 10-K and will do so for subsequent filings. As such, the financial numbers will be adjusted in our ongoing SEC filings and the results of operations may differ from what we have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success depends on the expertise and continued service of our Chief Executive Officer, David Harrell, our Chief Operating Officer, David Lester, and certain other key technical personnel. It may be difficult to find a sufficiently qualified individual to replace management or other key technical personnel in the event of death, disability or resignation, resulting in our being unable to implement our business plan and we having no operations or revenues.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it will be able to attract competent employees, but no assurance can be given that we will be successful in this regard. If we are unable to engage and retain the necessary personnel, its business may be materially and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Lilly and Novartis. Our failure to retain existing customers or expand with additional customers could harmfully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and DrFirst.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1160" w:hanging="571"/>
        <w:spacing w:after="0" w:line="253"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hanging="571"/>
        <w:spacing w:after="0" w:line="25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9" w:lineRule="exact"/>
        <w:rPr>
          <w:rFonts w:ascii="Arial" w:cs="Arial" w:eastAsia="Arial" w:hAnsi="Arial"/>
          <w:sz w:val="18"/>
          <w:szCs w:val="18"/>
          <w:color w:val="auto"/>
        </w:rPr>
      </w:pPr>
    </w:p>
    <w:p>
      <w:pPr>
        <w:ind w:left="1160" w:hanging="571"/>
        <w:spacing w:after="0" w:line="290"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the following lawsuits.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recently learned of an action in New Jersey brought by Milton J. Wilpon and the Milton Wilpon 2000 Trust. Last November 2013, we were served notice that we would be added as an additional party to the case titled Mitlon Wilson et al. v. Continental Capital Corporation, C-289-06, in the Superior Court of New Jersey. There is an existing default judgment of roughly $700,000 plus fees and costs. On March 10, 2014, we were added as a defendant. The complaint adding us alleges that the judgment relates to a settlement agreement dating to 2001. We do not know the subject matter of the dispute that resulted in the settlement agreement. We must file an answer to the complaint on or before April 14, 2014. We plan to vigorously oppose plaintiffs’ attempt to hold us liable for the judgment. We may also seek third party claims against those that are involved in our being named in the lawsuit. We do not know the outcome of this litigation.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9,137,472 shares of our Common Stock. Of the shares of common stock being offered under this prospectus 8,333,333 were acquired by the purchasers in our March 2014 Private Placement and 804,139 shares are able to be acquired pursuant to the Agent Warrants we issued in connection with our March 2014 Private Placement, which Agent Warrants are currently exercisable.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common stock sold to the Selling Shareholders in the March 2014 Private Placement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22,809,586 shares of Common Stock issued and outstanding as of March 31, 2014. Beneficial ownership is determined under Section 13(d) of the Exchange Act and generally includes voting or investment power with respect to securities and including any securities that grant the Selling Shareholders the right to acquire Common Stock within 60 days of March 31, 2014.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9"/>
              </w:rPr>
              <w:t>Shares of Common Stock</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As a 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After the Sale of</w:t>
            </w:r>
          </w:p>
        </w:tc>
        <w:tc>
          <w:tcPr>
            <w:tcW w:w="0" w:type="dxa"/>
            <w:vAlign w:val="bottom"/>
          </w:tcPr>
          <w:p>
            <w:pPr>
              <w:spacing w:after="0"/>
              <w:rPr>
                <w:sz w:val="1"/>
                <w:szCs w:val="1"/>
                <w:color w:val="auto"/>
              </w:rPr>
            </w:pPr>
          </w:p>
        </w:tc>
      </w:tr>
      <w:tr>
        <w:trPr>
          <w:trHeight w:val="216"/>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Selling Shareholder</w:t>
            </w: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covered by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Covered by</w:t>
            </w: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Shares covered byShares covered by</w:t>
            </w:r>
          </w:p>
        </w:tc>
        <w:tc>
          <w:tcPr>
            <w:tcW w:w="0" w:type="dxa"/>
            <w:vAlign w:val="bottom"/>
          </w:tcPr>
          <w:p>
            <w:pPr>
              <w:spacing w:after="0"/>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Goldman Partners L.P.(1)</w:t>
            </w:r>
          </w:p>
        </w:tc>
        <w:tc>
          <w:tcPr>
            <w:tcW w:w="20" w:type="dxa"/>
            <w:vAlign w:val="bottom"/>
            <w:tcBorders>
              <w:top w:val="single" w:sz="8" w:color="auto"/>
            </w:tcBorders>
            <w:shd w:val="clear" w:color="auto" w:fill="CCEECC"/>
          </w:tcPr>
          <w:p>
            <w:pPr>
              <w:spacing w:after="0"/>
              <w:rPr>
                <w:sz w:val="18"/>
                <w:szCs w:val="18"/>
                <w:color w:val="auto"/>
              </w:rPr>
            </w:pPr>
          </w:p>
        </w:tc>
        <w:tc>
          <w:tcPr>
            <w:tcW w:w="14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Capital Ventures International(2)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600,000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w w:val="91"/>
              </w:rPr>
              <w:t>Michael Patrick Torok &amp; Sara Coleen Torok JT TEN</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Michael W. Taglich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Harvey L. Poppel IRA</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Bradley Louis Radoff</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3,250,000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3,250,000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Richard Smithline</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Wolverine Flagship Fund Trading Limited(3)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2,083,500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Robert F. Taglich</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Merriman Capital, Inc.(4)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591,613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591,613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Taglich Brothers, Inc.(5)</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Goldman Partners L.P. is the record and direct beneficial owner of the shares of common stock. Neal Goldman, as General Partner of Goldman Partners, L.P., has voting and disposition power of the shares owned by Goldman Partners, L.P.</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Heights Capital Management, Inc., the authorized agent of Capital Ventures International, has discretionary authority to vote and dispose of the shares held by Capital Ventures International. Martin Kobinger, in his capacity as Investment Manager of Heights Capital Management, Inc., also has investment discretion and voting power over the shares held by Capital Ventures International. As a result, each of Heights Capital Management, Inc. and Mr. Kobinger may be deemed to have beneficial ownership of the securities held by Capital Ventures International that are covered hereunder. Mr. Kobinger disclaims any such beneficial ownership of such securities.</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Wolverine Asset Management, LLC (“WAM”) is the investment manager of Wolverine Flagship Fund Trading Limited (the “Fund”) and consequently has voting and investment power over these securities. The sole member and manager of WAM is Wolverine Holdings, L.P. (“Wolverine Holdings”). Robert R. Bellick and Christopher L. Gust are deemed to control Wolverine Trading Partners, Inc. (“WTP”), the general partner of Wolverine Holdings, and therefore may be deemed to share voting and dispositive power over these securities. Each of Mr. Bellick, Mr. Gust, WTP, Wolverine Holdings, and WAM disclaims beneficial ownership of the shares held by the Fund.</w:t>
      </w:r>
    </w:p>
    <w:p>
      <w:pPr>
        <w:spacing w:after="0" w:line="1"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Merriman Capital, Inc. is a registered broker-dealer that served as the placement agent in connection with our March 2014 Private Placement. Jon Merriman is the CEO of Merriman Capital, Inc. and an affiliate of a registered-broker-dealer. Mr. Merriman has voting and dispositive power with respect to the warrants.</w:t>
      </w:r>
    </w:p>
    <w:p>
      <w:pPr>
        <w:ind w:left="660" w:right="18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recently learned of an action in New Jersey brought by Milton J. Wilpon and the Milton Wilpon 2000 Trust. Last November 2013, we were served notice that we would be added as an additional party to the case titled Mitlon Wilson et al. v. Continental Capital Corporation, C-289-06, in the Superior Court of New Jersey. There is an existing default judgment of roughly $700,000 plus fees and costs. On March 10, 2014, we were added as a defendant. The complaint adding us alleges that the judgment relates to a settlement agreement dating to 2001. We do not know the subject matter of the dispute that resulted in the settlement agreement. We must file an answer to the complaint on or before April 14, 2014. We plan to vigorously oppose plaintiffs’ attempt to hold us liable for the judgment. We may also seek third party claims against those that are involved in our being named in the lawsuit. We do not know the outcome of this litigation.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2013.</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200" w:type="dxa"/>
            <w:vAlign w:val="bottom"/>
            <w:gridSpan w:val="2"/>
          </w:tcPr>
          <w:p>
            <w:pPr>
              <w:ind w:left="38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Position(s) and Office(s) Held</w:t>
            </w:r>
          </w:p>
        </w:tc>
      </w:tr>
      <w:tr>
        <w:trPr>
          <w:trHeight w:val="195"/>
        </w:trPr>
        <w:tc>
          <w:tcPr>
            <w:tcW w:w="11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35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w w:val="96"/>
              </w:rPr>
              <w:t>Chief Operating Officer, Secretary, Treasurer</w:t>
            </w:r>
          </w:p>
        </w:tc>
      </w:tr>
      <w:tr>
        <w:trPr>
          <w:trHeight w:val="230"/>
        </w:trPr>
        <w:tc>
          <w:tcPr>
            <w:tcW w:w="12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David Lester</w:t>
            </w:r>
          </w:p>
        </w:tc>
        <w:tc>
          <w:tcPr>
            <w:tcW w:w="8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56</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and Director</w:t>
            </w:r>
          </w:p>
        </w:tc>
      </w:tr>
      <w:tr>
        <w:trPr>
          <w:trHeight w:val="202"/>
        </w:trPr>
        <w:tc>
          <w:tcPr>
            <w:tcW w:w="12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David A.</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Chairman, Chief Executive Officer, Chief</w:t>
            </w: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Harrell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Strategic Officer and Director</w:t>
            </w:r>
          </w:p>
        </w:tc>
      </w:tr>
      <w:tr>
        <w:trPr>
          <w:trHeight w:val="202"/>
        </w:trPr>
        <w:tc>
          <w:tcPr>
            <w:tcW w:w="12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Terence J.</w:t>
            </w: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2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Hamilton</w:t>
            </w:r>
          </w:p>
        </w:tc>
        <w:tc>
          <w:tcPr>
            <w:tcW w:w="8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Director and VP of Sales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our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as of March 31, 2014,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1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Amount of</w:t>
            </w: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44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rPr>
              <w:t>beneficial</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class</w:t>
            </w:r>
          </w:p>
        </w:tc>
        <w:tc>
          <w:tcPr>
            <w:tcW w:w="120" w:type="dxa"/>
            <w:vAlign w:val="bottom"/>
            <w:tcBorders>
              <w:bottom w:val="single" w:sz="8" w:color="CCEECC"/>
            </w:tcBorders>
          </w:tcPr>
          <w:p>
            <w:pPr>
              <w:spacing w:after="0"/>
              <w:rPr>
                <w:sz w:val="23"/>
                <w:szCs w:val="23"/>
                <w:color w:val="auto"/>
              </w:rPr>
            </w:pPr>
          </w:p>
        </w:tc>
        <w:tc>
          <w:tcPr>
            <w:tcW w:w="178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beneficial owner</w:t>
            </w:r>
            <w:r>
              <w:rPr>
                <w:rFonts w:ascii="Arial" w:cs="Arial" w:eastAsia="Arial" w:hAnsi="Arial"/>
                <w:sz w:val="30"/>
                <w:szCs w:val="30"/>
                <w:b w:val="1"/>
                <w:bCs w:val="1"/>
                <w:color w:val="auto"/>
                <w:vertAlign w:val="superscript"/>
              </w:rPr>
              <w:t>(1)</w:t>
            </w:r>
          </w:p>
        </w:tc>
        <w:tc>
          <w:tcPr>
            <w:tcW w:w="200" w:type="dxa"/>
            <w:vAlign w:val="bottom"/>
            <w:tcBorders>
              <w:bottom w:val="single" w:sz="8" w:color="CCEECC"/>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ownership</w:t>
            </w:r>
          </w:p>
        </w:tc>
        <w:tc>
          <w:tcPr>
            <w:tcW w:w="140" w:type="dxa"/>
            <w:vAlign w:val="bottom"/>
            <w:tcBorders>
              <w:bottom w:val="single" w:sz="8" w:color="CCEECC"/>
            </w:tcBorders>
          </w:tcPr>
          <w:p>
            <w:pPr>
              <w:spacing w:after="0"/>
              <w:rPr>
                <w:sz w:val="23"/>
                <w:szCs w:val="23"/>
                <w:color w:val="auto"/>
              </w:rPr>
            </w:pPr>
          </w:p>
        </w:tc>
        <w:tc>
          <w:tcPr>
            <w:tcW w:w="9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(2)</w:t>
            </w:r>
          </w:p>
        </w:tc>
        <w:tc>
          <w:tcPr>
            <w:tcW w:w="160" w:type="dxa"/>
            <w:vAlign w:val="bottom"/>
            <w:tcBorders>
              <w:bottom w:val="single" w:sz="8" w:color="CCEEC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CC"/>
          </w:tcPr>
          <w:p>
            <w:pPr>
              <w:spacing w:after="0"/>
              <w:rPr>
                <w:sz w:val="21"/>
                <w:szCs w:val="21"/>
                <w:color w:val="auto"/>
              </w:rPr>
            </w:pPr>
          </w:p>
        </w:tc>
        <w:tc>
          <w:tcPr>
            <w:tcW w:w="1780" w:type="dxa"/>
            <w:vAlign w:val="bottom"/>
            <w:shd w:val="clear" w:color="auto" w:fill="CCEECC"/>
          </w:tcPr>
          <w:p>
            <w:pPr>
              <w:spacing w:after="0" w:line="250"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(3)</w:t>
            </w:r>
          </w:p>
        </w:tc>
        <w:tc>
          <w:tcPr>
            <w:tcW w:w="200" w:type="dxa"/>
            <w:vAlign w:val="bottom"/>
            <w:shd w:val="clear" w:color="auto" w:fill="CCEECC"/>
          </w:tcPr>
          <w:p>
            <w:pPr>
              <w:spacing w:after="0"/>
              <w:rPr>
                <w:sz w:val="21"/>
                <w:szCs w:val="21"/>
                <w:color w:val="auto"/>
              </w:rPr>
            </w:pP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483,348</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David Harrell</w:t>
            </w:r>
            <w:r>
              <w:rPr>
                <w:rFonts w:ascii="Arial" w:cs="Arial" w:eastAsia="Arial" w:hAnsi="Arial"/>
                <w:sz w:val="29"/>
                <w:szCs w:val="29"/>
                <w:color w:val="auto"/>
                <w:vertAlign w:val="superscript"/>
              </w:rPr>
              <w:t>(4)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3,599,687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7"/>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(5)</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754,812</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Arial" w:cs="Arial" w:eastAsia="Arial" w:hAnsi="Arial"/>
                <w:sz w:val="18"/>
                <w:szCs w:val="18"/>
                <w:b w:val="1"/>
                <w:bCs w:val="1"/>
                <w:color w:val="auto"/>
              </w:rPr>
              <w:t>Total of All Directors and</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4,837,847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8"/>
        </w:trPr>
        <w:tc>
          <w:tcPr>
            <w:tcW w:w="220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More Than 5% Beneficial</w:t>
            </w:r>
          </w:p>
        </w:tc>
        <w:tc>
          <w:tcPr>
            <w:tcW w:w="120" w:type="dxa"/>
            <w:vAlign w:val="bottom"/>
            <w:shd w:val="clear" w:color="auto" w:fill="CCEECC"/>
          </w:tcPr>
          <w:p>
            <w:pPr>
              <w:spacing w:after="0"/>
              <w:rPr>
                <w:sz w:val="17"/>
                <w:szCs w:val="17"/>
                <w:color w:val="auto"/>
              </w:rPr>
            </w:pPr>
          </w:p>
        </w:tc>
        <w:tc>
          <w:tcPr>
            <w:tcW w:w="17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Owners:</w:t>
            </w:r>
          </w:p>
        </w:tc>
        <w:tc>
          <w:tcPr>
            <w:tcW w:w="120" w:type="dxa"/>
            <w:vAlign w:val="bottom"/>
            <w:shd w:val="clear" w:color="auto" w:fill="CCEECC"/>
          </w:tcPr>
          <w:p>
            <w:pPr>
              <w:spacing w:after="0"/>
              <w:rPr>
                <w:sz w:val="20"/>
                <w:szCs w:val="20"/>
                <w:color w:val="auto"/>
              </w:rPr>
            </w:pPr>
          </w:p>
        </w:tc>
        <w:tc>
          <w:tcPr>
            <w:tcW w:w="178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21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Bradley Louis Radoff</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117 W Loop S, Ste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1625 Houston, TX</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77027</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3,250,000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200" w:type="dxa"/>
            <w:vAlign w:val="bottom"/>
            <w:shd w:val="clear" w:color="auto" w:fill="CCEECC"/>
          </w:tcPr>
          <w:p>
            <w:pPr>
              <w:spacing w:after="0"/>
              <w:rPr>
                <w:sz w:val="17"/>
                <w:szCs w:val="17"/>
                <w:color w:val="auto"/>
              </w:rPr>
            </w:pPr>
          </w:p>
        </w:tc>
        <w:tc>
          <w:tcPr>
            <w:tcW w:w="2100" w:type="dxa"/>
            <w:vAlign w:val="bottom"/>
            <w:gridSpan w:val="3"/>
            <w:shd w:val="clear" w:color="auto" w:fill="CCEECC"/>
          </w:tcPr>
          <w:p>
            <w:pPr>
              <w:ind w:left="120"/>
              <w:spacing w:after="0" w:line="201" w:lineRule="exact"/>
              <w:rPr>
                <w:sz w:val="20"/>
                <w:szCs w:val="20"/>
                <w:color w:val="auto"/>
              </w:rPr>
            </w:pPr>
            <w:r>
              <w:rPr>
                <w:rFonts w:ascii="Arial" w:cs="Arial" w:eastAsia="Arial" w:hAnsi="Arial"/>
                <w:sz w:val="18"/>
                <w:szCs w:val="18"/>
                <w:color w:val="auto"/>
              </w:rPr>
              <w:t>Wolverine Flagship</w:t>
            </w: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Fund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Trading Limited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175 W Jackson Blvd,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3rd Flr</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Chicago, IL 60604</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2,083,500</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812"/>
        <w:spacing w:after="0" w:line="218" w:lineRule="auto"/>
        <w:tabs>
          <w:tab w:leader="none" w:pos="8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30"/>
          <w:szCs w:val="30"/>
          <w:color w:val="auto"/>
          <w:vertAlign w:val="superscript"/>
        </w:rPr>
      </w:pPr>
    </w:p>
    <w:p>
      <w:pPr>
        <w:ind w:left="820" w:hanging="812"/>
        <w:spacing w:after="0" w:line="180" w:lineRule="auto"/>
        <w:tabs>
          <w:tab w:leader="none" w:pos="82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percent of class is based on 22,809,586 voting shares as of March 31, 2014.</w:t>
      </w:r>
    </w:p>
    <w:p>
      <w:pPr>
        <w:spacing w:after="0" w:line="2" w:lineRule="exact"/>
        <w:rPr>
          <w:rFonts w:ascii="Arial" w:cs="Arial" w:eastAsia="Arial" w:hAnsi="Arial"/>
          <w:sz w:val="25"/>
          <w:szCs w:val="25"/>
          <w:color w:val="auto"/>
          <w:vertAlign w:val="superscript"/>
        </w:rPr>
      </w:pPr>
    </w:p>
    <w:p>
      <w:pPr>
        <w:ind w:left="820" w:hanging="812"/>
        <w:spacing w:after="0" w:line="186" w:lineRule="auto"/>
        <w:tabs>
          <w:tab w:leader="none" w:pos="82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Includes 428,348 shares held in his name and options to purchase 55,000 shares of common stock at $1.00 per share.</w:t>
      </w:r>
    </w:p>
    <w:p>
      <w:pPr>
        <w:spacing w:after="0" w:line="2" w:lineRule="exact"/>
        <w:rPr>
          <w:rFonts w:ascii="Arial" w:cs="Arial" w:eastAsia="Arial" w:hAnsi="Arial"/>
          <w:sz w:val="24"/>
          <w:szCs w:val="24"/>
          <w:color w:val="auto"/>
          <w:vertAlign w:val="superscript"/>
        </w:rPr>
      </w:pPr>
    </w:p>
    <w:p>
      <w:pPr>
        <w:ind w:left="820" w:hanging="812"/>
        <w:spacing w:after="0" w:line="187" w:lineRule="auto"/>
        <w:tabs>
          <w:tab w:leader="none" w:pos="8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3,197,187 shares held in his name, options to purchase 402,500 shares of common stock at prices ranging from of $1.00 to $1.81 per share.</w:t>
      </w:r>
    </w:p>
    <w:p>
      <w:pPr>
        <w:ind w:left="820" w:hanging="812"/>
        <w:spacing w:after="0" w:line="180" w:lineRule="auto"/>
        <w:tabs>
          <w:tab w:leader="none" w:pos="82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Includes 527,312 shares held in his name and options to purchase 227,500 shares of common stock at a price of $1.00 per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March 31, 2014 there were 22,809,586 shares of our common stock issued and outstanding and 0 shares of our preferred stock issued and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with each of the Selling Shareholders (the “Registration Rights Agreement”). The Registration Rights Agreement requires us to file a registration statement (the “Registration Statement”) with the Securities and Exchange Commission (the “SEC”) within forty-five (45) days of the closing date of the March 2014 Private Placement (the “Filing Date”) for the resale by the Selling Shareholders of all of the Common Shares acquired in the March 2014 Private Placement and all shares of Common Stock issuable upon any stock split, dividend or other distribution, recapitalization or similar event with respect thereto (the “Registrable Securities”). We agreed to use our commercially reasonable efforts to cause the Registration Statement to be declared effective by the SEC no later than ninety (90) days after the closing date of the March 2014 Private Placement (the “Effectiveness Date”) subject to certain adjustments. Upon the occurrence of certain events (each an “Event”), including, but not limited to, that the Registration Statement is not filed prior to the Filing Date, we will be required to pay liquidated damages to each of the Selling Shareholders equal to 1.5% of the aggregate purchase price paid by such Selling Shareholders for the Registrable Securities upon the date of the Event and then monthly thereafter until the earlier of: (i) the Event is cured, or (ii) the registrable shares are eligible for resale under Rule 144 without manner of sale or volume limitations. In no event shall the aggregate amount of liquidated damages payable to each of the Selling Shareholders exceed in the aggregate 10% of the aggregate purchase price paid by such Selling Shareholders for the Registrable Securities.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agreed to use our commercially reasonable efforts to keep the Registration Statement effective for resales until the earlier of (1) one year from the closing date (2) the date that all of the shares of our common stock included in the Registration Statement have been resold thereunder or under Rule 144 promulgated under the Securities Act, or (3) the date that all of the shares of our common stock covered by such registration statement may be sold without volume or manner of sale restrictions under Rule 144. The registration rights agreement contains cross-indemnification provisions between us and the Selling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13,658,334shares of our common stock at a weighted average exercise price of $2.44 as of December 31,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125,000 shares of our common stock at a weighted average exercise price of $1.00 as of December 31,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 Bulletin Board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Cane Clark LLP, our independent legal counsel, has provided an opinion on the validity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Certified Public Accountants and Advisors have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finished the fourth quarter with revenues of $1,810,610 bringing revenue for fiscal 2013 to a total of $4,957,016, an increase of 149% over 2012. We achieved net income of $215,847 for the year. Our year end also recognizes a onetime adjustment relative to our cost of goods sold and reflects a change in accounting procedures for these expenses. Prior reporting was based upon how the revenue share expenses were paid per the agreements held with OPTIMIZERx’s channel partners. The change in accounting process will now accrue the expense as it is incurred.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continued growth in revenues is again primarily driven by our SampleMD content delivery solution. During the 2013 fiscal year, OPTIMIZERx delivered some 1,122,589 new ePrescriptions with co-pay coupons or free sample vouchers helping patients more affordably start and stay on their prescribed medications.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be very enthusiastic about our growth and the state of our core business. We continue to be resilient in growing our business throughout the year and it is a testament to the core employee base and the dedication of our management and employees alike to move the organization forward. We have gained the confidence of pharmaceutical manufacturers and partners, and continue to add new clients and partners that increases our offering portfolio and expands our network reach.</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half of the year we have initiated a major technology undertaking to develop SampleMD 2.0. This effort is focused on moving our technology from flash to HTML 5 based that will improve our response times and user interfaces and offer infinite scalability to support our expected growth. Additionally, this work focuses on building modularity for ease of adding new features and functions to the core solution while simplifying the integration process with future partners and other solution providers. On top of building out our updated software solution, we are also updating our infrastructure by replacing and updating our computers in a high availability environment, taking greater precautions for security and building out the architecture to facilitate disaster recovery with a secondary facilitated computer environment. This investment will increase performance, simplify integrations, insure availability and protect the investments of our shareholders. It is anticipated that the release of SampleMD 2.0 be fully implemented by April 2014.</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Initial market reaction to the OPTIMIZERx announcement of its emerging OPTIMIZEHR consulting practice has been very positive as we have engaged in our first two (2) major pharmaceutical manufacture EHR strategy initiatives (pilot projects). Coordinating efforts with our strategic partners, we have collaborated to deliver sound strategy for each of these manufacturers. These efforts have resulted in ongoing and growing commitments by these clients with new and expanded contracts. OPTIMIZERx will continue to work with its partners in building out this practice as more clients are interested in Drug File Integration, Sales Force Training and Strategy.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are expanding our partnership with WPP and have completed account sales training of Grey Health account personnel to resell our services. We are also working with their other agencies, including Sudler, who have expressed a strong interest in additionally collaborating to sell and develop new services. The partnership has also been highly received by the pharmaceutical and EHR industries.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our efforts are reflected in the growth and record revenues experienced during 2013 despite overcoming growth challenges presented in the year. The company remained very resilient and with the dedication of the employees and management, these challenges were overcome and the company remained profitable for the year and continued to generate cash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Going forward into the New Year, we continue to drive our three primary messages to the pharmaceutical industry:</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SampleMD has the largest capacity to deliver targeted promotional and incentive messaging to physicians at point of prescription through interoperability with multiple disparate electronic health platforms;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 health platforms (EMRs, eRx, Patient Portals) are the most cost-effective way to reach physicians and patients, as opposed to external web sites that have been traditionally the focus of their non-rep marketing, and should therefore be an increasing focus for all pharmaceutical marketing dollars.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Pharmaceutical brands must move their Financial and Educational Support programs into the physicians ePrescribe workflow to increase prescriptions and fill rates. Samples are continuing to be restricted, as are pharmaceutical reps regular access and this is the most effective alternative channel with demonstrated strong ROI.</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remain committed to working with top organizations to provided better affordability and access to healthcare for the patients we serve. To achieve this, we will continue to work with leading providers in partnering to provide simple to use solutions. As compliance and regulatory requirements (i.e. meaningful use) continue to surround healthcare providers, OptimizeRx continues through its partnerships and internal R&amp;D to become the “HUB” for providing access to these ease-of-use solutions.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setting the standards within this new frontier of digital EMR solution marketing for patient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65"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2" w:lineRule="exact"/>
        <w:rPr>
          <w:rFonts w:ascii="Arial" w:cs="Arial" w:eastAsia="Arial" w:hAnsi="Arial"/>
          <w:sz w:val="17"/>
          <w:szCs w:val="17"/>
          <w:color w:val="auto"/>
        </w:rPr>
      </w:pPr>
    </w:p>
    <w:p>
      <w:pPr>
        <w:jc w:val="both"/>
        <w:ind w:left="660" w:hanging="328"/>
        <w:spacing w:after="0" w:line="29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62"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2014, we had 13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operating expenses to increase slightly, with the most increase coming as we will continue to add personnel to strengthen our operations, sales and marketing efforts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2013, we had total current assets of $2,696,978 and total assets in the amount of $4,008,020. Our total current liabilities as of December 31, 2013 were $1,968,652. We had working capital of $728,326 as of December 31,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activities provided $1,132,628 in cash for the year ended December 31, 2013. Our revenue share payable of $1,103,084, stock-based compensation of $399,092, net income of $215,847 and depreciation and amortization of $193,791 were the primary components of our positive operating cash flow, offset mainly by accounts receivable of $950,166.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$298,648 during the year ended December 31, 2013 largely as a result of patent rights and website development costs.</w:t>
      </w:r>
    </w:p>
    <w:p>
      <w:pPr>
        <w:spacing w:after="0" w:line="23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the transactions described below and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we raised gross proceeds of $10,000,000 in the March 2014 Private Placement with certain accredited investors. We used a portion of the net proceeds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2880" w:type="dxa"/>
        <w:tblCellMar>
          <w:top w:w="0" w:type="dxa"/>
          <w:left w:w="0" w:type="dxa"/>
          <w:bottom w:w="0" w:type="dxa"/>
          <w:right w:w="0" w:type="dxa"/>
        </w:tblCellMar>
      </w:tblPr>
      <w:tr>
        <w:trPr>
          <w:trHeight w:val="210"/>
        </w:trPr>
        <w:tc>
          <w:tcPr>
            <w:tcW w:w="19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900" w:type="dxa"/>
            <w:vAlign w:val="bottom"/>
            <w:tcBorders>
              <w:top w:val="single" w:sz="8" w:color="auto"/>
            </w:tcBorders>
            <w:gridSpan w:val="2"/>
            <w:shd w:val="clear" w:color="auto" w:fill="CCEECC"/>
          </w:tcPr>
          <w:p>
            <w:pPr>
              <w:jc w:val="center"/>
              <w:ind w:right="4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0.85</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0.43</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2012</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0.75</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0.53</w:t>
            </w:r>
          </w:p>
        </w:tc>
        <w:tc>
          <w:tcPr>
            <w:tcW w:w="60" w:type="dxa"/>
            <w:vAlign w:val="bottom"/>
          </w:tcPr>
          <w:p>
            <w:pPr>
              <w:spacing w:after="0"/>
              <w:rPr>
                <w:sz w:val="20"/>
                <w:szCs w:val="20"/>
                <w:color w:val="auto"/>
              </w:rPr>
            </w:pPr>
          </w:p>
        </w:tc>
      </w:tr>
      <w:tr>
        <w:trPr>
          <w:trHeight w:val="418"/>
        </w:trPr>
        <w:tc>
          <w:tcPr>
            <w:tcW w:w="4400" w:type="dxa"/>
            <w:vAlign w:val="bottom"/>
            <w:tcBorders>
              <w:bottom w:val="single" w:sz="8" w:color="auto"/>
            </w:tcBorders>
            <w:gridSpan w:val="7"/>
          </w:tcPr>
          <w:p>
            <w:pPr>
              <w:ind w:left="1420"/>
              <w:spacing w:after="0"/>
              <w:rPr>
                <w:sz w:val="20"/>
                <w:szCs w:val="20"/>
                <w:color w:val="auto"/>
              </w:rPr>
            </w:pPr>
            <w:r>
              <w:rPr>
                <w:rFonts w:ascii="Arial" w:cs="Arial" w:eastAsia="Arial" w:hAnsi="Arial"/>
                <w:sz w:val="18"/>
                <w:szCs w:val="18"/>
                <w:color w:val="auto"/>
                <w:w w:val="94"/>
              </w:rPr>
              <w:t>Fiscal Year Ending December 31, 2013</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0.91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0.88</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2013</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1.12</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0.96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April 8, 2014, the last sales price per share of our common stock was $1.92.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had 22,809,586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18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2013</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B</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w:t>
            </w:r>
          </w:p>
        </w:tc>
      </w:tr>
      <w:tr>
        <w:trPr>
          <w:trHeight w:val="195"/>
        </w:trPr>
        <w:tc>
          <w:tcPr>
            <w:tcW w:w="2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 of securities</w:t>
            </w:r>
          </w:p>
        </w:tc>
        <w:tc>
          <w:tcPr>
            <w:tcW w:w="2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securities to be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issued upon</w:t>
            </w: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Weighted-average</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under equity</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exercise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exercise price of</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compensation plans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options, warrants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options, warrants</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reflected in column</w:t>
            </w: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rPr>
              <w:t>Plan Category</w:t>
            </w: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and rights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and right</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w:t>
            </w:r>
          </w:p>
        </w:tc>
      </w:tr>
      <w:tr>
        <w:trPr>
          <w:trHeight w:val="182"/>
        </w:trPr>
        <w:tc>
          <w:tcPr>
            <w:tcW w:w="4580" w:type="dxa"/>
            <w:vAlign w:val="bottom"/>
            <w:gridSpan w:val="2"/>
          </w:tcPr>
          <w:p>
            <w:pPr>
              <w:ind w:left="230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w w:val="98"/>
              </w:rPr>
              <w:t>approved by security holders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82"/>
        </w:trPr>
        <w:tc>
          <w:tcPr>
            <w:tcW w:w="2300" w:type="dxa"/>
            <w:vAlign w:val="bottom"/>
          </w:tcPr>
          <w:p>
            <w:pPr>
              <w:spacing w:after="0"/>
              <w:rPr>
                <w:sz w:val="15"/>
                <w:szCs w:val="15"/>
                <w:color w:val="auto"/>
              </w:rPr>
            </w:pPr>
          </w:p>
        </w:tc>
        <w:tc>
          <w:tcPr>
            <w:tcW w:w="2280" w:type="dxa"/>
            <w:vAlign w:val="bottom"/>
            <w:tcBorders>
              <w:top w:val="single" w:sz="8" w:color="CCEECC"/>
            </w:tcBorders>
            <w:shd w:val="clear" w:color="auto" w:fill="CCEECC"/>
          </w:tcPr>
          <w:p>
            <w:pPr>
              <w:ind w:left="8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2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560" w:type="dxa"/>
            <w:vAlign w:val="bottom"/>
            <w:tcBorders>
              <w:top w:val="single" w:sz="8" w:color="auto"/>
              <w:right w:val="single" w:sz="8" w:color="CCEECC"/>
            </w:tcBorders>
            <w:shd w:val="clear" w:color="auto" w:fill="CCEECC"/>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300" w:type="dxa"/>
            <w:vAlign w:val="bottom"/>
          </w:tcPr>
          <w:p>
            <w:pPr>
              <w:spacing w:after="0"/>
              <w:rPr>
                <w:sz w:val="18"/>
                <w:szCs w:val="18"/>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not approved by security</w:t>
            </w:r>
          </w:p>
        </w:tc>
        <w:tc>
          <w:tcPr>
            <w:tcW w:w="13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560" w:type="dxa"/>
            <w:vAlign w:val="bottom"/>
            <w:tcBorders>
              <w:right w:val="single" w:sz="8" w:color="CCEECC"/>
            </w:tcBorders>
            <w:shd w:val="clear" w:color="auto" w:fill="CCEEC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holders</w:t>
            </w:r>
          </w:p>
        </w:tc>
        <w:tc>
          <w:tcPr>
            <w:tcW w:w="14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13,783,334</w:t>
            </w:r>
          </w:p>
        </w:tc>
        <w:tc>
          <w:tcPr>
            <w:tcW w:w="40" w:type="dxa"/>
            <w:vAlign w:val="bottom"/>
            <w:shd w:val="clear" w:color="auto" w:fill="CCEECC"/>
          </w:tcPr>
          <w:p>
            <w:pPr>
              <w:spacing w:after="0"/>
              <w:rPr>
                <w:sz w:val="20"/>
                <w:szCs w:val="20"/>
                <w:color w:val="auto"/>
              </w:rPr>
            </w:pPr>
          </w:p>
        </w:tc>
        <w:tc>
          <w:tcPr>
            <w:tcW w:w="1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CC"/>
          </w:tcPr>
          <w:p>
            <w:pPr>
              <w:spacing w:after="0"/>
              <w:rPr>
                <w:sz w:val="20"/>
                <w:szCs w:val="20"/>
                <w:color w:val="auto"/>
              </w:rPr>
            </w:pPr>
          </w:p>
        </w:tc>
        <w:tc>
          <w:tcPr>
            <w:tcW w:w="1560" w:type="dxa"/>
            <w:vAlign w:val="bottom"/>
            <w:tcBorders>
              <w:right w:val="single" w:sz="8" w:color="CCEECC"/>
            </w:tcBorders>
            <w:shd w:val="clear" w:color="auto" w:fill="CCEECC"/>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2013 and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1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Option</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6"/>
              </w:rPr>
              <w:t>Non-Equity</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3"/>
              </w:rPr>
              <w:t>Nonqualified</w:t>
            </w:r>
          </w:p>
        </w:tc>
        <w:tc>
          <w:tcPr>
            <w:tcW w:w="11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9"/>
              </w:rPr>
              <w:t>All 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Name and</w:t>
            </w:r>
          </w:p>
        </w:tc>
        <w:tc>
          <w:tcPr>
            <w:tcW w:w="580" w:type="dxa"/>
            <w:vAlign w:val="bottom"/>
            <w:gridSpan w:val="2"/>
            <w:vMerge w:val="restart"/>
          </w:tcPr>
          <w:p>
            <w:pPr>
              <w:ind w:left="120"/>
              <w:spacing w:after="0"/>
              <w:rPr>
                <w:sz w:val="20"/>
                <w:szCs w:val="20"/>
                <w:color w:val="auto"/>
              </w:rPr>
            </w:pPr>
            <w:r>
              <w:rPr>
                <w:rFonts w:ascii="Arial" w:cs="Arial" w:eastAsia="Arial" w:hAnsi="Arial"/>
                <w:sz w:val="18"/>
                <w:szCs w:val="18"/>
                <w:color w:val="auto"/>
              </w:rPr>
              <w:t>Year</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Salary</w:t>
            </w: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Bonus</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Stock</w:t>
            </w:r>
          </w:p>
        </w:tc>
        <w:tc>
          <w:tcPr>
            <w:tcW w:w="680" w:type="dxa"/>
            <w:vAlign w:val="bottom"/>
            <w:gridSpan w:val="2"/>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Incentive Plan</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Deferred</w:t>
            </w:r>
          </w:p>
        </w:tc>
        <w:tc>
          <w:tcPr>
            <w:tcW w:w="1120" w:type="dxa"/>
            <w:vAlign w:val="bottom"/>
            <w:gridSpan w:val="2"/>
            <w:vMerge w:val="continue"/>
          </w:tcPr>
          <w:p>
            <w:pPr>
              <w:spacing w:after="0"/>
              <w:rPr>
                <w:sz w:val="18"/>
                <w:szCs w:val="18"/>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7"/>
        </w:trPr>
        <w:tc>
          <w:tcPr>
            <w:tcW w:w="122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principal</w:t>
            </w:r>
          </w:p>
        </w:tc>
        <w:tc>
          <w:tcPr>
            <w:tcW w:w="580" w:type="dxa"/>
            <w:vAlign w:val="bottom"/>
            <w:gridSpan w:val="2"/>
            <w:vMerge w:val="continue"/>
          </w:tcPr>
          <w:p>
            <w:pPr>
              <w:spacing w:after="0"/>
              <w:rPr>
                <w:sz w:val="15"/>
                <w:szCs w:val="15"/>
                <w:color w:val="auto"/>
              </w:rPr>
            </w:pPr>
          </w:p>
        </w:tc>
        <w:tc>
          <w:tcPr>
            <w:tcW w:w="64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line="177" w:lineRule="exact"/>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center"/>
              <w:ind w:right="20"/>
              <w:spacing w:after="0" w:line="177" w:lineRule="exact"/>
              <w:rPr>
                <w:sz w:val="20"/>
                <w:szCs w:val="20"/>
                <w:color w:val="auto"/>
              </w:rPr>
            </w:pPr>
            <w:r>
              <w:rPr>
                <w:rFonts w:ascii="Arial" w:cs="Arial" w:eastAsia="Arial" w:hAnsi="Arial"/>
                <w:sz w:val="18"/>
                <w:szCs w:val="18"/>
                <w:color w:val="auto"/>
                <w:w w:val="89"/>
              </w:rPr>
              <w:t>Awards</w:t>
            </w:r>
          </w:p>
        </w:tc>
        <w:tc>
          <w:tcPr>
            <w:tcW w:w="3360" w:type="dxa"/>
            <w:vAlign w:val="bottom"/>
            <w:gridSpan w:val="6"/>
          </w:tcPr>
          <w:p>
            <w:pPr>
              <w:jc w:val="center"/>
              <w:ind w:right="20"/>
              <w:spacing w:after="0" w:line="177" w:lineRule="exact"/>
              <w:rPr>
                <w:sz w:val="20"/>
                <w:szCs w:val="20"/>
                <w:color w:val="auto"/>
              </w:rPr>
            </w:pPr>
            <w:r>
              <w:rPr>
                <w:rFonts w:ascii="Arial" w:cs="Arial" w:eastAsia="Arial" w:hAnsi="Arial"/>
                <w:sz w:val="18"/>
                <w:szCs w:val="18"/>
                <w:color w:val="auto"/>
                <w:w w:val="92"/>
              </w:rPr>
              <w:t>Compensation Compensation Compensation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line="268" w:lineRule="exact"/>
              <w:rPr>
                <w:sz w:val="20"/>
                <w:szCs w:val="20"/>
                <w:color w:val="auto"/>
              </w:rPr>
            </w:pPr>
            <w:r>
              <w:rPr>
                <w:rFonts w:ascii="Arial" w:cs="Arial" w:eastAsia="Arial" w:hAnsi="Arial"/>
                <w:sz w:val="31"/>
                <w:szCs w:val="31"/>
                <w:color w:val="auto"/>
                <w:w w:val="89"/>
                <w:vertAlign w:val="subscript"/>
              </w:rPr>
              <w:t>($)</w:t>
            </w:r>
            <w:r>
              <w:rPr>
                <w:rFonts w:ascii="Arial" w:cs="Arial" w:eastAsia="Arial" w:hAnsi="Arial"/>
                <w:sz w:val="14"/>
                <w:szCs w:val="14"/>
                <w:color w:val="auto"/>
                <w:w w:val="89"/>
              </w:rPr>
              <w:t>(2)</w:t>
            </w:r>
          </w:p>
        </w:tc>
        <w:tc>
          <w:tcPr>
            <w:tcW w:w="60" w:type="dxa"/>
            <w:vAlign w:val="bottom"/>
          </w:tcPr>
          <w:p>
            <w:pPr>
              <w:spacing w:after="0"/>
              <w:rPr>
                <w:sz w:val="23"/>
                <w:szCs w:val="23"/>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Earnings ($)</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5"/>
        </w:trPr>
        <w:tc>
          <w:tcPr>
            <w:tcW w:w="1180" w:type="dxa"/>
            <w:vAlign w:val="bottom"/>
            <w:tcBorders>
              <w:top w:val="single" w:sz="8" w:color="auto"/>
            </w:tcBorders>
            <w:shd w:val="clear" w:color="auto" w:fill="CCEECC"/>
          </w:tcPr>
          <w:p>
            <w:pPr>
              <w:ind w:left="20"/>
              <w:spacing w:after="0" w:line="195" w:lineRule="exact"/>
              <w:rPr>
                <w:sz w:val="20"/>
                <w:szCs w:val="20"/>
                <w:color w:val="auto"/>
              </w:rPr>
            </w:pPr>
            <w:r>
              <w:rPr>
                <w:rFonts w:ascii="Arial" w:cs="Arial" w:eastAsia="Arial" w:hAnsi="Arial"/>
                <w:sz w:val="18"/>
                <w:szCs w:val="18"/>
                <w:color w:val="auto"/>
                <w:w w:val="97"/>
              </w:rPr>
              <w:t>Shad Stastney</w:t>
            </w:r>
          </w:p>
        </w:tc>
        <w:tc>
          <w:tcPr>
            <w:tcW w:w="40" w:type="dxa"/>
            <w:vAlign w:val="bottom"/>
            <w:tcBorders>
              <w:top w:val="single" w:sz="8" w:color="CCEECC"/>
            </w:tcBorders>
            <w:shd w:val="clear" w:color="auto" w:fill="CCEECC"/>
          </w:tcPr>
          <w:p>
            <w:pPr>
              <w:spacing w:after="0"/>
              <w:rPr>
                <w:sz w:val="16"/>
                <w:szCs w:val="16"/>
                <w:color w:val="auto"/>
              </w:rPr>
            </w:pPr>
          </w:p>
        </w:tc>
        <w:tc>
          <w:tcPr>
            <w:tcW w:w="54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60" w:type="dxa"/>
            <w:vAlign w:val="bottom"/>
            <w:tcBorders>
              <w:top w:val="single" w:sz="8" w:color="auto"/>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Former</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4"/>
              </w:rPr>
              <w:t>President, CEO</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and 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vMerge w:val="continue"/>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126,762</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126,762</w:t>
            </w: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David Lester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Treasurer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0"/>
              </w:rPr>
              <w:t>10,000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172,500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CC"/>
          </w:tcPr>
          <w:p>
            <w:pPr>
              <w:ind w:left="20"/>
              <w:spacing w:after="0" w:line="201" w:lineRule="exact"/>
              <w:rPr>
                <w:sz w:val="20"/>
                <w:szCs w:val="20"/>
                <w:color w:val="auto"/>
              </w:rPr>
            </w:pPr>
            <w:r>
              <w:rPr>
                <w:rFonts w:ascii="Arial" w:cs="Arial" w:eastAsia="Arial" w:hAnsi="Arial"/>
                <w:sz w:val="18"/>
                <w:szCs w:val="18"/>
                <w:color w:val="auto"/>
              </w:rPr>
              <w:t>David A.</w:t>
            </w:r>
          </w:p>
        </w:tc>
        <w:tc>
          <w:tcPr>
            <w:tcW w:w="5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Harrell</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Executive</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Strategic</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and</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89"/>
              </w:rPr>
              <w:t>166,698</w:t>
            </w:r>
          </w:p>
        </w:tc>
        <w:tc>
          <w:tcPr>
            <w:tcW w:w="60" w:type="dxa"/>
            <w:vAlign w:val="bottom"/>
            <w:shd w:val="clear" w:color="auto" w:fill="CCEECC"/>
          </w:tcPr>
          <w:p>
            <w:pPr>
              <w:spacing w:after="0"/>
              <w:rPr>
                <w:sz w:val="18"/>
                <w:szCs w:val="18"/>
                <w:color w:val="auto"/>
              </w:rPr>
            </w:pPr>
          </w:p>
        </w:tc>
        <w:tc>
          <w:tcPr>
            <w:tcW w:w="60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0"/>
              </w:rPr>
              <w:t>50,000</w:t>
            </w: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216,698</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2"/>
              </w:rPr>
              <w:t>199,255</w:t>
            </w: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180,104</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19,151</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Terence J.</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Hamilton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VP of Sales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7,000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168,500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Stastney. Pursuant to the terms and conditions of the Amendment to Employment Agreement with Shad Stastney:</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agreed to non-competition and non-solicitation restrictions with our company during the term of his employment and two years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shall be entitled to two years of severance pay if he is terminated with or without cause.</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date of the Agreement, Mr. Stastney is no longer an officer or director of our company and all prior agreements with Mr. Stastney are terminated in their entirety;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shall receive 500,000 shares of our common stock, half now and the rest by January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agreed to use our best efforts to register Mr. Stastney’s shares on Form S-8 by March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agreed to pay Mr. Stastney $126,762 and his reasonable out of pocket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Hamilton. Pursuant to the terms and conditions of the Amendment to Employment Agreement with Terry Hamilton:</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Harrell Pursuant to the terms and conditions of the Amendment to Employment Agreement with David Harrell:</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2013.</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11"/>
          </w:tcPr>
          <w:p>
            <w:pPr>
              <w:jc w:val="center"/>
              <w:ind w:right="50"/>
              <w:spacing w:after="0"/>
              <w:rPr>
                <w:sz w:val="20"/>
                <w:szCs w:val="20"/>
                <w:color w:val="auto"/>
              </w:rPr>
            </w:pPr>
            <w:r>
              <w:rPr>
                <w:rFonts w:ascii="Arial" w:cs="Arial" w:eastAsia="Arial" w:hAnsi="Arial"/>
                <w:sz w:val="18"/>
                <w:szCs w:val="18"/>
                <w:b w:val="1"/>
                <w:bCs w:val="1"/>
                <w:color w:val="auto"/>
                <w:w w:val="99"/>
              </w:rPr>
              <w:t>OUTSTANDING EQUITY AWARDS AT FISCAL YEAR-END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Arial" w:cs="Arial" w:eastAsia="Arial" w:hAnsi="Arial"/>
                <w:sz w:val="18"/>
                <w:szCs w:val="18"/>
                <w:b w:val="1"/>
                <w:bCs w:val="1"/>
                <w:color w:val="auto"/>
              </w:rPr>
              <w:t>OPTION AWARDS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AWARDS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Equity</w:t>
            </w:r>
          </w:p>
        </w:tc>
        <w:tc>
          <w:tcPr>
            <w:tcW w:w="800" w:type="dxa"/>
            <w:vAlign w:val="bottom"/>
            <w:gridSpan w:val="2"/>
          </w:tcPr>
          <w:p>
            <w:pPr>
              <w:spacing w:after="0"/>
              <w:rPr>
                <w:sz w:val="20"/>
                <w:szCs w:val="20"/>
                <w:color w:val="auto"/>
              </w:rPr>
            </w:pPr>
            <w:r>
              <w:rPr>
                <w:rFonts w:ascii="Arial" w:cs="Arial" w:eastAsia="Arial" w:hAnsi="Arial"/>
                <w:sz w:val="18"/>
                <w:szCs w:val="18"/>
                <w:color w:val="auto"/>
              </w:rPr>
              <w:t>Equity</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Incentive</w:t>
            </w:r>
          </w:p>
        </w:tc>
        <w:tc>
          <w:tcPr>
            <w:tcW w:w="800" w:type="dxa"/>
            <w:vAlign w:val="bottom"/>
            <w:gridSpan w:val="2"/>
          </w:tcPr>
          <w:p>
            <w:pPr>
              <w:spacing w:after="0"/>
              <w:rPr>
                <w:sz w:val="20"/>
                <w:szCs w:val="20"/>
                <w:color w:val="auto"/>
              </w:rPr>
            </w:pPr>
            <w:r>
              <w:rPr>
                <w:rFonts w:ascii="Arial" w:cs="Arial" w:eastAsia="Arial" w:hAnsi="Arial"/>
                <w:sz w:val="18"/>
                <w:szCs w:val="18"/>
                <w:color w:val="auto"/>
              </w:rPr>
              <w:t>Incentive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Plan</w:t>
            </w:r>
          </w:p>
        </w:tc>
        <w:tc>
          <w:tcPr>
            <w:tcW w:w="800" w:type="dxa"/>
            <w:vAlign w:val="bottom"/>
            <w:gridSpan w:val="2"/>
          </w:tcPr>
          <w:p>
            <w:pPr>
              <w:spacing w:after="0"/>
              <w:rPr>
                <w:sz w:val="20"/>
                <w:szCs w:val="20"/>
                <w:color w:val="auto"/>
              </w:rPr>
            </w:pPr>
            <w:r>
              <w:rPr>
                <w:rFonts w:ascii="Arial" w:cs="Arial" w:eastAsia="Arial" w:hAnsi="Arial"/>
                <w:sz w:val="18"/>
                <w:szCs w:val="18"/>
                <w:color w:val="auto"/>
              </w:rPr>
              <w:t>Plan</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Market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Awards:</w:t>
            </w:r>
          </w:p>
        </w:tc>
        <w:tc>
          <w:tcPr>
            <w:tcW w:w="800" w:type="dxa"/>
            <w:vAlign w:val="bottom"/>
            <w:gridSpan w:val="2"/>
          </w:tcPr>
          <w:p>
            <w:pPr>
              <w:spacing w:after="0"/>
              <w:rPr>
                <w:sz w:val="20"/>
                <w:szCs w:val="20"/>
                <w:color w:val="auto"/>
              </w:rPr>
            </w:pPr>
            <w:r>
              <w:rPr>
                <w:rFonts w:ascii="Arial" w:cs="Arial" w:eastAsia="Arial" w:hAnsi="Arial"/>
                <w:sz w:val="18"/>
                <w:szCs w:val="18"/>
                <w:color w:val="auto"/>
              </w:rPr>
              <w:t>Awards: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Value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Number</w:t>
            </w:r>
          </w:p>
        </w:tc>
        <w:tc>
          <w:tcPr>
            <w:tcW w:w="800" w:type="dxa"/>
            <w:vAlign w:val="bottom"/>
            <w:gridSpan w:val="2"/>
          </w:tcPr>
          <w:p>
            <w:pPr>
              <w:spacing w:after="0"/>
              <w:rPr>
                <w:sz w:val="20"/>
                <w:szCs w:val="20"/>
                <w:color w:val="auto"/>
              </w:rPr>
            </w:pPr>
            <w:r>
              <w:rPr>
                <w:rFonts w:ascii="Arial" w:cs="Arial" w:eastAsia="Arial" w:hAnsi="Arial"/>
                <w:sz w:val="18"/>
                <w:szCs w:val="18"/>
                <w:color w:val="auto"/>
              </w:rPr>
              <w:t>Market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9"/>
              </w:rPr>
              <w:t>Number</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of</w:t>
            </w:r>
          </w:p>
        </w:tc>
        <w:tc>
          <w:tcPr>
            <w:tcW w:w="800" w:type="dxa"/>
            <w:vAlign w:val="bottom"/>
            <w:gridSpan w:val="2"/>
          </w:tcPr>
          <w:p>
            <w:pPr>
              <w:spacing w:after="0"/>
              <w:rPr>
                <w:sz w:val="20"/>
                <w:szCs w:val="20"/>
                <w:color w:val="auto"/>
              </w:rPr>
            </w:pPr>
            <w:r>
              <w:rPr>
                <w:rFonts w:ascii="Arial" w:cs="Arial" w:eastAsia="Arial" w:hAnsi="Arial"/>
                <w:sz w:val="18"/>
                <w:szCs w:val="18"/>
                <w:color w:val="auto"/>
              </w:rPr>
              <w:t>Payout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Incentive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w w:val="87"/>
              </w:rPr>
              <w:t>Shares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Unearned</w:t>
            </w:r>
          </w:p>
        </w:tc>
        <w:tc>
          <w:tcPr>
            <w:tcW w:w="800" w:type="dxa"/>
            <w:vAlign w:val="bottom"/>
            <w:gridSpan w:val="2"/>
          </w:tcPr>
          <w:p>
            <w:pPr>
              <w:spacing w:after="0"/>
              <w:rPr>
                <w:sz w:val="20"/>
                <w:szCs w:val="20"/>
                <w:color w:val="auto"/>
              </w:rPr>
            </w:pPr>
            <w:r>
              <w:rPr>
                <w:rFonts w:ascii="Arial" w:cs="Arial" w:eastAsia="Arial" w:hAnsi="Arial"/>
                <w:sz w:val="18"/>
                <w:szCs w:val="18"/>
                <w:color w:val="auto"/>
              </w:rPr>
              <w:t>Value of</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Shares</w:t>
            </w:r>
          </w:p>
        </w:tc>
        <w:tc>
          <w:tcPr>
            <w:tcW w:w="620" w:type="dxa"/>
            <w:vAlign w:val="bottom"/>
          </w:tcPr>
          <w:p>
            <w:pPr>
              <w:ind w:left="100"/>
              <w:spacing w:after="0"/>
              <w:rPr>
                <w:sz w:val="20"/>
                <w:szCs w:val="20"/>
                <w:color w:val="auto"/>
              </w:rPr>
            </w:pPr>
            <w:r>
              <w:rPr>
                <w:rFonts w:ascii="Arial" w:cs="Arial" w:eastAsia="Arial" w:hAnsi="Arial"/>
                <w:sz w:val="18"/>
                <w:szCs w:val="18"/>
                <w:color w:val="auto"/>
              </w:rPr>
              <w:t>or</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Shares,</w:t>
            </w: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Unearned</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Awards: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or Units</w:t>
            </w:r>
          </w:p>
        </w:tc>
        <w:tc>
          <w:tcPr>
            <w:tcW w:w="620" w:type="dxa"/>
            <w:vAlign w:val="bottom"/>
          </w:tcPr>
          <w:p>
            <w:pPr>
              <w:ind w:left="100"/>
              <w:spacing w:after="0"/>
              <w:rPr>
                <w:sz w:val="20"/>
                <w:szCs w:val="20"/>
                <w:color w:val="auto"/>
              </w:rPr>
            </w:pPr>
            <w:r>
              <w:rPr>
                <w:rFonts w:ascii="Arial" w:cs="Arial" w:eastAsia="Arial" w:hAnsi="Arial"/>
                <w:sz w:val="18"/>
                <w:szCs w:val="18"/>
                <w:color w:val="auto"/>
              </w:rPr>
              <w:t>Units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Units or</w:t>
            </w:r>
          </w:p>
        </w:tc>
        <w:tc>
          <w:tcPr>
            <w:tcW w:w="800" w:type="dxa"/>
            <w:vAlign w:val="bottom"/>
            <w:gridSpan w:val="2"/>
          </w:tcPr>
          <w:p>
            <w:pPr>
              <w:spacing w:after="0"/>
              <w:rPr>
                <w:sz w:val="20"/>
                <w:szCs w:val="20"/>
                <w:color w:val="auto"/>
              </w:rPr>
            </w:pPr>
            <w:r>
              <w:rPr>
                <w:rFonts w:ascii="Arial" w:cs="Arial" w:eastAsia="Arial" w:hAnsi="Arial"/>
                <w:sz w:val="18"/>
                <w:szCs w:val="18"/>
                <w:color w:val="auto"/>
              </w:rPr>
              <w:t>Shares,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spacing w:after="0"/>
              <w:rPr>
                <w:sz w:val="20"/>
                <w:szCs w:val="20"/>
                <w:color w:val="auto"/>
              </w:rPr>
            </w:pPr>
            <w:r>
              <w:rPr>
                <w:rFonts w:ascii="Arial" w:cs="Arial" w:eastAsia="Arial" w:hAnsi="Arial"/>
                <w:sz w:val="18"/>
                <w:szCs w:val="18"/>
                <w:color w:val="auto"/>
              </w:rPr>
              <w:t>Units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Stock</w:t>
            </w:r>
          </w:p>
        </w:tc>
        <w:tc>
          <w:tcPr>
            <w:tcW w:w="620" w:type="dxa"/>
            <w:vAlign w:val="bottom"/>
          </w:tcPr>
          <w:p>
            <w:pPr>
              <w:ind w:left="100"/>
              <w:spacing w:after="0"/>
              <w:rPr>
                <w:sz w:val="20"/>
                <w:szCs w:val="20"/>
                <w:color w:val="auto"/>
              </w:rPr>
            </w:pPr>
            <w:r>
              <w:rPr>
                <w:rFonts w:ascii="Arial" w:cs="Arial" w:eastAsia="Arial" w:hAnsi="Arial"/>
                <w:sz w:val="18"/>
                <w:szCs w:val="18"/>
                <w:color w:val="auto"/>
              </w:rPr>
              <w:t>Stock</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Rights</w:t>
            </w:r>
          </w:p>
        </w:tc>
        <w:tc>
          <w:tcPr>
            <w:tcW w:w="800" w:type="dxa"/>
            <w:vAlign w:val="bottom"/>
            <w:gridSpan w:val="2"/>
          </w:tcPr>
          <w:p>
            <w:pPr>
              <w:spacing w:after="0"/>
              <w:rPr>
                <w:sz w:val="20"/>
                <w:szCs w:val="20"/>
                <w:color w:val="auto"/>
              </w:rPr>
            </w:pPr>
            <w:r>
              <w:rPr>
                <w:rFonts w:ascii="Arial" w:cs="Arial" w:eastAsia="Arial" w:hAnsi="Arial"/>
                <w:sz w:val="18"/>
                <w:szCs w:val="18"/>
                <w:color w:val="auto"/>
              </w:rPr>
              <w:t>Other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That</w:t>
            </w:r>
          </w:p>
        </w:tc>
        <w:tc>
          <w:tcPr>
            <w:tcW w:w="620" w:type="dxa"/>
            <w:vAlign w:val="bottom"/>
          </w:tcPr>
          <w:p>
            <w:pPr>
              <w:ind w:left="100"/>
              <w:spacing w:after="0"/>
              <w:rPr>
                <w:sz w:val="20"/>
                <w:szCs w:val="20"/>
                <w:color w:val="auto"/>
              </w:rPr>
            </w:pPr>
            <w:r>
              <w:rPr>
                <w:rFonts w:ascii="Arial" w:cs="Arial" w:eastAsia="Arial" w:hAnsi="Arial"/>
                <w:sz w:val="18"/>
                <w:szCs w:val="18"/>
                <w:color w:val="auto"/>
              </w:rPr>
              <w:t>That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That</w:t>
            </w:r>
          </w:p>
        </w:tc>
        <w:tc>
          <w:tcPr>
            <w:tcW w:w="800" w:type="dxa"/>
            <w:vAlign w:val="bottom"/>
            <w:gridSpan w:val="2"/>
          </w:tcPr>
          <w:p>
            <w:pPr>
              <w:spacing w:after="0"/>
              <w:rPr>
                <w:sz w:val="20"/>
                <w:szCs w:val="20"/>
                <w:color w:val="auto"/>
              </w:rPr>
            </w:pPr>
            <w:r>
              <w:rPr>
                <w:rFonts w:ascii="Arial" w:cs="Arial" w:eastAsia="Arial" w:hAnsi="Arial"/>
                <w:sz w:val="18"/>
                <w:szCs w:val="18"/>
                <w:color w:val="auto"/>
              </w:rPr>
              <w:t>Rights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1"/>
              </w:rPr>
              <w:t>Unexercised</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Unexercised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Unexercised</w:t>
            </w:r>
          </w:p>
        </w:tc>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Have</w:t>
            </w:r>
          </w:p>
        </w:tc>
        <w:tc>
          <w:tcPr>
            <w:tcW w:w="620" w:type="dxa"/>
            <w:vAlign w:val="bottom"/>
          </w:tcPr>
          <w:p>
            <w:pPr>
              <w:ind w:left="100"/>
              <w:spacing w:after="0"/>
              <w:rPr>
                <w:sz w:val="20"/>
                <w:szCs w:val="20"/>
                <w:color w:val="auto"/>
              </w:rPr>
            </w:pPr>
            <w:r>
              <w:rPr>
                <w:rFonts w:ascii="Arial" w:cs="Arial" w:eastAsia="Arial" w:hAnsi="Arial"/>
                <w:sz w:val="18"/>
                <w:szCs w:val="18"/>
                <w:color w:val="auto"/>
              </w:rPr>
              <w:t>Have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Have</w:t>
            </w:r>
          </w:p>
        </w:tc>
        <w:tc>
          <w:tcPr>
            <w:tcW w:w="800" w:type="dxa"/>
            <w:vAlign w:val="bottom"/>
            <w:gridSpan w:val="2"/>
          </w:tcPr>
          <w:p>
            <w:pPr>
              <w:spacing w:after="0"/>
              <w:rPr>
                <w:sz w:val="20"/>
                <w:szCs w:val="20"/>
                <w:color w:val="auto"/>
              </w:rPr>
            </w:pPr>
            <w:r>
              <w:rPr>
                <w:rFonts w:ascii="Arial" w:cs="Arial" w:eastAsia="Arial" w:hAnsi="Arial"/>
                <w:sz w:val="18"/>
                <w:szCs w:val="18"/>
                <w:color w:val="auto"/>
              </w:rPr>
              <w:t>That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Unearned</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Not</w:t>
            </w:r>
          </w:p>
        </w:tc>
        <w:tc>
          <w:tcPr>
            <w:tcW w:w="620" w:type="dxa"/>
            <w:vAlign w:val="bottom"/>
          </w:tcPr>
          <w:p>
            <w:pPr>
              <w:ind w:left="100"/>
              <w:spacing w:after="0"/>
              <w:rPr>
                <w:sz w:val="20"/>
                <w:szCs w:val="20"/>
                <w:color w:val="auto"/>
              </w:rPr>
            </w:pPr>
            <w:r>
              <w:rPr>
                <w:rFonts w:ascii="Arial" w:cs="Arial" w:eastAsia="Arial" w:hAnsi="Arial"/>
                <w:sz w:val="18"/>
                <w:szCs w:val="18"/>
                <w:color w:val="auto"/>
              </w:rPr>
              <w:t>Not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Not</w:t>
            </w:r>
          </w:p>
        </w:tc>
        <w:tc>
          <w:tcPr>
            <w:tcW w:w="800" w:type="dxa"/>
            <w:vAlign w:val="bottom"/>
            <w:gridSpan w:val="2"/>
          </w:tcPr>
          <w:p>
            <w:pPr>
              <w:spacing w:after="0"/>
              <w:rPr>
                <w:sz w:val="20"/>
                <w:szCs w:val="20"/>
                <w:color w:val="auto"/>
              </w:rPr>
            </w:pPr>
            <w:r>
              <w:rPr>
                <w:rFonts w:ascii="Arial" w:cs="Arial" w:eastAsia="Arial" w:hAnsi="Arial"/>
                <w:sz w:val="18"/>
                <w:szCs w:val="18"/>
                <w:color w:val="auto"/>
              </w:rPr>
              <w:t>Have Not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820" w:type="dxa"/>
            <w:vAlign w:val="bottom"/>
            <w:gridSpan w:val="2"/>
          </w:tcPr>
          <w:p>
            <w:pPr>
              <w:spacing w:after="0"/>
              <w:rPr>
                <w:sz w:val="20"/>
                <w:szCs w:val="20"/>
                <w:color w:val="auto"/>
              </w:rPr>
            </w:pPr>
            <w:r>
              <w:rPr>
                <w:rFonts w:ascii="Arial" w:cs="Arial" w:eastAsia="Arial" w:hAnsi="Arial"/>
                <w:sz w:val="18"/>
                <w:szCs w:val="18"/>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Expiration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Vested</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Vested</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spacing w:after="0"/>
              <w:rPr>
                <w:sz w:val="20"/>
                <w:szCs w:val="20"/>
                <w:color w:val="auto"/>
              </w:rPr>
            </w:pPr>
            <w:r>
              <w:rPr>
                <w:rFonts w:ascii="Arial" w:cs="Arial" w:eastAsia="Arial" w:hAnsi="Arial"/>
                <w:sz w:val="18"/>
                <w:szCs w:val="18"/>
                <w:color w:val="auto"/>
              </w:rPr>
              <w:t>Vested</w:t>
            </w: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8"/>
              </w:rPr>
              <w:t>Exercisable</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4"/>
              </w:rPr>
              <w:t>Unexercisable</w:t>
            </w: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9"/>
        </w:trPr>
        <w:tc>
          <w:tcPr>
            <w:tcW w:w="7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220"/>
              <w:spacing w:after="0"/>
              <w:rPr>
                <w:sz w:val="20"/>
                <w:szCs w:val="20"/>
                <w:color w:val="auto"/>
              </w:rPr>
            </w:pPr>
            <w:r>
              <w:rPr>
                <w:rFonts w:ascii="Arial" w:cs="Arial" w:eastAsia="Arial" w:hAnsi="Arial"/>
                <w:sz w:val="18"/>
                <w:szCs w:val="18"/>
                <w:color w:val="auto"/>
              </w:rPr>
              <w:t>375,000</w:t>
            </w:r>
          </w:p>
        </w:tc>
        <w:tc>
          <w:tcPr>
            <w:tcW w:w="4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tcBorders>
              <w:top w:val="single" w:sz="8" w:color="CCEECC"/>
            </w:tcBorders>
            <w:shd w:val="clear" w:color="auto" w:fill="CCEECC"/>
          </w:tcPr>
          <w:p>
            <w:pPr>
              <w:spacing w:after="0"/>
              <w:rPr>
                <w:sz w:val="20"/>
                <w:szCs w:val="20"/>
                <w:color w:val="auto"/>
              </w:rPr>
            </w:pPr>
          </w:p>
        </w:tc>
        <w:tc>
          <w:tcPr>
            <w:tcW w:w="86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rPr>
              <w:t>10/1/14</w:t>
            </w:r>
          </w:p>
        </w:tc>
        <w:tc>
          <w:tcPr>
            <w:tcW w:w="60" w:type="dxa"/>
            <w:vAlign w:val="bottom"/>
            <w:tcBorders>
              <w:top w:val="single" w:sz="8" w:color="CCEECC"/>
            </w:tcBorders>
            <w:shd w:val="clear" w:color="auto" w:fill="CCEECC"/>
          </w:tcPr>
          <w:p>
            <w:pPr>
              <w:spacing w:after="0"/>
              <w:rPr>
                <w:sz w:val="20"/>
                <w:szCs w:val="20"/>
                <w:color w:val="auto"/>
              </w:rPr>
            </w:pPr>
          </w:p>
        </w:tc>
        <w:tc>
          <w:tcPr>
            <w:tcW w:w="6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r>
      <w:tr>
        <w:trPr>
          <w:trHeight w:val="239"/>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99"/>
              </w:rPr>
              <w:t>12/22/14</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Lester</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7"/>
              </w:rPr>
              <w:t>55,000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02"/>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20"/>
              <w:spacing w:after="0" w:line="201"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7"/>
                <w:szCs w:val="17"/>
                <w:color w:val="auto"/>
              </w:rPr>
            </w:pPr>
          </w:p>
        </w:tc>
        <w:tc>
          <w:tcPr>
            <w:tcW w:w="8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3/5/14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tcPr>
          <w:p>
            <w:pPr>
              <w:ind w:left="22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4/26/15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Harrell</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102,500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121,875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2"/>
              </w:rPr>
              <w:t>225,468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84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Terence</w:t>
            </w:r>
          </w:p>
        </w:tc>
        <w:tc>
          <w:tcPr>
            <w:tcW w:w="10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J.</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CEECC"/>
          </w:tcPr>
          <w:p>
            <w:pPr>
              <w:spacing w:after="0"/>
              <w:rPr>
                <w:sz w:val="18"/>
                <w:szCs w:val="18"/>
                <w:color w:val="auto"/>
              </w:rPr>
            </w:pPr>
          </w:p>
        </w:tc>
        <w:tc>
          <w:tcPr>
            <w:tcW w:w="86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Hamilton</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127,500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r>
              <w:rPr>
                <w:rFonts w:ascii="Arial" w:cs="Arial" w:eastAsia="Arial" w:hAnsi="Arial"/>
                <w:sz w:val="18"/>
                <w:szCs w:val="18"/>
                <w:color w:val="auto"/>
              </w:rPr>
              <w:t>215,625</w:t>
            </w: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r>
              <w:rPr>
                <w:rFonts w:ascii="Arial" w:cs="Arial" w:eastAsia="Arial" w:hAnsi="Arial"/>
                <w:sz w:val="18"/>
                <w:szCs w:val="18"/>
                <w:color w:val="auto"/>
                <w:w w:val="92"/>
              </w:rPr>
              <w:t>398,906</w:t>
            </w: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bl>
    <w:p>
      <w:pPr>
        <w:spacing w:after="0" w:line="229" w:lineRule="exact"/>
        <w:rPr>
          <w:sz w:val="20"/>
          <w:szCs w:val="20"/>
          <w:color w:val="auto"/>
        </w:rPr>
      </w:pPr>
    </w:p>
    <w:p>
      <w:pPr>
        <w:ind w:left="5620" w:right="4500" w:hanging="4926"/>
        <w:spacing w:after="0" w:line="738" w:lineRule="auto"/>
        <w:tabs>
          <w:tab w:leader="none" w:pos="91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33" w:right="6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37">
        <w:r>
          <w:rPr>
            <w:rFonts w:ascii="Arial" w:cs="Arial" w:eastAsia="Arial" w:hAnsi="Arial"/>
            <w:sz w:val="16"/>
            <w:szCs w:val="16"/>
            <w:u w:val="single" w:color="auto"/>
            <w:color w:val="0000EE"/>
          </w:rPr>
          <w:t>Report of Independent Registered Public Accounting Firm;</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38">
        <w:r>
          <w:rPr>
            <w:rFonts w:ascii="Arial" w:cs="Arial" w:eastAsia="Arial" w:hAnsi="Arial"/>
            <w:sz w:val="16"/>
            <w:szCs w:val="16"/>
            <w:u w:val="single" w:color="auto"/>
            <w:color w:val="0000EE"/>
          </w:rPr>
          <w:t>Consolidated Balance Sheets as of December 31, 2013 and 2012;</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39">
        <w:r>
          <w:rPr>
            <w:rFonts w:ascii="Arial" w:cs="Arial" w:eastAsia="Arial" w:hAnsi="Arial"/>
            <w:sz w:val="16"/>
            <w:szCs w:val="16"/>
            <w:u w:val="single" w:color="auto"/>
            <w:color w:val="0000EE"/>
          </w:rPr>
          <w:t>Consolidated Statements of Operations for the years ended December 31, 2013 and 2012;</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40">
        <w:r>
          <w:rPr>
            <w:rFonts w:ascii="Arial" w:cs="Arial" w:eastAsia="Arial" w:hAnsi="Arial"/>
            <w:sz w:val="16"/>
            <w:szCs w:val="16"/>
            <w:u w:val="single" w:color="auto"/>
            <w:color w:val="0000EE"/>
          </w:rPr>
          <w:t>Consolidated Statement of Stockholders’ Equity as of December 31, 2013;</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41">
        <w:r>
          <w:rPr>
            <w:rFonts w:ascii="Arial" w:cs="Arial" w:eastAsia="Arial" w:hAnsi="Arial"/>
            <w:sz w:val="16"/>
            <w:szCs w:val="16"/>
            <w:u w:val="single" w:color="auto"/>
            <w:color w:val="0000EE"/>
          </w:rPr>
          <w:t>Consolidated Statements of Cash Flows for the years ended December 31, 2013 and 2012; and</w:t>
        </w:r>
      </w:hyperlink>
    </w:p>
    <w:p>
      <w:pPr>
        <w:spacing w:after="0" w:line="9" w:lineRule="exact"/>
        <w:rPr>
          <w:sz w:val="20"/>
          <w:szCs w:val="20"/>
          <w:color w:val="auto"/>
        </w:rPr>
      </w:pPr>
    </w:p>
    <w:p>
      <w:pPr>
        <w:ind w:left="1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42">
        <w:r>
          <w:rPr>
            <w:rFonts w:ascii="Arial" w:cs="Arial" w:eastAsia="Arial" w:hAnsi="Arial"/>
            <w:sz w:val="16"/>
            <w:szCs w:val="16"/>
            <w:u w:val="single" w:color="auto"/>
            <w:color w:val="0000EE"/>
          </w:rPr>
          <w:t>Consolidated Notes to Financial Statements.</w:t>
        </w:r>
      </w:hyperlink>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2013 and 2012,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2013 and 2012 and the results of their operations and cash flows for the years then ended, in conformity with accounting principles generally accepted in the United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2013 and 2012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1"/>
              </w:rPr>
              <w:t>Preferred stock, $.001 par value, 10,000,000 shares authorized,</w:t>
            </w:r>
          </w:p>
        </w:tc>
        <w:tc>
          <w:tcPr>
            <w:tcW w:w="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4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$.001 par value, 500,000,000 shares authorized,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w w:val="98"/>
              </w:rPr>
              <w:t>14,773,496 and 14,232,496 shares issued and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4"/>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December 31, 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REVENUE</w:t>
            </w:r>
          </w:p>
        </w:tc>
        <w:tc>
          <w:tcPr>
            <w:tcW w:w="2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4,957,016</w:t>
            </w:r>
          </w:p>
        </w:tc>
        <w:tc>
          <w:tcPr>
            <w:tcW w:w="360" w:type="dxa"/>
            <w:vAlign w:val="bottom"/>
            <w:gridSpan w:val="3"/>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REVENUE SHARE EXPENSE</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Operating expenses (See Note 17)</w:t>
            </w:r>
          </w:p>
        </w:tc>
        <w:tc>
          <w:tcPr>
            <w:tcW w:w="2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5"/>
              </w:rPr>
              <w:t>INCOME (LOSS) BEFORE PROVISION FOR INCOME TAXES</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BASIC</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 as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2013</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43"/>
        </w:trPr>
        <w:tc>
          <w:tcPr>
            <w:tcW w:w="1160" w:type="dxa"/>
            <w:vAlign w:val="bottom"/>
          </w:tcPr>
          <w:p>
            <w:pPr>
              <w:spacing w:after="0"/>
              <w:rPr>
                <w:sz w:val="21"/>
                <w:szCs w:val="21"/>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8"/>
                <w:szCs w:val="18"/>
                <w:color w:val="auto"/>
              </w:rPr>
              <w:t>Preferred Stock</w:t>
            </w:r>
          </w:p>
        </w:tc>
        <w:tc>
          <w:tcPr>
            <w:tcW w:w="1740" w:type="dxa"/>
            <w:vAlign w:val="bottom"/>
            <w:gridSpan w:val="6"/>
          </w:tcPr>
          <w:p>
            <w:pPr>
              <w:jc w:val="right"/>
              <w:ind w:right="32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Accumulated</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Stockholders’</w:t>
            </w:r>
          </w:p>
        </w:tc>
      </w:tr>
      <w:tr>
        <w:trPr>
          <w:trHeight w:val="230"/>
        </w:trPr>
        <w:tc>
          <w:tcPr>
            <w:tcW w:w="1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Amount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Deficit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Equity</w:t>
            </w: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88"/>
              </w:rPr>
              <w:t>January 1, 2012</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14,192,496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$20,826,934</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$ 5,125,558</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(24,377,514)$</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1,589,170</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Reclassification</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for options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previously</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recorded as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4"/>
              </w:rPr>
              <w:t>Net loss for the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8"/>
                <w:szCs w:val="18"/>
                <w:color w:val="auto"/>
                <w:w w:val="97"/>
              </w:rPr>
              <w:t>year (restated)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3"/>
              </w:rPr>
              <w:t>2012 (restated)</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14,232,496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20,058,051</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$ 6,164,666</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(24,832,067)$</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1,404,882</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70,961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(59,134)</w:t>
            </w:r>
          </w:p>
        </w:tc>
        <w:tc>
          <w:tcPr>
            <w:tcW w:w="880" w:type="dxa"/>
            <w:vAlign w:val="bottom"/>
          </w:tcPr>
          <w:p>
            <w:pPr>
              <w:jc w:val="right"/>
              <w:spacing w:after="0"/>
              <w:rPr>
                <w:sz w:val="20"/>
                <w:szCs w:val="20"/>
                <w:color w:val="auto"/>
              </w:rPr>
            </w:pPr>
            <w:r>
              <w:rPr>
                <w:rFonts w:ascii="Arial" w:cs="Arial" w:eastAsia="Arial" w:hAnsi="Arial"/>
                <w:sz w:val="18"/>
                <w:szCs w:val="18"/>
                <w:color w:val="auto"/>
              </w:rPr>
              <w:t>11,827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9"/>
              </w:rPr>
              <w:t>employment</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severance</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504,500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0"/>
              </w:rPr>
              <w:t>(505,000)</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w w:val="93"/>
              </w:rPr>
              <w:t>for correction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w w:val="95"/>
              </w:rPr>
              <w:t>of prior issue</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Reclassify</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expired</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Expense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consulting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7"/>
              </w:rPr>
              <w:t>Net income 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4"/>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the period</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14,773,496</w:t>
            </w:r>
          </w:p>
        </w:tc>
        <w:tc>
          <w:tcPr>
            <w:tcW w:w="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18,148,049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$ 8,726,708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(233,942)$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99"/>
              </w:rPr>
              <w:t>(24,616,220)$</w:t>
            </w:r>
          </w:p>
        </w:tc>
        <w:tc>
          <w:tcPr>
            <w:tcW w:w="1020" w:type="dxa"/>
            <w:vAlign w:val="bottom"/>
          </w:tcPr>
          <w:p>
            <w:pPr>
              <w:jc w:val="right"/>
              <w:spacing w:after="0"/>
              <w:rPr>
                <w:sz w:val="20"/>
                <w:szCs w:val="20"/>
                <w:color w:val="auto"/>
              </w:rPr>
            </w:pPr>
            <w:r>
              <w:rPr>
                <w:rFonts w:ascii="Arial" w:cs="Arial" w:eastAsia="Arial" w:hAnsi="Arial"/>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233" w:right="9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For the year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December 31, 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2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(281,353)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w:t>
            </w:r>
          </w:p>
        </w:tc>
        <w:tc>
          <w:tcPr>
            <w:tcW w:w="1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4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stock issued for future services</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rPr>
              <w:t>Rent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4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4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700" w:type="dxa"/>
            <w:vAlign w:val="bottom"/>
            <w:gridSpan w:val="2"/>
          </w:tcPr>
          <w:p>
            <w:pPr>
              <w:jc w:val="right"/>
              <w:ind w:right="150"/>
              <w:spacing w:after="0"/>
              <w:rPr>
                <w:sz w:val="20"/>
                <w:szCs w:val="20"/>
                <w:color w:val="auto"/>
              </w:rPr>
            </w:pPr>
            <w:r>
              <w:rPr>
                <w:rFonts w:ascii="Arial" w:cs="Arial" w:eastAsia="Arial" w:hAnsi="Arial"/>
                <w:sz w:val="18"/>
                <w:szCs w:val="18"/>
                <w:color w:val="auto"/>
              </w:rPr>
              <w:t>F-9</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2013 and 2012:</w:t>
      </w:r>
    </w:p>
    <w:p>
      <w:pPr>
        <w:spacing w:after="0" w:line="25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4"/>
              </w:rPr>
              <w:t>OptimizeRx web-based technology</w:t>
            </w: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Arial" w:cs="Arial" w:eastAsia="Arial" w:hAnsi="Arial"/>
                <w:sz w:val="18"/>
                <w:szCs w:val="18"/>
                <w:color w:val="auto"/>
                <w:w w:val="92"/>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r>
      <w:tr>
        <w:trPr>
          <w:trHeight w:val="202"/>
        </w:trPr>
        <w:tc>
          <w:tcPr>
            <w:tcW w:w="26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w w:val="92"/>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2013 and 2012:</w:t>
      </w:r>
    </w:p>
    <w:p>
      <w:pPr>
        <w:spacing w:after="0" w:line="26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182"/>
        </w:trPr>
        <w:tc>
          <w:tcPr>
            <w:tcW w:w="262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57"/>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34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6"/>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F-15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4"/>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CC"/>
          </w:tcPr>
          <w:p>
            <w:pPr>
              <w:spacing w:after="0"/>
              <w:rPr>
                <w:sz w:val="20"/>
                <w:szCs w:val="20"/>
                <w:color w:val="auto"/>
              </w:rPr>
            </w:pPr>
            <w:r>
              <w:rPr>
                <w:rFonts w:ascii="Arial" w:cs="Arial" w:eastAsia="Arial" w:hAnsi="Arial"/>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2"/>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December 31,</w:t>
            </w:r>
          </w:p>
        </w:tc>
      </w:tr>
      <w:tr>
        <w:trPr>
          <w:trHeight w:val="230"/>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year ended December 31, 2012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6"/>
              </w:rPr>
              <w:t>Previously</w:t>
            </w:r>
          </w:p>
        </w:tc>
        <w:tc>
          <w:tcPr>
            <w:tcW w:w="0" w:type="dxa"/>
            <w:vAlign w:val="bottom"/>
          </w:tcPr>
          <w:p>
            <w:pPr>
              <w:spacing w:after="0"/>
              <w:rPr>
                <w:sz w:val="1"/>
                <w:szCs w:val="1"/>
                <w:color w:val="auto"/>
              </w:rPr>
            </w:pPr>
          </w:p>
        </w:tc>
      </w:tr>
      <w:tr>
        <w:trPr>
          <w:trHeight w:val="182"/>
        </w:trPr>
        <w:tc>
          <w:tcPr>
            <w:tcW w:w="1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Statement</w:t>
            </w:r>
          </w:p>
        </w:tc>
        <w:tc>
          <w:tcPr>
            <w:tcW w:w="1640" w:type="dxa"/>
            <w:vAlign w:val="bottom"/>
            <w:vMerge w:val="restart"/>
          </w:tcPr>
          <w:p>
            <w:pPr>
              <w:ind w:left="100"/>
              <w:spacing w:after="0"/>
              <w:rPr>
                <w:sz w:val="20"/>
                <w:szCs w:val="20"/>
                <w:color w:val="auto"/>
              </w:rPr>
            </w:pPr>
            <w:r>
              <w:rPr>
                <w:rFonts w:ascii="Arial" w:cs="Arial" w:eastAsia="Arial" w:hAnsi="Arial"/>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Stated</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Arial" w:cs="Arial" w:eastAsia="Arial" w:hAnsi="Arial"/>
                <w:sz w:val="18"/>
                <w:szCs w:val="18"/>
                <w:color w:val="auto"/>
                <w:w w:val="93"/>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(364,345)</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w w:val="94"/>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6"/>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CC"/>
          </w:tcPr>
          <w:p>
            <w:pPr>
              <w:spacing w:after="0"/>
              <w:rPr>
                <w:sz w:val="20"/>
                <w:szCs w:val="20"/>
                <w:color w:val="auto"/>
              </w:rPr>
            </w:pPr>
            <w:r>
              <w:rPr>
                <w:rFonts w:ascii="Arial" w:cs="Arial" w:eastAsia="Arial" w:hAnsi="Arial"/>
                <w:sz w:val="18"/>
                <w:szCs w:val="18"/>
                <w:color w:val="auto"/>
              </w:rPr>
              <w:t>SEC Registration Fees</w:t>
            </w:r>
          </w:p>
        </w:tc>
        <w:tc>
          <w:tcPr>
            <w:tcW w:w="480" w:type="dxa"/>
            <w:vAlign w:val="bottom"/>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2,260</w:t>
            </w:r>
          </w:p>
        </w:tc>
      </w:tr>
      <w:tr>
        <w:trPr>
          <w:trHeight w:val="257"/>
        </w:trPr>
        <w:tc>
          <w:tcPr>
            <w:tcW w:w="316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4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57"/>
        </w:trPr>
        <w:tc>
          <w:tcPr>
            <w:tcW w:w="3160" w:type="dxa"/>
            <w:vAlign w:val="bottom"/>
            <w:shd w:val="clear" w:color="auto" w:fill="CCEECC"/>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480" w:type="dxa"/>
            <w:vAlign w:val="bottom"/>
            <w:shd w:val="clear" w:color="auto" w:fill="CCEECC"/>
          </w:tcPr>
          <w:p>
            <w:pPr>
              <w:spacing w:after="0"/>
              <w:rPr>
                <w:sz w:val="22"/>
                <w:szCs w:val="22"/>
                <w:color w:val="auto"/>
              </w:rPr>
            </w:pP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20,000</w:t>
            </w:r>
          </w:p>
        </w:tc>
      </w:tr>
      <w:tr>
        <w:trPr>
          <w:trHeight w:val="270"/>
        </w:trPr>
        <w:tc>
          <w:tcPr>
            <w:tcW w:w="3160" w:type="dxa"/>
            <w:vAlign w:val="bottom"/>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4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0"/>
        </w:trPr>
        <w:tc>
          <w:tcPr>
            <w:tcW w:w="31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52,260</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 Estimates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41" w:lineRule="exact"/>
        <w:rPr>
          <w:sz w:val="20"/>
          <w:szCs w:val="20"/>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3"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3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33"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6838" w:orient="portrait"/>
          <w:cols w:equalWidth="0" w:num="1">
            <w:col w:w="11420"/>
          </w:cols>
          <w:pgMar w:left="240" w:top="233" w:right="239" w:bottom="1014"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u w:val="single" w:color="auto"/>
          <w:color w:val="auto"/>
        </w:rPr>
        <w:t xml:space="preserve">Exhibit Number </w:t>
      </w:r>
      <w:r>
        <w:rPr>
          <w:rFonts w:ascii="Arial" w:cs="Arial" w:eastAsia="Arial" w:hAnsi="Arial"/>
          <w:sz w:val="16"/>
          <w:szCs w:val="16"/>
          <w:color w:val="auto"/>
        </w:rPr>
        <w:t>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6"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spacing w:after="0" w:line="181"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spacing w:after="0" w:line="185"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color w:val="auto"/>
        </w:rPr>
        <w:t>Opinion of Cane Clark, LLP, with consent to use</w:t>
      </w:r>
    </w:p>
    <w:p>
      <w:pPr>
        <w:spacing w:after="0" w:line="213" w:lineRule="auto"/>
        <w:rPr>
          <w:sz w:val="20"/>
          <w:szCs w:val="20"/>
          <w:color w:val="auto"/>
        </w:rPr>
      </w:pPr>
      <w:r>
        <w:rPr>
          <w:rFonts w:ascii="Arial" w:cs="Arial" w:eastAsia="Arial" w:hAnsi="Arial"/>
          <w:sz w:val="18"/>
          <w:szCs w:val="18"/>
          <w:color w:val="auto"/>
        </w:rPr>
        <w:t>Employment Agreement, dated March 20, 2009</w:t>
      </w:r>
      <w:r>
        <w:rPr>
          <w:rFonts w:ascii="Arial" w:cs="Arial" w:eastAsia="Arial" w:hAnsi="Arial"/>
          <w:sz w:val="30"/>
          <w:szCs w:val="30"/>
          <w:color w:val="auto"/>
          <w:vertAlign w:val="superscript"/>
        </w:rPr>
        <w:t>2</w:t>
      </w:r>
    </w:p>
    <w:p>
      <w:pPr>
        <w:spacing w:after="0" w:line="184" w:lineRule="auto"/>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Addendum to Employment Agreement, dated July 28, 20103</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spacing w:after="0" w:line="181" w:lineRule="auto"/>
        <w:rPr>
          <w:sz w:val="20"/>
          <w:szCs w:val="20"/>
          <w:color w:val="auto"/>
        </w:rPr>
      </w:pPr>
      <w:r>
        <w:rPr>
          <w:rFonts w:ascii="Arial" w:cs="Arial" w:eastAsia="Arial" w:hAnsi="Arial"/>
          <w:sz w:val="16"/>
          <w:szCs w:val="16"/>
          <w:color w:val="auto"/>
        </w:rPr>
        <w:t>Employment Agreement, dated January 14, 2013</w:t>
      </w:r>
      <w:r>
        <w:rPr>
          <w:rFonts w:ascii="Arial" w:cs="Arial" w:eastAsia="Arial" w:hAnsi="Arial"/>
          <w:sz w:val="25"/>
          <w:szCs w:val="25"/>
          <w:color w:val="auto"/>
          <w:vertAlign w:val="superscript"/>
        </w:rPr>
        <w:t>4</w:t>
      </w:r>
    </w:p>
    <w:p>
      <w:pPr>
        <w:spacing w:after="0" w:line="206"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30"/>
          <w:szCs w:val="30"/>
          <w:color w:val="auto"/>
          <w:vertAlign w:val="superscript"/>
        </w:rPr>
        <w:t>5</w:t>
      </w:r>
    </w:p>
    <w:p>
      <w:pPr>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p>
      <w:pPr>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p>
      <w:pPr>
        <w:spacing w:after="0" w:line="181" w:lineRule="auto"/>
        <w:rPr>
          <w:sz w:val="20"/>
          <w:szCs w:val="20"/>
          <w:color w:val="auto"/>
        </w:rPr>
      </w:pPr>
      <w:r>
        <w:rPr>
          <w:rFonts w:ascii="Arial" w:cs="Arial" w:eastAsia="Arial" w:hAnsi="Arial"/>
          <w:sz w:val="16"/>
          <w:szCs w:val="16"/>
          <w:color w:val="auto"/>
        </w:rPr>
        <w:t>Securities Purchase Agreement</w:t>
      </w:r>
      <w:r>
        <w:rPr>
          <w:rFonts w:ascii="Arial" w:cs="Arial" w:eastAsia="Arial" w:hAnsi="Arial"/>
          <w:sz w:val="25"/>
          <w:szCs w:val="25"/>
          <w:color w:val="auto"/>
          <w:vertAlign w:val="superscript"/>
        </w:rPr>
        <w:t>9</w:t>
      </w:r>
    </w:p>
    <w:p>
      <w:pPr>
        <w:spacing w:after="0" w:line="185"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9</w:t>
      </w:r>
    </w:p>
    <w:p>
      <w:pPr>
        <w:spacing w:after="0"/>
        <w:rPr>
          <w:sz w:val="20"/>
          <w:szCs w:val="20"/>
          <w:color w:val="auto"/>
        </w:rPr>
      </w:pPr>
      <w:r>
        <w:rPr>
          <w:rFonts w:ascii="Arial" w:cs="Arial" w:eastAsia="Arial" w:hAnsi="Arial"/>
          <w:sz w:val="18"/>
          <w:szCs w:val="18"/>
          <w:u w:val="single" w:color="auto"/>
          <w:color w:val="0000EE"/>
        </w:rPr>
        <w:t>Consent of Independent Registered Public Accounting Firm</w:t>
      </w:r>
    </w:p>
    <w:p>
      <w:pPr>
        <w:spacing w:after="0" w:line="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2013 formatted in Extensible Business Reporting Language (XBRL).</w:t>
      </w:r>
    </w:p>
    <w:p>
      <w:pPr>
        <w:spacing w:after="0" w:line="156" w:lineRule="exact"/>
        <w:rPr>
          <w:sz w:val="20"/>
          <w:szCs w:val="20"/>
          <w:color w:val="auto"/>
        </w:rPr>
      </w:pPr>
    </w:p>
    <w:p>
      <w:pPr>
        <w:sectPr>
          <w:pgSz w:w="11900" w:h="16838" w:orient="portrait"/>
          <w:cols w:equalWidth="0" w:num="2">
            <w:col w:w="640" w:space="400"/>
            <w:col w:w="10380"/>
          </w:cols>
          <w:pgMar w:left="240" w:top="233" w:right="239" w:bottom="1014" w:gutter="0" w:footer="0" w:header="0"/>
          <w:type w:val="continuous"/>
        </w:sectPr>
      </w:pPr>
    </w:p>
    <w:p>
      <w:pPr>
        <w:ind w:left="120" w:hanging="112"/>
        <w:spacing w:after="0"/>
        <w:tabs>
          <w:tab w:leader="none" w:pos="12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spacing w:after="0" w:line="42"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10-K, filed by the Company with the Securities and Exchange Commission on March 31, 2010.</w:t>
      </w:r>
    </w:p>
    <w:p>
      <w:pPr>
        <w:spacing w:after="0" w:line="1" w:lineRule="exact"/>
        <w:rPr>
          <w:rFonts w:ascii="Arial" w:cs="Arial" w:eastAsia="Arial" w:hAnsi="Arial"/>
          <w:sz w:val="26"/>
          <w:szCs w:val="26"/>
          <w:color w:val="auto"/>
          <w:vertAlign w:val="superscript"/>
        </w:rPr>
      </w:pPr>
    </w:p>
    <w:p>
      <w:pPr>
        <w:spacing w:after="0" w:line="191"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3</w:t>
      </w:r>
      <w:r>
        <w:rPr>
          <w:rFonts w:ascii="Arial" w:cs="Arial" w:eastAsia="Arial" w:hAnsi="Arial"/>
          <w:sz w:val="17"/>
          <w:szCs w:val="17"/>
          <w:color w:val="auto"/>
        </w:rPr>
        <w:t xml:space="preserve"> Incorporated by reference to the Form 8-K, filed by the Company with the Securities and Exchange Commission on July 30, 2010.</w:t>
      </w: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Incorporated by reference to the Form 8-K, filed by the Company with the Securities and Exchange Commission on January 18,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5</w:t>
      </w:r>
      <w:r>
        <w:rPr>
          <w:rFonts w:ascii="Arial" w:cs="Arial" w:eastAsia="Arial" w:hAnsi="Arial"/>
          <w:sz w:val="16"/>
          <w:szCs w:val="16"/>
          <w:color w:val="auto"/>
        </w:rPr>
        <w:t xml:space="preserve"> Incorporated by reference to the Form 8-K, filed by the Company with the Securities and Exchange Commission on January 11, 2013.</w:t>
      </w:r>
    </w:p>
    <w:p>
      <w:pPr>
        <w:spacing w:after="0" w:line="1"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Incorporated by reference to the Form 8-K, filed by the Company with the Securities and Exchange Commission on August 15, 2013.</w:t>
      </w:r>
    </w:p>
    <w:p>
      <w:pPr>
        <w:spacing w:after="0" w:line="1" w:lineRule="exact"/>
        <w:rPr>
          <w:rFonts w:ascii="Arial" w:cs="Arial" w:eastAsia="Arial" w:hAnsi="Arial"/>
          <w:sz w:val="26"/>
          <w:szCs w:val="26"/>
          <w:color w:val="auto"/>
          <w:vertAlign w:val="superscript"/>
        </w:rPr>
      </w:pPr>
    </w:p>
    <w:p>
      <w:pPr>
        <w:ind w:right="1400"/>
        <w:spacing w:after="0" w:line="234"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January 2, 2014.</w:t>
      </w:r>
    </w:p>
    <w:p>
      <w:pPr>
        <w:spacing w:after="0" w:line="26" w:lineRule="exact"/>
        <w:rPr>
          <w:sz w:val="20"/>
          <w:szCs w:val="20"/>
          <w:color w:val="auto"/>
        </w:rPr>
      </w:pPr>
    </w:p>
    <w:p>
      <w:pPr>
        <w:ind w:right="1700" w:firstLine="8"/>
        <w:spacing w:after="0" w:line="194" w:lineRule="auto"/>
        <w:tabs>
          <w:tab w:leader="none" w:pos="1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8-K, filed by the Company with the Securities and Exchange Commission on March 18, 2014. **Provided herewith</w:t>
      </w:r>
    </w:p>
    <w:p>
      <w:pPr>
        <w:sectPr>
          <w:pgSz w:w="11900" w:h="16838" w:orient="portrait"/>
          <w:cols w:equalWidth="0" w:num="1">
            <w:col w:w="11420"/>
          </w:cols>
          <w:pgMar w:left="240" w:top="233" w:right="239" w:bottom="1014"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014"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40" w:hanging="65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449"/>
        <w:spacing w:after="0" w:line="272" w:lineRule="auto"/>
        <w:tabs>
          <w:tab w:leader="none" w:pos="69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April 11, 2014.</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6440" w:type="dxa"/>
            <w:vAlign w:val="bottom"/>
            <w:gridSpan w:val="3"/>
          </w:tcPr>
          <w:p>
            <w:pPr>
              <w:spacing w:after="0" w:line="190" w:lineRule="exact"/>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Shad Stastney</w:t>
            </w:r>
          </w:p>
        </w:tc>
        <w:tc>
          <w:tcPr>
            <w:tcW w:w="5240" w:type="dxa"/>
            <w:vAlign w:val="bottom"/>
            <w:gridSpan w:val="2"/>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7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April 11, 2014</w:t>
            </w:r>
          </w:p>
        </w:tc>
      </w:tr>
      <w:tr>
        <w:trPr>
          <w:trHeight w:val="418"/>
        </w:trPr>
        <w:tc>
          <w:tcPr>
            <w:tcW w:w="700" w:type="dxa"/>
            <w:vAlign w:val="bottom"/>
          </w:tcPr>
          <w:p>
            <w:pPr>
              <w:spacing w:after="0"/>
              <w:rPr>
                <w:sz w:val="24"/>
                <w:szCs w:val="24"/>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6440" w:type="dxa"/>
            <w:vAlign w:val="bottom"/>
            <w:gridSpan w:val="3"/>
          </w:tcPr>
          <w:p>
            <w:pPr>
              <w:spacing w:after="0" w:line="190" w:lineRule="exact"/>
              <w:rPr>
                <w:sz w:val="20"/>
                <w:szCs w:val="20"/>
                <w:color w:val="auto"/>
              </w:rPr>
            </w:pPr>
            <w:r>
              <w:rPr>
                <w:rFonts w:ascii="Arial" w:cs="Arial" w:eastAsia="Arial" w:hAnsi="Arial"/>
                <w:sz w:val="18"/>
                <w:szCs w:val="18"/>
                <w:color w:val="auto"/>
              </w:rPr>
              <w:t>/s/ H. David Lester</w:t>
            </w:r>
          </w:p>
        </w:tc>
      </w:tr>
      <w:tr>
        <w:trPr>
          <w:trHeight w:val="222"/>
        </w:trPr>
        <w:tc>
          <w:tcPr>
            <w:tcW w:w="700" w:type="dxa"/>
            <w:vAlign w:val="bottom"/>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508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3"/>
              </w:rPr>
              <w:t>Chief Operating Officer, Chief Financial Officer, Principal Financial Officer and Director</w:t>
            </w:r>
          </w:p>
        </w:tc>
      </w:tr>
      <w:tr>
        <w:trPr>
          <w:trHeight w:val="230"/>
        </w:trPr>
        <w:tc>
          <w:tcPr>
            <w:tcW w:w="7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April 11, 2014</w:t>
            </w:r>
          </w:p>
        </w:tc>
      </w:tr>
      <w:tr>
        <w:trPr>
          <w:trHeight w:val="432"/>
        </w:trPr>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tcPr>
          <w:p>
            <w:pPr>
              <w:ind w:left="254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3"/>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Harrell</w:t>
            </w:r>
          </w:p>
        </w:tc>
        <w:tc>
          <w:tcPr>
            <w:tcW w:w="460" w:type="dxa"/>
            <w:vAlign w:val="bottom"/>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April 11,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gridSpan w:val="3"/>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70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520" w:type="dxa"/>
            <w:vAlign w:val="bottom"/>
            <w:gridSpan w:val="2"/>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April 11,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 Terence J. Hamilton</w:t>
            </w:r>
          </w:p>
        </w:tc>
      </w:tr>
      <w:tr>
        <w:trPr>
          <w:trHeight w:val="222"/>
        </w:trPr>
        <w:tc>
          <w:tcPr>
            <w:tcW w:w="70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Terence J. Hamilton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660" w:type="dxa"/>
            <w:vAlign w:val="bottom"/>
            <w:gridSpan w:val="3"/>
          </w:tcPr>
          <w:p>
            <w:pPr>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660" w:type="dxa"/>
            <w:vAlign w:val="bottom"/>
            <w:gridSpan w:val="3"/>
          </w:tcPr>
          <w:p>
            <w:pPr>
              <w:spacing w:after="0"/>
              <w:rPr>
                <w:sz w:val="20"/>
                <w:szCs w:val="20"/>
                <w:color w:val="auto"/>
              </w:rPr>
            </w:pPr>
            <w:r>
              <w:rPr>
                <w:rFonts w:ascii="Arial" w:cs="Arial" w:eastAsia="Arial" w:hAnsi="Arial"/>
                <w:sz w:val="18"/>
                <w:szCs w:val="18"/>
                <w:color w:val="auto"/>
              </w:rPr>
              <w:t>April 11, 2014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tbl>
      <w:tblPr>
        <w:tblLayout w:type="fixed"/>
        <w:tblInd w:w="100" w:type="dxa"/>
        <w:tblCellMar>
          <w:top w:w="0" w:type="dxa"/>
          <w:left w:w="0" w:type="dxa"/>
          <w:bottom w:w="0" w:type="dxa"/>
          <w:right w:w="0" w:type="dxa"/>
        </w:tblCellMar>
      </w:tblPr>
      <w:tr>
        <w:trPr>
          <w:trHeight w:val="307"/>
        </w:trPr>
        <w:tc>
          <w:tcPr>
            <w:tcW w:w="5420" w:type="dxa"/>
            <w:vAlign w:val="bottom"/>
            <w:gridSpan w:val="2"/>
          </w:tcPr>
          <w:p>
            <w:pPr>
              <w:spacing w:after="0" w:line="306" w:lineRule="exact"/>
              <w:rPr>
                <w:sz w:val="20"/>
                <w:szCs w:val="20"/>
                <w:color w:val="auto"/>
              </w:rPr>
            </w:pPr>
            <w:r>
              <w:rPr>
                <w:rFonts w:ascii="Arial" w:cs="Arial" w:eastAsia="Arial" w:hAnsi="Arial"/>
                <w:sz w:val="35"/>
                <w:szCs w:val="35"/>
                <w:color w:val="auto"/>
              </w:rPr>
              <w:t>C</w:t>
            </w:r>
            <w:r>
              <w:rPr>
                <w:rFonts w:ascii="Arial" w:cs="Arial" w:eastAsia="Arial" w:hAnsi="Arial"/>
                <w:sz w:val="24"/>
                <w:szCs w:val="24"/>
                <w:color w:val="auto"/>
              </w:rPr>
              <w:t>ANE</w:t>
            </w:r>
            <w:r>
              <w:rPr>
                <w:rFonts w:ascii="Arial" w:cs="Arial" w:eastAsia="Arial" w:hAnsi="Arial"/>
                <w:sz w:val="35"/>
                <w:szCs w:val="35"/>
                <w:color w:val="auto"/>
              </w:rPr>
              <w:t xml:space="preserve"> C</w:t>
            </w:r>
            <w:r>
              <w:rPr>
                <w:rFonts w:ascii="Arial" w:cs="Arial" w:eastAsia="Arial" w:hAnsi="Arial"/>
                <w:sz w:val="24"/>
                <w:szCs w:val="24"/>
                <w:color w:val="auto"/>
              </w:rPr>
              <w:t>LARK LLP</w:t>
            </w:r>
          </w:p>
        </w:tc>
        <w:tc>
          <w:tcPr>
            <w:tcW w:w="4400" w:type="dxa"/>
            <w:vAlign w:val="bottom"/>
          </w:tcPr>
          <w:p>
            <w:pPr>
              <w:ind w:left="2360"/>
              <w:spacing w:after="0"/>
              <w:rPr>
                <w:sz w:val="20"/>
                <w:szCs w:val="20"/>
                <w:color w:val="auto"/>
              </w:rPr>
            </w:pPr>
            <w:r>
              <w:rPr>
                <w:rFonts w:ascii="Arial" w:cs="Arial" w:eastAsia="Arial" w:hAnsi="Arial"/>
                <w:sz w:val="14"/>
                <w:szCs w:val="14"/>
                <w:color w:val="auto"/>
              </w:rPr>
              <w:t>Las Vegas, NV 89120</w:t>
            </w:r>
          </w:p>
        </w:tc>
      </w:tr>
      <w:tr>
        <w:trPr>
          <w:trHeight w:val="172"/>
        </w:trPr>
        <w:tc>
          <w:tcPr>
            <w:tcW w:w="1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400" w:type="dxa"/>
            <w:vAlign w:val="bottom"/>
          </w:tcPr>
          <w:p>
            <w:pPr>
              <w:ind w:left="2360"/>
              <w:spacing w:after="0"/>
              <w:rPr>
                <w:sz w:val="20"/>
                <w:szCs w:val="20"/>
                <w:color w:val="auto"/>
              </w:rPr>
            </w:pPr>
            <w:r>
              <w:rPr>
                <w:rFonts w:ascii="Arial" w:cs="Arial" w:eastAsia="Arial" w:hAnsi="Arial"/>
                <w:sz w:val="14"/>
                <w:szCs w:val="14"/>
                <w:color w:val="auto"/>
              </w:rPr>
              <w:t>3273 E. Warm Springs</w:t>
            </w:r>
          </w:p>
        </w:tc>
      </w:tr>
      <w:tr>
        <w:trPr>
          <w:trHeight w:val="570"/>
        </w:trPr>
        <w:tc>
          <w:tcPr>
            <w:tcW w:w="1680" w:type="dxa"/>
            <w:vAlign w:val="bottom"/>
          </w:tcPr>
          <w:p>
            <w:pPr>
              <w:spacing w:after="0"/>
              <w:rPr>
                <w:sz w:val="20"/>
                <w:szCs w:val="20"/>
                <w:color w:val="auto"/>
              </w:rPr>
            </w:pPr>
            <w:r>
              <w:rPr>
                <w:rFonts w:ascii="Arial" w:cs="Arial" w:eastAsia="Arial" w:hAnsi="Arial"/>
                <w:sz w:val="14"/>
                <w:szCs w:val="14"/>
                <w:color w:val="auto"/>
              </w:rPr>
              <w:t>Kyleen E. Cane*</w:t>
            </w:r>
          </w:p>
        </w:tc>
        <w:tc>
          <w:tcPr>
            <w:tcW w:w="3740" w:type="dxa"/>
            <w:vAlign w:val="bottom"/>
          </w:tcPr>
          <w:p>
            <w:pPr>
              <w:ind w:left="400"/>
              <w:spacing w:after="0"/>
              <w:rPr>
                <w:sz w:val="20"/>
                <w:szCs w:val="20"/>
                <w:color w:val="auto"/>
              </w:rPr>
            </w:pPr>
            <w:r>
              <w:rPr>
                <w:rFonts w:ascii="Arial" w:cs="Arial" w:eastAsia="Arial" w:hAnsi="Arial"/>
                <w:sz w:val="14"/>
                <w:szCs w:val="14"/>
                <w:color w:val="auto"/>
              </w:rPr>
              <w:t>Bryan R. Clark^</w:t>
            </w:r>
          </w:p>
        </w:tc>
        <w:tc>
          <w:tcPr>
            <w:tcW w:w="4400" w:type="dxa"/>
            <w:vAlign w:val="bottom"/>
          </w:tcPr>
          <w:p>
            <w:pPr>
              <w:ind w:left="2360"/>
              <w:spacing w:after="0"/>
              <w:rPr>
                <w:sz w:val="20"/>
                <w:szCs w:val="20"/>
                <w:color w:val="auto"/>
              </w:rPr>
            </w:pPr>
            <w:r>
              <w:rPr>
                <w:rFonts w:ascii="Arial" w:cs="Arial" w:eastAsia="Arial" w:hAnsi="Arial"/>
                <w:sz w:val="14"/>
                <w:szCs w:val="14"/>
                <w:color w:val="auto"/>
              </w:rPr>
              <w:t>Telephone:  702-312-6255</w:t>
            </w:r>
          </w:p>
        </w:tc>
      </w:tr>
      <w:tr>
        <w:trPr>
          <w:trHeight w:val="162"/>
        </w:trPr>
        <w:tc>
          <w:tcPr>
            <w:tcW w:w="1680" w:type="dxa"/>
            <w:vAlign w:val="bottom"/>
          </w:tcPr>
          <w:p>
            <w:pPr>
              <w:spacing w:after="0"/>
              <w:rPr>
                <w:sz w:val="20"/>
                <w:szCs w:val="20"/>
                <w:color w:val="auto"/>
              </w:rPr>
            </w:pPr>
            <w:r>
              <w:rPr>
                <w:rFonts w:ascii="Arial" w:cs="Arial" w:eastAsia="Arial" w:hAnsi="Arial"/>
                <w:sz w:val="14"/>
                <w:szCs w:val="14"/>
                <w:color w:val="auto"/>
              </w:rPr>
              <w:t>Joe Laxague</w:t>
            </w:r>
          </w:p>
        </w:tc>
        <w:tc>
          <w:tcPr>
            <w:tcW w:w="3740" w:type="dxa"/>
            <w:vAlign w:val="bottom"/>
          </w:tcPr>
          <w:p>
            <w:pPr>
              <w:ind w:left="400"/>
              <w:spacing w:after="0"/>
              <w:rPr>
                <w:sz w:val="20"/>
                <w:szCs w:val="20"/>
                <w:color w:val="auto"/>
              </w:rPr>
            </w:pPr>
            <w:r>
              <w:rPr>
                <w:rFonts w:ascii="Arial" w:cs="Arial" w:eastAsia="Arial" w:hAnsi="Arial"/>
                <w:sz w:val="14"/>
                <w:szCs w:val="14"/>
                <w:color w:val="auto"/>
              </w:rPr>
              <w:t>Scott P. Doney</w:t>
            </w:r>
          </w:p>
        </w:tc>
        <w:tc>
          <w:tcPr>
            <w:tcW w:w="4400" w:type="dxa"/>
            <w:vAlign w:val="bottom"/>
          </w:tcPr>
          <w:p>
            <w:pPr>
              <w:ind w:left="2360"/>
              <w:spacing w:after="0"/>
              <w:rPr>
                <w:sz w:val="20"/>
                <w:szCs w:val="20"/>
                <w:color w:val="auto"/>
              </w:rPr>
            </w:pPr>
            <w:r>
              <w:rPr>
                <w:rFonts w:ascii="Arial" w:cs="Arial" w:eastAsia="Arial" w:hAnsi="Arial"/>
                <w:sz w:val="14"/>
                <w:szCs w:val="14"/>
                <w:color w:val="auto"/>
              </w:rPr>
              <w:t>Facsimile:   702-944-7100</w:t>
            </w: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Christopher T. Clark</w:t>
            </w:r>
          </w:p>
        </w:tc>
        <w:tc>
          <w:tcPr>
            <w:tcW w:w="3740" w:type="dxa"/>
            <w:vAlign w:val="bottom"/>
          </w:tcPr>
          <w:p>
            <w:pPr>
              <w:spacing w:after="0"/>
              <w:rPr>
                <w:sz w:val="14"/>
                <w:szCs w:val="14"/>
                <w:color w:val="auto"/>
              </w:rPr>
            </w:pPr>
          </w:p>
        </w:tc>
        <w:tc>
          <w:tcPr>
            <w:tcW w:w="4400" w:type="dxa"/>
            <w:vAlign w:val="bottom"/>
          </w:tcPr>
          <w:p>
            <w:pPr>
              <w:ind w:left="2360"/>
              <w:spacing w:after="0"/>
              <w:rPr>
                <w:sz w:val="20"/>
                <w:szCs w:val="20"/>
                <w:color w:val="auto"/>
              </w:rPr>
            </w:pPr>
            <w:r>
              <w:rPr>
                <w:rFonts w:ascii="Arial" w:cs="Arial" w:eastAsia="Arial" w:hAnsi="Arial"/>
                <w:sz w:val="14"/>
                <w:szCs w:val="14"/>
                <w:color w:val="auto"/>
              </w:rPr>
              <w:t>Email:  sdoney@caneclark.com</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April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 have acted as counsel for OptimizeRx Corp., a Nevada corporation (the “Company”), in connection with the registration statement on Form S-1 (the “Registration Statement”) filed with the Securities and Exchange Commission (the “Commission”) on April 10, 2014, and any amendments thereto, pursuant to the Securities Act of 1933, as amended (the “Act”). The Registration Statement relates to the resale registration of: (a) 8,333,333 shares of the Company’s common stock; and (b) 804,139 shares of common stock reserved for issuance and issuable upon the exercise of the warrants, all of which are to be offered and sold by certain stockholders of the Company (the “Selling Stockholders”) as set forth in the Registration Statement.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below, I have reviewed: (a) the Registration Statement and the exhibits attached thereto; (b) the Company's Articles of Incorporation; (c) the Company's Bylaws; (d) certain records of the Company's corporate proceedings as reflected in its minute books; and (e) such statutes, records and other documents as we have deemed relevant. In my examination, I have assumed the genuineness of all signatures, the authenticity of all documents submitted to us as originals, and conformity with the originals of all documents submitted to us as copies thereof. In addition, I have made such other examinations of law and fact, as I have deemed relevant in order to form a basis for the opinion hereinafter expressed.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of common stock to be sold by the Selling Stockholders are legally and validly issued, fully paid and non-assessable.</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of common stock underlying the warrants to be sold by the Selling Stockholders will be validly issued, fully paid and non-assessable when issued by the Company if the exercise price is received by the Company.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based on Nevada general corporate law, including the statutory provisions, all applicable provisions of the Nevada constitution and reported judicial decisions interpreting those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0"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CONSENT to the use of my opinion in connection with the Form S-1 Registration Statement and any amendments thereto filed with the Securities and Exchange Commission as counsel for the registrant, OptimizeRx Corp.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11,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hereby consents to the use in the Form S-1, Registration Statement under the Securities Act of 1933, filed by OptimizeRx Corporation of our report dated March 20, 2014, relating to the consolidated financial statements of OptimizeRx Corporation, a Nevada Corporation, as of and for the years ending December 31, 2013 and 2012, and the reference to us under the caption “Interests of Named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9"/>
      <w:numFmt w:val="bullet"/>
      <w:start w:val="1"/>
    </w:lvl>
  </w:abstractNum>
  <w:abstractNum w:abstractNumId="23">
    <w:nsid w:val="8EDBDAB"/>
    <w:multiLevelType w:val="hybridMultilevel"/>
    <w:lvl w:ilvl="0">
      <w:lvlJc w:val="left"/>
      <w:lvlText w:val="(%1)"/>
      <w:numFmt w:val="lowerLetter"/>
      <w:start w:val="1"/>
    </w:lvl>
    <w:lvl w:ilvl="1">
      <w:lvlJc w:val="left"/>
      <w:lvlText w:val="(%2)"/>
      <w:numFmt w:val="lowerRoman"/>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2019-12-07T20:02:24Z</dcterms:created>
  <dcterms:modified xsi:type="dcterms:W3CDTF">2019-12-07T20:02:24Z</dcterms:modified>
</cp:coreProperties>
</file>