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380" w:type="dxa"/>
            <w:vAlign w:val="bottom"/>
            <w:gridSpan w:val="6"/>
          </w:tcPr>
          <w:p>
            <w:pPr>
              <w:jc w:val="center"/>
              <w:ind w:right="1580"/>
              <w:spacing w:after="0"/>
              <w:rPr>
                <w:sz w:val="20"/>
                <w:szCs w:val="20"/>
                <w:color w:val="auto"/>
              </w:rPr>
            </w:pPr>
            <w:r>
              <w:rPr>
                <w:rFonts w:ascii="Arial" w:cs="Arial" w:eastAsia="Arial" w:hAnsi="Arial"/>
                <w:sz w:val="18"/>
                <w:szCs w:val="18"/>
                <w:b w:val="1"/>
                <w:bCs w:val="1"/>
                <w:color w:val="auto"/>
              </w:rPr>
              <w:t>FORM 8-K</w:t>
            </w:r>
          </w:p>
        </w:tc>
        <w:tc>
          <w:tcPr>
            <w:tcW w:w="3220" w:type="dxa"/>
            <w:vAlign w:val="bottom"/>
          </w:tcPr>
          <w:p>
            <w:pPr>
              <w:spacing w:after="0"/>
              <w:rPr>
                <w:sz w:val="20"/>
                <w:szCs w:val="20"/>
                <w:color w:val="auto"/>
              </w:rPr>
            </w:pPr>
          </w:p>
        </w:tc>
      </w:tr>
      <w:tr>
        <w:trPr>
          <w:trHeight w:val="414"/>
        </w:trPr>
        <w:tc>
          <w:tcPr>
            <w:tcW w:w="3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80" w:type="dxa"/>
            <w:vAlign w:val="bottom"/>
            <w:gridSpan w:val="6"/>
          </w:tcPr>
          <w:p>
            <w:pPr>
              <w:jc w:val="center"/>
              <w:ind w:right="1580"/>
              <w:spacing w:after="0"/>
              <w:rPr>
                <w:sz w:val="20"/>
                <w:szCs w:val="20"/>
                <w:color w:val="auto"/>
              </w:rPr>
            </w:pPr>
            <w:r>
              <w:rPr>
                <w:rFonts w:ascii="Arial" w:cs="Arial" w:eastAsia="Arial" w:hAnsi="Arial"/>
                <w:sz w:val="18"/>
                <w:szCs w:val="18"/>
                <w:b w:val="1"/>
                <w:bCs w:val="1"/>
                <w:color w:val="auto"/>
                <w:w w:val="99"/>
              </w:rPr>
              <w:t>CURRENT REPORT</w:t>
            </w:r>
          </w:p>
        </w:tc>
        <w:tc>
          <w:tcPr>
            <w:tcW w:w="3220" w:type="dxa"/>
            <w:vAlign w:val="bottom"/>
          </w:tcPr>
          <w:p>
            <w:pPr>
              <w:spacing w:after="0"/>
              <w:rPr>
                <w:sz w:val="24"/>
                <w:szCs w:val="24"/>
                <w:color w:val="auto"/>
              </w:rPr>
            </w:pPr>
          </w:p>
        </w:tc>
      </w:tr>
      <w:tr>
        <w:trPr>
          <w:trHeight w:val="216"/>
        </w:trPr>
        <w:tc>
          <w:tcPr>
            <w:tcW w:w="3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00" w:type="dxa"/>
            <w:vAlign w:val="bottom"/>
            <w:gridSpan w:val="7"/>
          </w:tcPr>
          <w:p>
            <w:pPr>
              <w:jc w:val="center"/>
              <w:ind w:right="680"/>
              <w:spacing w:after="0"/>
              <w:rPr>
                <w:sz w:val="20"/>
                <w:szCs w:val="20"/>
                <w:color w:val="auto"/>
              </w:rPr>
            </w:pPr>
            <w:r>
              <w:rPr>
                <w:rFonts w:ascii="Arial" w:cs="Arial" w:eastAsia="Arial" w:hAnsi="Arial"/>
                <w:sz w:val="18"/>
                <w:szCs w:val="18"/>
                <w:b w:val="1"/>
                <w:bCs w:val="1"/>
                <w:color w:val="auto"/>
                <w:w w:val="97"/>
              </w:rPr>
              <w:t>PURSUANT TO SECTION 13 OR 15(d) OF</w:t>
            </w:r>
          </w:p>
        </w:tc>
        <w:tc>
          <w:tcPr>
            <w:tcW w:w="3220" w:type="dxa"/>
            <w:vAlign w:val="bottom"/>
          </w:tcPr>
          <w:p>
            <w:pPr>
              <w:spacing w:after="0"/>
              <w:rPr>
                <w:sz w:val="18"/>
                <w:szCs w:val="18"/>
                <w:color w:val="auto"/>
              </w:rPr>
            </w:pPr>
          </w:p>
        </w:tc>
      </w:tr>
      <w:tr>
        <w:trPr>
          <w:trHeight w:val="234"/>
        </w:trPr>
        <w:tc>
          <w:tcPr>
            <w:tcW w:w="3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540" w:type="dxa"/>
            <w:vAlign w:val="bottom"/>
            <w:gridSpan w:val="8"/>
          </w:tcPr>
          <w:p>
            <w:pPr>
              <w:jc w:val="center"/>
              <w:ind w:right="42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20" w:type="dxa"/>
            <w:vAlign w:val="bottom"/>
          </w:tcPr>
          <w:p>
            <w:pPr>
              <w:spacing w:after="0"/>
              <w:rPr>
                <w:sz w:val="20"/>
                <w:szCs w:val="20"/>
                <w:color w:val="auto"/>
              </w:rPr>
            </w:pPr>
          </w:p>
        </w:tc>
      </w:tr>
      <w:tr>
        <w:trPr>
          <w:trHeight w:val="432"/>
        </w:trPr>
        <w:tc>
          <w:tcPr>
            <w:tcW w:w="3000" w:type="dxa"/>
            <w:vAlign w:val="bottom"/>
          </w:tcPr>
          <w:p>
            <w:pPr>
              <w:spacing w:after="0"/>
              <w:rPr>
                <w:sz w:val="24"/>
                <w:szCs w:val="24"/>
                <w:color w:val="auto"/>
              </w:rPr>
            </w:pPr>
          </w:p>
        </w:tc>
        <w:tc>
          <w:tcPr>
            <w:tcW w:w="5200" w:type="dxa"/>
            <w:vAlign w:val="bottom"/>
            <w:gridSpan w:val="9"/>
          </w:tcPr>
          <w:p>
            <w:pPr>
              <w:jc w:val="center"/>
              <w:ind w:left="130"/>
              <w:spacing w:after="0"/>
              <w:rPr>
                <w:sz w:val="20"/>
                <w:szCs w:val="20"/>
                <w:color w:val="auto"/>
              </w:rPr>
            </w:pPr>
            <w:r>
              <w:rPr>
                <w:rFonts w:ascii="Arial" w:cs="Arial" w:eastAsia="Arial" w:hAnsi="Arial"/>
                <w:sz w:val="18"/>
                <w:szCs w:val="18"/>
                <w:color w:val="auto"/>
                <w:w w:val="90"/>
              </w:rPr>
              <w:t>Date of Report (Date of earliest event reported): November 12, 2015</w:t>
            </w:r>
          </w:p>
        </w:tc>
        <w:tc>
          <w:tcPr>
            <w:tcW w:w="3220" w:type="dxa"/>
            <w:vAlign w:val="bottom"/>
          </w:tcPr>
          <w:p>
            <w:pPr>
              <w:spacing w:after="0"/>
              <w:rPr>
                <w:sz w:val="24"/>
                <w:szCs w:val="24"/>
                <w:color w:val="auto"/>
              </w:rPr>
            </w:pPr>
          </w:p>
        </w:tc>
      </w:tr>
      <w:tr>
        <w:trPr>
          <w:trHeight w:val="392"/>
        </w:trPr>
        <w:tc>
          <w:tcPr>
            <w:tcW w:w="3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580" w:type="dxa"/>
            <w:vAlign w:val="bottom"/>
            <w:gridSpan w:val="3"/>
          </w:tcPr>
          <w:p>
            <w:pPr>
              <w:spacing w:after="0"/>
              <w:rPr>
                <w:sz w:val="24"/>
                <w:szCs w:val="24"/>
                <w:color w:val="auto"/>
              </w:rPr>
            </w:pPr>
          </w:p>
        </w:tc>
        <w:tc>
          <w:tcPr>
            <w:tcW w:w="3220" w:type="dxa"/>
            <w:vAlign w:val="bottom"/>
          </w:tcPr>
          <w:p>
            <w:pPr>
              <w:spacing w:after="0"/>
              <w:rPr>
                <w:sz w:val="24"/>
                <w:szCs w:val="24"/>
                <w:color w:val="auto"/>
              </w:rPr>
            </w:pPr>
          </w:p>
        </w:tc>
      </w:tr>
      <w:tr>
        <w:trPr>
          <w:trHeight w:val="237"/>
        </w:trPr>
        <w:tc>
          <w:tcPr>
            <w:tcW w:w="3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540" w:type="dxa"/>
            <w:vAlign w:val="bottom"/>
            <w:gridSpan w:val="8"/>
          </w:tcPr>
          <w:p>
            <w:pPr>
              <w:jc w:val="center"/>
              <w:ind w:right="420"/>
              <w:spacing w:after="0"/>
              <w:rPr>
                <w:sz w:val="20"/>
                <w:szCs w:val="20"/>
                <w:color w:val="auto"/>
              </w:rPr>
            </w:pPr>
            <w:r>
              <w:rPr>
                <w:rFonts w:ascii="Arial" w:cs="Arial" w:eastAsia="Arial" w:hAnsi="Arial"/>
                <w:sz w:val="18"/>
                <w:szCs w:val="18"/>
                <w:color w:val="auto"/>
                <w:w w:val="90"/>
              </w:rPr>
              <w:t>(Exact name of registrant as specified in its charter)</w:t>
            </w:r>
          </w:p>
        </w:tc>
        <w:tc>
          <w:tcPr>
            <w:tcW w:w="3220" w:type="dxa"/>
            <w:vAlign w:val="bottom"/>
          </w:tcPr>
          <w:p>
            <w:pPr>
              <w:spacing w:after="0"/>
              <w:rPr>
                <w:sz w:val="20"/>
                <w:szCs w:val="20"/>
                <w:color w:val="auto"/>
              </w:rPr>
            </w:pPr>
          </w:p>
        </w:tc>
      </w:tr>
      <w:tr>
        <w:trPr>
          <w:trHeight w:val="439"/>
        </w:trPr>
        <w:tc>
          <w:tcPr>
            <w:tcW w:w="3000" w:type="dxa"/>
            <w:vAlign w:val="bottom"/>
          </w:tcPr>
          <w:p>
            <w:pPr>
              <w:jc w:val="center"/>
              <w:ind w:left="590"/>
              <w:spacing w:after="0"/>
              <w:rPr>
                <w:sz w:val="20"/>
                <w:szCs w:val="20"/>
                <w:color w:val="auto"/>
              </w:rPr>
            </w:pPr>
            <w:r>
              <w:rPr>
                <w:rFonts w:ascii="Arial" w:cs="Arial" w:eastAsia="Arial" w:hAnsi="Arial"/>
                <w:sz w:val="18"/>
                <w:szCs w:val="18"/>
                <w:color w:val="auto"/>
                <w:w w:val="90"/>
              </w:rPr>
              <w:t>Nevada</w:t>
            </w:r>
          </w:p>
        </w:tc>
        <w:tc>
          <w:tcPr>
            <w:tcW w:w="3620" w:type="dxa"/>
            <w:vAlign w:val="bottom"/>
            <w:gridSpan w:val="6"/>
          </w:tcPr>
          <w:p>
            <w:pPr>
              <w:jc w:val="center"/>
              <w:ind w:left="1750"/>
              <w:spacing w:after="0"/>
              <w:rPr>
                <w:sz w:val="20"/>
                <w:szCs w:val="20"/>
                <w:color w:val="auto"/>
              </w:rPr>
            </w:pPr>
            <w:r>
              <w:rPr>
                <w:rFonts w:ascii="Arial" w:cs="Arial" w:eastAsia="Arial" w:hAnsi="Arial"/>
                <w:sz w:val="18"/>
                <w:szCs w:val="18"/>
                <w:color w:val="auto"/>
                <w:w w:val="90"/>
              </w:rPr>
              <w:t>000-53605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20" w:type="dxa"/>
            <w:vAlign w:val="bottom"/>
          </w:tcPr>
          <w:p>
            <w:pPr>
              <w:jc w:val="center"/>
              <w:ind w:right="330"/>
              <w:spacing w:after="0"/>
              <w:rPr>
                <w:sz w:val="20"/>
                <w:szCs w:val="20"/>
                <w:color w:val="auto"/>
              </w:rPr>
            </w:pPr>
            <w:r>
              <w:rPr>
                <w:rFonts w:ascii="Arial" w:cs="Arial" w:eastAsia="Arial" w:hAnsi="Arial"/>
                <w:sz w:val="18"/>
                <w:szCs w:val="18"/>
                <w:color w:val="auto"/>
                <w:w w:val="91"/>
              </w:rPr>
              <w:t>26-1265381</w:t>
            </w:r>
          </w:p>
        </w:tc>
      </w:tr>
      <w:tr>
        <w:trPr>
          <w:trHeight w:val="202"/>
        </w:trPr>
        <w:tc>
          <w:tcPr>
            <w:tcW w:w="3000" w:type="dxa"/>
            <w:vAlign w:val="bottom"/>
            <w:tcBorders>
              <w:top w:val="single" w:sz="8" w:color="auto"/>
            </w:tcBorders>
          </w:tcPr>
          <w:p>
            <w:pPr>
              <w:jc w:val="center"/>
              <w:ind w:left="530"/>
              <w:spacing w:after="0" w:line="201" w:lineRule="exact"/>
              <w:rPr>
                <w:sz w:val="20"/>
                <w:szCs w:val="20"/>
                <w:color w:val="auto"/>
              </w:rPr>
            </w:pPr>
            <w:r>
              <w:rPr>
                <w:rFonts w:ascii="Arial" w:cs="Arial" w:eastAsia="Arial" w:hAnsi="Arial"/>
                <w:sz w:val="18"/>
                <w:szCs w:val="18"/>
                <w:color w:val="auto"/>
                <w:w w:val="92"/>
              </w:rPr>
              <w:t>(State or other jurisdiction</w:t>
            </w:r>
          </w:p>
        </w:tc>
        <w:tc>
          <w:tcPr>
            <w:tcW w:w="6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220" w:type="dxa"/>
            <w:vAlign w:val="bottom"/>
            <w:tcBorders>
              <w:top w:val="single" w:sz="8" w:color="auto"/>
            </w:tcBorders>
          </w:tcPr>
          <w:p>
            <w:pPr>
              <w:jc w:val="center"/>
              <w:ind w:right="39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000" w:type="dxa"/>
            <w:vAlign w:val="bottom"/>
          </w:tcPr>
          <w:p>
            <w:pPr>
              <w:jc w:val="center"/>
              <w:ind w:left="590"/>
              <w:spacing w:after="0"/>
              <w:rPr>
                <w:sz w:val="20"/>
                <w:szCs w:val="20"/>
                <w:color w:val="auto"/>
              </w:rPr>
            </w:pPr>
            <w:r>
              <w:rPr>
                <w:rFonts w:ascii="Arial" w:cs="Arial" w:eastAsia="Arial" w:hAnsi="Arial"/>
                <w:sz w:val="18"/>
                <w:szCs w:val="18"/>
                <w:color w:val="auto"/>
                <w:w w:val="95"/>
              </w:rPr>
              <w:t>of incorporation)</w:t>
            </w: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20" w:type="dxa"/>
            <w:vAlign w:val="bottom"/>
          </w:tcPr>
          <w:p>
            <w:pPr>
              <w:jc w:val="center"/>
              <w:ind w:right="350"/>
              <w:spacing w:after="0"/>
              <w:rPr>
                <w:sz w:val="20"/>
                <w:szCs w:val="20"/>
                <w:color w:val="auto"/>
              </w:rPr>
            </w:pPr>
            <w:r>
              <w:rPr>
                <w:rFonts w:ascii="Arial" w:cs="Arial" w:eastAsia="Arial" w:hAnsi="Arial"/>
                <w:sz w:val="18"/>
                <w:szCs w:val="18"/>
                <w:color w:val="auto"/>
                <w:w w:val="95"/>
              </w:rPr>
              <w:t>Identification No.)</w:t>
            </w:r>
          </w:p>
        </w:tc>
      </w:tr>
      <w:tr>
        <w:trPr>
          <w:trHeight w:val="426"/>
        </w:trPr>
        <w:tc>
          <w:tcPr>
            <w:tcW w:w="8200" w:type="dxa"/>
            <w:vAlign w:val="bottom"/>
            <w:gridSpan w:val="10"/>
          </w:tcPr>
          <w:p>
            <w:pPr>
              <w:jc w:val="center"/>
              <w:ind w:right="2580"/>
              <w:spacing w:after="0"/>
              <w:rPr>
                <w:sz w:val="20"/>
                <w:szCs w:val="20"/>
                <w:color w:val="auto"/>
              </w:rPr>
            </w:pPr>
            <w:r>
              <w:rPr>
                <w:rFonts w:ascii="Arial" w:cs="Arial" w:eastAsia="Arial" w:hAnsi="Arial"/>
                <w:sz w:val="18"/>
                <w:szCs w:val="18"/>
                <w:color w:val="auto"/>
                <w:w w:val="90"/>
              </w:rPr>
              <w:t>400 Water Street, Suite 200, Rochester, MI</w:t>
            </w:r>
          </w:p>
        </w:tc>
        <w:tc>
          <w:tcPr>
            <w:tcW w:w="3220" w:type="dxa"/>
            <w:vAlign w:val="bottom"/>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56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gridSpan w:val="3"/>
          </w:tcPr>
          <w:p>
            <w:pPr>
              <w:spacing w:after="0"/>
              <w:rPr>
                <w:sz w:val="20"/>
                <w:szCs w:val="20"/>
                <w:color w:val="auto"/>
              </w:rPr>
            </w:pPr>
          </w:p>
        </w:tc>
        <w:tc>
          <w:tcPr>
            <w:tcW w:w="3220" w:type="dxa"/>
            <w:vAlign w:val="bottom"/>
            <w:tcBorders>
              <w:top w:val="single" w:sz="8" w:color="auto"/>
            </w:tcBorders>
          </w:tcPr>
          <w:p>
            <w:pPr>
              <w:jc w:val="center"/>
              <w:ind w:right="2290"/>
              <w:spacing w:after="0"/>
              <w:rPr>
                <w:sz w:val="20"/>
                <w:szCs w:val="20"/>
                <w:color w:val="auto"/>
              </w:rPr>
            </w:pPr>
            <w:r>
              <w:rPr>
                <w:rFonts w:ascii="Arial" w:cs="Arial" w:eastAsia="Arial" w:hAnsi="Arial"/>
                <w:sz w:val="18"/>
                <w:szCs w:val="18"/>
                <w:color w:val="auto"/>
                <w:w w:val="94"/>
              </w:rPr>
              <w:t>(Zip Code)</w:t>
            </w:r>
          </w:p>
        </w:tc>
      </w:tr>
    </w:tbl>
    <w:p>
      <w:pPr>
        <w:spacing w:after="0" w:line="17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289560</wp:posOffset>
            </wp:positionV>
            <wp:extent cx="36277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7 – Regulation FD Disclosure</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November 12, 2015, we issued a press release concerning the appointment of David Smith to the new position of vice president of client services. A copy of the press release is attached as Exhibit 99.1 to this Current Report on Form 8-K.</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information in Item 7.01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November 12, 2015</w:t>
      </w: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904" w:right="31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877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2015</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904"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1857375</wp:posOffset>
            </wp:positionH>
            <wp:positionV relativeFrom="paragraph">
              <wp:posOffset>154940</wp:posOffset>
            </wp:positionV>
            <wp:extent cx="3515995" cy="7543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1599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OptimizeRx Corporation Appoints David Smith</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as Vice President of Client Services</w:t>
      </w:r>
    </w:p>
    <w:p>
      <w:pPr>
        <w:spacing w:after="0" w:line="202"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 xml:space="preserve">ROCHESTER, MI – November 12, 2015 – </w:t>
      </w:r>
      <w:r>
        <w:rPr>
          <w:rFonts w:ascii="Arial" w:cs="Arial" w:eastAsia="Arial" w:hAnsi="Arial"/>
          <w:sz w:val="18"/>
          <w:szCs w:val="18"/>
          <w:color w:val="auto"/>
        </w:rPr>
        <w:t>OptimizeRx Corp. (OTCQB: OPRX), a software company whose premier content-delivery platform enables</w:t>
      </w:r>
      <w:r>
        <w:rPr>
          <w:rFonts w:ascii="Arial" w:cs="Arial" w:eastAsia="Arial" w:hAnsi="Arial"/>
          <w:sz w:val="18"/>
          <w:szCs w:val="18"/>
          <w:b w:val="1"/>
          <w:bCs w:val="1"/>
          <w:color w:val="auto"/>
        </w:rPr>
        <w:t xml:space="preserve"> </w:t>
      </w:r>
      <w:r>
        <w:rPr>
          <w:rFonts w:ascii="Arial" w:cs="Arial" w:eastAsia="Arial" w:hAnsi="Arial"/>
          <w:sz w:val="18"/>
          <w:szCs w:val="18"/>
          <w:color w:val="auto"/>
        </w:rPr>
        <w:t>pharmaceutical companies to provide on-demand patient support services right at point of care, appointed David Smith to the new position of vice president of client services.</w:t>
      </w:r>
    </w:p>
    <w:p>
      <w:pPr>
        <w:spacing w:after="0" w:line="180"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Smith is an accomplished leader in business development, client services and strategic planning. He has more than 20 years of senior management experience within leading advertising and marketing companies.</w:t>
      </w:r>
    </w:p>
    <w:p>
      <w:pPr>
        <w:spacing w:after="0" w:line="17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“David will lead our account reps in developing and expanding our existing account base and advertising agencies,” said David Harrell, CEO of OptimizeRx. “He will also be responsible for managing and monetizing our relationship with WPP, the world’s largest marketing services company, to insure we leverage their vast relationships with multiple pharmaceutical clients across their agencies.”</w:t>
      </w:r>
    </w:p>
    <w:p>
      <w:pPr>
        <w:spacing w:after="0" w:line="18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Prior to joining OptimizeRx, Smith served as executive vice president of client services at EEI Global, a leading event and marketing company. Before EEI Global, he served as senior vice president at Campbell-Ewald, a full service marketing communications agency. Earlier, Smith held a number of senior leadership positions with Toyota and Ford Motor Company in business development, merchandising, sales and strategic planning.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 Corp</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OptimizeRx Corporation (OTCQB: OPRX) provides unique consumer and physician platforms to help patients better afford and comply with their medicines and healthcare products, while offering pharmaceutical and healthcare companies effective ways to expand awareness, access and adherence to their medications.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line="257" w:lineRule="auto"/>
        <w:rPr>
          <w:sz w:val="20"/>
          <w:szCs w:val="20"/>
          <w:color w:val="auto"/>
        </w:rPr>
      </w:pPr>
      <w:r>
        <w:rPr>
          <w:rFonts w:ascii="Arial" w:cs="Arial" w:eastAsia="Arial" w:hAnsi="Arial"/>
          <w:sz w:val="18"/>
          <w:szCs w:val="18"/>
          <w:color w:val="auto"/>
        </w:rPr>
        <w:t>The company’s core product, SampleMD, replaces drug samples with electronic trial vouchers and copay coupon savings that are electronically added to an e-Prescription and sent electronically to the pharmacy and is integrated within leading Electronic Health Record (EHR) platforms in the country, including Allscripts, Quest Diagnostics, Practice Fusion and over 350 other EHRs to reach over 250,000 healthcare providers. In turn, the company promotes patient savings and support from the world’s largest pharmaceutical companies, including Pfizer, Lilly, Novartis, AstraZeneca and many others. For more information, please go to www.optimizerxcorp.com.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OptimizeRx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dbaker@samplemd.com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248-651-6568 x807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Liolios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Ron Both, Senior Managing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oprx@liolios.com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949-574-3860</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2019-12-08T21:33:01Z</dcterms:created>
  <dcterms:modified xsi:type="dcterms:W3CDTF">2019-12-08T21:33:01Z</dcterms:modified>
</cp:coreProperties>
</file>