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March 31, 2014</w:t>
      </w:r>
    </w:p>
    <w:p>
      <w:pPr>
        <w:spacing w:after="0" w:line="9" w:lineRule="exact"/>
        <w:rPr>
          <w:sz w:val="24"/>
          <w:szCs w:val="24"/>
          <w:color w:val="auto"/>
        </w:rPr>
      </w:pPr>
    </w:p>
    <w:p>
      <w:pPr>
        <w:ind w:left="1140"/>
        <w:spacing w:after="0"/>
        <w:tabs>
          <w:tab w:leader="none" w:pos="1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Transition Report pursuant to 13 or 15(d) of the Securities Exchange Act of 1934</w:t>
      </w:r>
    </w:p>
    <w:p>
      <w:pPr>
        <w:spacing w:after="0" w:line="9"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9" w:lineRule="exact"/>
        <w:rPr>
          <w:sz w:val="24"/>
          <w:szCs w:val="24"/>
          <w:color w:val="auto"/>
        </w:rPr>
      </w:pPr>
    </w:p>
    <w:p>
      <w:pPr>
        <w:jc w:val="right"/>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302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90"/>
              </w:rPr>
              <w:t>Nevada</w:t>
            </w:r>
          </w:p>
        </w:tc>
        <w:tc>
          <w:tcPr>
            <w:tcW w:w="308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488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080" w:type="dxa"/>
            <w:vAlign w:val="bottom"/>
            <w:gridSpan w:val="3"/>
          </w:tcPr>
          <w:p>
            <w:pPr>
              <w:jc w:val="center"/>
              <w:ind w:left="51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407 6th Street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00"/>
          </w:cols>
          <w:pgMar w:left="240" w:top="233" w:right="25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680"/>
          </w:cols>
          <w:pgMar w:left="240" w:top="2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23,580,863 common shares as of May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126365</wp:posOffset>
            </wp:positionV>
            <wp:extent cx="2573020" cy="831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11"/>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Page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40" w:type="dxa"/>
            <w:vAlign w:val="bottom"/>
            <w:gridSpan w:val="17"/>
            <w:vMerge w:val="restart"/>
          </w:tcPr>
          <w:p>
            <w:pPr>
              <w:jc w:val="center"/>
              <w:ind w:right="1240"/>
              <w:spacing w:after="0"/>
              <w:rPr>
                <w:sz w:val="20"/>
                <w:szCs w:val="20"/>
                <w:color w:val="auto"/>
              </w:rPr>
            </w:pPr>
            <w:r>
              <w:rPr>
                <w:rFonts w:ascii="Arial" w:cs="Arial" w:eastAsia="Arial" w:hAnsi="Arial"/>
                <w:sz w:val="18"/>
                <w:szCs w:val="18"/>
                <w:b w:val="1"/>
                <w:bCs w:val="1"/>
                <w:color w:val="auto"/>
              </w:rPr>
              <w:t>PART I – FINANCIAL INFORMATION</w:t>
            </w:r>
          </w:p>
        </w:tc>
        <w:tc>
          <w:tcPr>
            <w:tcW w:w="46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40" w:type="dxa"/>
            <w:vAlign w:val="bottom"/>
            <w:gridSpan w:val="17"/>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Borders>
              <w:bottom w:val="single" w:sz="8" w:color="CCEECC"/>
            </w:tcBorders>
            <w:shd w:val="clear" w:color="auto" w:fill="CCEECC"/>
          </w:tcPr>
          <w:p>
            <w:pPr>
              <w:ind w:left="80"/>
              <w:spacing w:after="0" w:line="17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8"/>
            <w:shd w:val="clear" w:color="auto" w:fill="CCEECC"/>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3820" w:type="dxa"/>
            <w:vAlign w:val="bottom"/>
            <w:tcBorders>
              <w:bottom w:val="single" w:sz="8" w:color="CCEECC"/>
            </w:tcBorders>
            <w:gridSpan w:val="10"/>
            <w:shd w:val="clear" w:color="auto" w:fill="CCEECC"/>
          </w:tcPr>
          <w:p>
            <w:pPr>
              <w:spacing w:after="0"/>
              <w:rPr>
                <w:sz w:val="17"/>
                <w:szCs w:val="17"/>
                <w:color w:val="auto"/>
              </w:rPr>
            </w:pPr>
          </w:p>
        </w:tc>
        <w:tc>
          <w:tcPr>
            <w:tcW w:w="360" w:type="dxa"/>
            <w:vAlign w:val="bottom"/>
            <w:tcBorders>
              <w:bottom w:val="single" w:sz="8" w:color="CCEECC"/>
            </w:tcBorders>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CC"/>
            </w:tcBorders>
            <w:shd w:val="clear" w:color="auto" w:fill="CCEEC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040" w:type="dxa"/>
            <w:vAlign w:val="bottom"/>
          </w:tcPr>
          <w:p>
            <w:pPr>
              <w:ind w:left="80"/>
              <w:spacing w:after="0" w:line="176" w:lineRule="exact"/>
              <w:rPr>
                <w:sz w:val="20"/>
                <w:szCs w:val="20"/>
                <w:color w:val="auto"/>
              </w:rPr>
            </w:pPr>
            <w:r>
              <w:rPr>
                <w:rFonts w:ascii="Arial" w:cs="Arial" w:eastAsia="Arial" w:hAnsi="Arial"/>
                <w:sz w:val="18"/>
                <w:szCs w:val="18"/>
                <w:color w:val="auto"/>
              </w:rPr>
              <w:t>Item 2:</w:t>
            </w:r>
          </w:p>
        </w:tc>
        <w:tc>
          <w:tcPr>
            <w:tcW w:w="5340" w:type="dxa"/>
            <w:vAlign w:val="bottom"/>
            <w:gridSpan w:val="18"/>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Results of Operations</w:t>
              </w:r>
            </w:hyperlink>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shd w:val="clear" w:color="auto" w:fill="CCEECC"/>
          </w:tcPr>
          <w:p>
            <w:pPr>
              <w:ind w:left="80"/>
              <w:spacing w:after="0" w:line="176" w:lineRule="exact"/>
              <w:rPr>
                <w:sz w:val="20"/>
                <w:szCs w:val="20"/>
                <w:color w:val="auto"/>
              </w:rPr>
            </w:pPr>
            <w:r>
              <w:rPr>
                <w:rFonts w:ascii="Arial" w:cs="Arial" w:eastAsia="Arial" w:hAnsi="Arial"/>
                <w:sz w:val="18"/>
                <w:szCs w:val="18"/>
                <w:color w:val="auto"/>
              </w:rPr>
              <w:t>Item 3:</w:t>
            </w:r>
          </w:p>
        </w:tc>
        <w:tc>
          <w:tcPr>
            <w:tcW w:w="5340" w:type="dxa"/>
            <w:vAlign w:val="bottom"/>
            <w:gridSpan w:val="18"/>
            <w:shd w:val="clear" w:color="auto" w:fill="CCEECC"/>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8</w:t>
            </w:r>
          </w:p>
        </w:tc>
        <w:tc>
          <w:tcPr>
            <w:tcW w:w="100" w:type="dxa"/>
            <w:vAlign w:val="bottom"/>
            <w:shd w:val="clear" w:color="auto" w:fill="CCEEC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040" w:type="dxa"/>
            <w:vAlign w:val="bottom"/>
            <w:tcBorders>
              <w:top w:val="single" w:sz="8" w:color="CCEECC"/>
            </w:tcBorders>
          </w:tcPr>
          <w:p>
            <w:pPr>
              <w:ind w:left="80"/>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11"/>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5"/>
                <w:szCs w:val="15"/>
                <w:color w:val="auto"/>
              </w:rPr>
            </w:pPr>
          </w:p>
        </w:tc>
        <w:tc>
          <w:tcPr>
            <w:tcW w:w="980" w:type="dxa"/>
            <w:vAlign w:val="bottom"/>
            <w:tcBorders>
              <w:top w:val="single" w:sz="8" w:color="CCEECC"/>
            </w:tcBorders>
            <w:gridSpan w:val="2"/>
          </w:tcPr>
          <w:p>
            <w:pPr>
              <w:spacing w:after="0"/>
              <w:rPr>
                <w:sz w:val="15"/>
                <w:szCs w:val="15"/>
                <w:color w:val="auto"/>
              </w:rPr>
            </w:pPr>
          </w:p>
        </w:tc>
        <w:tc>
          <w:tcPr>
            <w:tcW w:w="36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79"/>
              </w:rPr>
              <w:t>8</w:t>
            </w:r>
          </w:p>
        </w:tc>
        <w:tc>
          <w:tcPr>
            <w:tcW w:w="100" w:type="dxa"/>
            <w:vAlign w:val="bottom"/>
            <w:tcBorders>
              <w:top w:val="single" w:sz="8" w:color="CCEECC"/>
            </w:tcBorders>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gridSpan w:val="15"/>
          </w:tcPr>
          <w:p>
            <w:pPr>
              <w:ind w:left="40"/>
              <w:spacing w:after="0" w:line="196" w:lineRule="exact"/>
              <w:rPr>
                <w:sz w:val="20"/>
                <w:szCs w:val="20"/>
                <w:color w:val="auto"/>
              </w:rPr>
            </w:pPr>
            <w:r>
              <w:rPr>
                <w:rFonts w:ascii="Arial" w:cs="Arial" w:eastAsia="Arial" w:hAnsi="Arial"/>
                <w:sz w:val="18"/>
                <w:szCs w:val="18"/>
                <w:b w:val="1"/>
                <w:bCs w:val="1"/>
                <w:color w:val="auto"/>
              </w:rPr>
              <w:t>PART II – OTHER INFORMATION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shd w:val="clear" w:color="auto" w:fill="CCEECC"/>
          </w:tcPr>
          <w:p>
            <w:pPr>
              <w:ind w:left="80"/>
              <w:spacing w:after="0" w:line="176" w:lineRule="exact"/>
              <w:rPr>
                <w:sz w:val="20"/>
                <w:szCs w:val="20"/>
                <w:color w:val="auto"/>
              </w:rPr>
            </w:pPr>
            <w:r>
              <w:rPr>
                <w:rFonts w:ascii="Arial" w:cs="Arial" w:eastAsia="Arial" w:hAnsi="Arial"/>
                <w:sz w:val="18"/>
                <w:szCs w:val="18"/>
                <w:color w:val="auto"/>
              </w:rPr>
              <w:t>Item 1:</w:t>
            </w:r>
          </w:p>
        </w:tc>
        <w:tc>
          <w:tcPr>
            <w:tcW w:w="5340" w:type="dxa"/>
            <w:vAlign w:val="bottom"/>
            <w:gridSpan w:val="18"/>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9</w:t>
            </w:r>
          </w:p>
        </w:tc>
        <w:tc>
          <w:tcPr>
            <w:tcW w:w="100" w:type="dxa"/>
            <w:vAlign w:val="bottom"/>
            <w:shd w:val="clear" w:color="auto" w:fill="CCEEC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040" w:type="dxa"/>
            <w:vAlign w:val="bottom"/>
            <w:tcBorders>
              <w:top w:val="single" w:sz="8" w:color="CCEECC"/>
            </w:tcBorders>
          </w:tcPr>
          <w:p>
            <w:pPr>
              <w:ind w:left="80"/>
              <w:spacing w:after="0" w:line="176"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4000" w:type="dxa"/>
            <w:vAlign w:val="bottom"/>
            <w:tcBorders>
              <w:top w:val="single" w:sz="8" w:color="CCEECC"/>
            </w:tcBorders>
            <w:gridSpan w:val="12"/>
          </w:tcPr>
          <w:p>
            <w:pPr>
              <w:spacing w:after="0"/>
              <w:rPr>
                <w:sz w:val="15"/>
                <w:szCs w:val="15"/>
                <w:color w:val="auto"/>
              </w:rPr>
            </w:pPr>
          </w:p>
        </w:tc>
        <w:tc>
          <w:tcPr>
            <w:tcW w:w="36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79"/>
              </w:rPr>
              <w:t>9</w:t>
            </w:r>
          </w:p>
        </w:tc>
        <w:tc>
          <w:tcPr>
            <w:tcW w:w="100" w:type="dxa"/>
            <w:vAlign w:val="bottom"/>
            <w:tcBorders>
              <w:top w:val="single" w:sz="8" w:color="CCEECC"/>
            </w:tcBorders>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Borders>
              <w:bottom w:val="single" w:sz="8" w:color="CCEECC"/>
            </w:tcBorders>
            <w:shd w:val="clear" w:color="auto" w:fill="CCEECC"/>
          </w:tcPr>
          <w:p>
            <w:pPr>
              <w:ind w:left="80"/>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6"/>
            <w:shd w:val="clear" w:color="auto" w:fill="CCEECC"/>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980" w:type="dxa"/>
            <w:vAlign w:val="bottom"/>
            <w:tcBorders>
              <w:bottom w:val="single" w:sz="8" w:color="CCEECC"/>
            </w:tcBorders>
            <w:gridSpan w:val="2"/>
            <w:shd w:val="clear" w:color="auto" w:fill="CCEECC"/>
          </w:tcPr>
          <w:p>
            <w:pPr>
              <w:spacing w:after="0"/>
              <w:rPr>
                <w:sz w:val="17"/>
                <w:szCs w:val="17"/>
                <w:color w:val="auto"/>
              </w:rPr>
            </w:pPr>
          </w:p>
        </w:tc>
        <w:tc>
          <w:tcPr>
            <w:tcW w:w="360" w:type="dxa"/>
            <w:vAlign w:val="bottom"/>
            <w:tcBorders>
              <w:bottom w:val="single" w:sz="8" w:color="CCEECC"/>
            </w:tcBorders>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9</w:t>
            </w:r>
          </w:p>
        </w:tc>
        <w:tc>
          <w:tcPr>
            <w:tcW w:w="100" w:type="dxa"/>
            <w:vAlign w:val="bottom"/>
            <w:tcBorders>
              <w:bottom w:val="single" w:sz="8" w:color="CCEECC"/>
            </w:tcBorders>
            <w:shd w:val="clear" w:color="auto" w:fill="CCEEC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040" w:type="dxa"/>
            <w:vAlign w:val="bottom"/>
          </w:tcPr>
          <w:p>
            <w:pPr>
              <w:ind w:left="80"/>
              <w:spacing w:after="0" w:line="176" w:lineRule="exact"/>
              <w:rPr>
                <w:sz w:val="20"/>
                <w:szCs w:val="20"/>
                <w:color w:val="auto"/>
              </w:rPr>
            </w:pPr>
            <w:r>
              <w:rPr>
                <w:rFonts w:ascii="Arial" w:cs="Arial" w:eastAsia="Arial" w:hAnsi="Arial"/>
                <w:sz w:val="18"/>
                <w:szCs w:val="18"/>
                <w:color w:val="auto"/>
              </w:rPr>
              <w:t>Item 3:</w:t>
            </w:r>
          </w:p>
        </w:tc>
        <w:tc>
          <w:tcPr>
            <w:tcW w:w="5340" w:type="dxa"/>
            <w:vAlign w:val="bottom"/>
            <w:gridSpan w:val="18"/>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shd w:val="clear" w:color="auto" w:fill="CCEECC"/>
          </w:tcPr>
          <w:p>
            <w:pPr>
              <w:ind w:left="80"/>
              <w:spacing w:after="0" w:line="176" w:lineRule="exact"/>
              <w:rPr>
                <w:sz w:val="20"/>
                <w:szCs w:val="20"/>
                <w:color w:val="auto"/>
              </w:rPr>
            </w:pPr>
            <w:r>
              <w:rPr>
                <w:rFonts w:ascii="Arial" w:cs="Arial" w:eastAsia="Arial" w:hAnsi="Arial"/>
                <w:sz w:val="18"/>
                <w:szCs w:val="18"/>
                <w:color w:val="auto"/>
              </w:rPr>
              <w:t>Item 4:</w:t>
            </w:r>
          </w:p>
        </w:tc>
        <w:tc>
          <w:tcPr>
            <w:tcW w:w="5340" w:type="dxa"/>
            <w:vAlign w:val="bottom"/>
            <w:gridSpan w:val="18"/>
            <w:shd w:val="clear" w:color="auto" w:fill="CCEECC"/>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w:t>
              </w:r>
            </w:hyperlink>
          </w:p>
        </w:tc>
        <w:tc>
          <w:tcPr>
            <w:tcW w:w="3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89"/>
              </w:rPr>
              <w:t>10</w:t>
            </w:r>
          </w:p>
        </w:tc>
        <w:tc>
          <w:tcPr>
            <w:tcW w:w="100" w:type="dxa"/>
            <w:vAlign w:val="bottom"/>
            <w:shd w:val="clear" w:color="auto" w:fill="CCEEC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040" w:type="dxa"/>
            <w:vAlign w:val="bottom"/>
            <w:tcBorders>
              <w:top w:val="single" w:sz="8" w:color="CCEECC"/>
            </w:tcBorders>
          </w:tcPr>
          <w:p>
            <w:pPr>
              <w:ind w:left="80"/>
              <w:spacing w:after="0" w:line="176" w:lineRule="exact"/>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3640" w:type="dxa"/>
            <w:vAlign w:val="bottom"/>
            <w:tcBorders>
              <w:top w:val="single" w:sz="8" w:color="CCEECC"/>
            </w:tcBorders>
            <w:gridSpan w:val="8"/>
          </w:tcPr>
          <w:p>
            <w:pPr>
              <w:spacing w:after="0"/>
              <w:rPr>
                <w:sz w:val="15"/>
                <w:szCs w:val="15"/>
                <w:color w:val="auto"/>
              </w:rPr>
            </w:pPr>
          </w:p>
        </w:tc>
        <w:tc>
          <w:tcPr>
            <w:tcW w:w="36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CC"/>
            </w:tcBorders>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shd w:val="clear" w:color="auto" w:fill="CCEECC"/>
          </w:tcPr>
          <w:p>
            <w:pPr>
              <w:ind w:left="80"/>
              <w:spacing w:after="0" w:line="176" w:lineRule="exact"/>
              <w:rPr>
                <w:sz w:val="20"/>
                <w:szCs w:val="20"/>
                <w:color w:val="auto"/>
              </w:rPr>
            </w:pPr>
            <w:r>
              <w:rPr>
                <w:rFonts w:ascii="Arial" w:cs="Arial" w:eastAsia="Arial" w:hAnsi="Arial"/>
                <w:sz w:val="18"/>
                <w:szCs w:val="18"/>
                <w:color w:val="auto"/>
              </w:rPr>
              <w:t>Item 6:</w:t>
            </w:r>
          </w:p>
        </w:tc>
        <w:tc>
          <w:tcPr>
            <w:tcW w:w="5340" w:type="dxa"/>
            <w:vAlign w:val="bottom"/>
            <w:gridSpan w:val="18"/>
            <w:shd w:val="clear" w:color="auto" w:fill="CCEECC"/>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3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89"/>
              </w:rPr>
              <w:t>10</w:t>
            </w:r>
          </w:p>
        </w:tc>
        <w:tc>
          <w:tcPr>
            <w:tcW w:w="100" w:type="dxa"/>
            <w:vAlign w:val="bottom"/>
            <w:shd w:val="clear" w:color="auto" w:fill="CCEEC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300" w:type="dxa"/>
            <w:vAlign w:val="bottom"/>
            <w:tcBorders>
              <w:bottom w:val="single" w:sz="8" w:color="auto"/>
            </w:tcBorders>
          </w:tcPr>
          <w:p>
            <w:pPr>
              <w:spacing w:after="0"/>
              <w:rPr>
                <w:sz w:val="24"/>
                <w:szCs w:val="24"/>
                <w:color w:val="auto"/>
              </w:rPr>
            </w:pPr>
          </w:p>
        </w:tc>
        <w:tc>
          <w:tcPr>
            <w:tcW w:w="1040" w:type="dxa"/>
            <w:vAlign w:val="bottom"/>
            <w:tcBorders>
              <w:top w:val="single" w:sz="8" w:color="CCEE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40" w:type="dxa"/>
            <w:vAlign w:val="bottom"/>
            <w:tcBorders>
              <w:top w:val="single" w:sz="8" w:color="CCEECC"/>
              <w:bottom w:val="single" w:sz="8" w:color="auto"/>
            </w:tcBorders>
          </w:tcPr>
          <w:p>
            <w:pPr>
              <w:spacing w:after="0"/>
              <w:rPr>
                <w:sz w:val="24"/>
                <w:szCs w:val="24"/>
                <w:color w:val="auto"/>
              </w:rPr>
            </w:pPr>
          </w:p>
        </w:tc>
        <w:tc>
          <w:tcPr>
            <w:tcW w:w="40" w:type="dxa"/>
            <w:vAlign w:val="bottom"/>
            <w:tcBorders>
              <w:top w:val="single" w:sz="8" w:color="CCEECC"/>
              <w:bottom w:val="single" w:sz="8" w:color="auto"/>
            </w:tcBorders>
          </w:tcPr>
          <w:p>
            <w:pPr>
              <w:spacing w:after="0"/>
              <w:rPr>
                <w:sz w:val="24"/>
                <w:szCs w:val="24"/>
                <w:color w:val="auto"/>
              </w:rPr>
            </w:pPr>
          </w:p>
        </w:tc>
        <w:tc>
          <w:tcPr>
            <w:tcW w:w="36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40" w:type="dxa"/>
            <w:vAlign w:val="bottom"/>
            <w:tcBorders>
              <w:top w:val="single" w:sz="8" w:color="CCEECC"/>
              <w:bottom w:val="single" w:sz="8" w:color="auto"/>
            </w:tcBorders>
          </w:tcPr>
          <w:p>
            <w:pPr>
              <w:spacing w:after="0"/>
              <w:rPr>
                <w:sz w:val="24"/>
                <w:szCs w:val="24"/>
                <w:color w:val="auto"/>
              </w:rPr>
            </w:pPr>
          </w:p>
        </w:tc>
        <w:tc>
          <w:tcPr>
            <w:tcW w:w="140" w:type="dxa"/>
            <w:vAlign w:val="bottom"/>
            <w:tcBorders>
              <w:top w:val="single" w:sz="8" w:color="CCEECC"/>
              <w:bottom w:val="single" w:sz="8" w:color="auto"/>
            </w:tcBorders>
          </w:tcPr>
          <w:p>
            <w:pPr>
              <w:spacing w:after="0"/>
              <w:rPr>
                <w:sz w:val="24"/>
                <w:szCs w:val="24"/>
                <w:color w:val="auto"/>
              </w:rPr>
            </w:pPr>
          </w:p>
        </w:tc>
        <w:tc>
          <w:tcPr>
            <w:tcW w:w="80" w:type="dxa"/>
            <w:vAlign w:val="bottom"/>
            <w:tcBorders>
              <w:top w:val="single" w:sz="8" w:color="CCEECC"/>
              <w:bottom w:val="single" w:sz="8" w:color="auto"/>
            </w:tcBorders>
          </w:tcPr>
          <w:p>
            <w:pPr>
              <w:spacing w:after="0"/>
              <w:rPr>
                <w:sz w:val="24"/>
                <w:szCs w:val="24"/>
                <w:color w:val="auto"/>
              </w:rPr>
            </w:pPr>
          </w:p>
        </w:tc>
        <w:tc>
          <w:tcPr>
            <w:tcW w:w="560" w:type="dxa"/>
            <w:vAlign w:val="bottom"/>
            <w:tcBorders>
              <w:top w:val="single" w:sz="8" w:color="CCEECC"/>
              <w:bottom w:val="single" w:sz="8" w:color="auto"/>
            </w:tcBorders>
          </w:tcPr>
          <w:p>
            <w:pPr>
              <w:spacing w:after="0"/>
              <w:rPr>
                <w:sz w:val="24"/>
                <w:szCs w:val="24"/>
                <w:color w:val="auto"/>
              </w:rPr>
            </w:pPr>
          </w:p>
        </w:tc>
        <w:tc>
          <w:tcPr>
            <w:tcW w:w="940" w:type="dxa"/>
            <w:vAlign w:val="bottom"/>
            <w:tcBorders>
              <w:top w:val="single" w:sz="8" w:color="CCEECC"/>
              <w:bottom w:val="single" w:sz="8" w:color="auto"/>
            </w:tcBorders>
          </w:tcPr>
          <w:p>
            <w:pPr>
              <w:spacing w:after="0"/>
              <w:rPr>
                <w:sz w:val="24"/>
                <w:szCs w:val="24"/>
                <w:color w:val="auto"/>
              </w:rPr>
            </w:pPr>
          </w:p>
        </w:tc>
        <w:tc>
          <w:tcPr>
            <w:tcW w:w="540" w:type="dxa"/>
            <w:vAlign w:val="bottom"/>
            <w:tcBorders>
              <w:top w:val="single" w:sz="8" w:color="CCEECC"/>
              <w:bottom w:val="single" w:sz="8" w:color="auto"/>
            </w:tcBorders>
          </w:tcPr>
          <w:p>
            <w:pPr>
              <w:spacing w:after="0"/>
              <w:rPr>
                <w:sz w:val="24"/>
                <w:szCs w:val="24"/>
                <w:color w:val="auto"/>
              </w:rPr>
            </w:pPr>
          </w:p>
        </w:tc>
        <w:tc>
          <w:tcPr>
            <w:tcW w:w="100" w:type="dxa"/>
            <w:vAlign w:val="bottom"/>
            <w:tcBorders>
              <w:top w:val="single" w:sz="8" w:color="CCEECC"/>
              <w:bottom w:val="single" w:sz="8" w:color="auto"/>
            </w:tcBorders>
          </w:tcPr>
          <w:p>
            <w:pPr>
              <w:spacing w:after="0"/>
              <w:rPr>
                <w:sz w:val="24"/>
                <w:szCs w:val="24"/>
                <w:color w:val="auto"/>
              </w:rPr>
            </w:pPr>
          </w:p>
        </w:tc>
        <w:tc>
          <w:tcPr>
            <w:tcW w:w="440" w:type="dxa"/>
            <w:vAlign w:val="bottom"/>
            <w:tcBorders>
              <w:top w:val="single" w:sz="8" w:color="CCEECC"/>
              <w:bottom w:val="single" w:sz="8" w:color="auto"/>
            </w:tcBorders>
          </w:tcPr>
          <w:p>
            <w:pPr>
              <w:spacing w:after="0"/>
              <w:rPr>
                <w:sz w:val="24"/>
                <w:szCs w:val="24"/>
                <w:color w:val="auto"/>
              </w:rPr>
            </w:pPr>
          </w:p>
        </w:tc>
        <w:tc>
          <w:tcPr>
            <w:tcW w:w="500" w:type="dxa"/>
            <w:vAlign w:val="bottom"/>
            <w:tcBorders>
              <w:top w:val="single" w:sz="8" w:color="CCEECC"/>
              <w:bottom w:val="single" w:sz="8" w:color="auto"/>
            </w:tcBorders>
          </w:tcPr>
          <w:p>
            <w:pPr>
              <w:spacing w:after="0"/>
              <w:rPr>
                <w:sz w:val="24"/>
                <w:szCs w:val="24"/>
                <w:color w:val="auto"/>
              </w:rPr>
            </w:pPr>
          </w:p>
        </w:tc>
        <w:tc>
          <w:tcPr>
            <w:tcW w:w="480" w:type="dxa"/>
            <w:vAlign w:val="bottom"/>
            <w:tcBorders>
              <w:top w:val="single" w:sz="8" w:color="CCEECC"/>
              <w:bottom w:val="single" w:sz="8" w:color="auto"/>
            </w:tcBorders>
          </w:tcPr>
          <w:p>
            <w:pPr>
              <w:spacing w:after="0"/>
              <w:rPr>
                <w:sz w:val="24"/>
                <w:szCs w:val="24"/>
                <w:color w:val="auto"/>
              </w:rPr>
            </w:pPr>
          </w:p>
        </w:tc>
        <w:tc>
          <w:tcPr>
            <w:tcW w:w="360" w:type="dxa"/>
            <w:vAlign w:val="bottom"/>
            <w:tcBorders>
              <w:top w:val="single" w:sz="8" w:color="CCEECC"/>
              <w:bottom w:val="single" w:sz="8" w:color="auto"/>
            </w:tcBorders>
          </w:tcPr>
          <w:p>
            <w:pPr>
              <w:spacing w:after="0"/>
              <w:rPr>
                <w:sz w:val="24"/>
                <w:szCs w:val="24"/>
                <w:color w:val="auto"/>
              </w:rPr>
            </w:pPr>
          </w:p>
        </w:tc>
        <w:tc>
          <w:tcPr>
            <w:tcW w:w="100" w:type="dxa"/>
            <w:vAlign w:val="bottom"/>
            <w:tcBorders>
              <w:top w:val="single" w:sz="8" w:color="CCEECC"/>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80" w:type="dxa"/>
            <w:vAlign w:val="bottom"/>
            <w:gridSpan w:val="13"/>
          </w:tcPr>
          <w:p>
            <w:pPr>
              <w:jc w:val="center"/>
              <w:ind w:left="1370"/>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4">
        <w:r>
          <w:rPr>
            <w:rFonts w:ascii="Arial" w:cs="Arial" w:eastAsia="Arial" w:hAnsi="Arial"/>
            <w:sz w:val="16"/>
            <w:szCs w:val="16"/>
            <w:u w:val="single" w:color="auto"/>
            <w:color w:val="0000EE"/>
          </w:rPr>
          <w:t>Consolidated Balance Sheets (Unaudited) as of March 31, 2014 and December 31, 2013;</w:t>
        </w:r>
      </w:hyperlink>
    </w:p>
    <w:p>
      <w:pPr>
        <w:spacing w:after="0" w:line="23"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5">
        <w:r>
          <w:rPr>
            <w:rFonts w:ascii="Arial" w:cs="Arial" w:eastAsia="Arial" w:hAnsi="Arial"/>
            <w:sz w:val="16"/>
            <w:szCs w:val="16"/>
            <w:u w:val="single" w:color="auto"/>
            <w:color w:val="0000EE"/>
          </w:rPr>
          <w:t>Consolidated Statements of Operations (Unaudited) for the Three Months Ended March 31, 2014 and 2013;</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6">
        <w:r>
          <w:rPr>
            <w:rFonts w:ascii="Arial" w:cs="Arial" w:eastAsia="Arial" w:hAnsi="Arial"/>
            <w:sz w:val="16"/>
            <w:szCs w:val="16"/>
            <w:u w:val="single" w:color="auto"/>
            <w:color w:val="0000EE"/>
          </w:rPr>
          <w:t>Consolidated Statements of Cash Flows (Unaudited) for the Three Months Ended March 31, 2014 and 2013;</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7">
        <w:r>
          <w:rPr>
            <w:rFonts w:ascii="Arial" w:cs="Arial" w:eastAsia="Arial" w:hAnsi="Arial"/>
            <w:sz w:val="16"/>
            <w:szCs w:val="16"/>
            <w:u w:val="single" w:color="auto"/>
            <w:color w:val="0000EE"/>
          </w:rPr>
          <w:t>Notes to Consolidated Financial Statements.</w:t>
        </w:r>
      </w:hyperlink>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2014 are not necessarily indicative of the results that can be expected for the full year.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2014 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06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tcBorders>
              <w:bottom w:val="single" w:sz="8" w:color="CCEECC"/>
            </w:tcBorders>
            <w:vMerge w:val="continue"/>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March 31, 2014</w:t>
            </w: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4,030,730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1,118,243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1,111,379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1,566,964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5,153,914</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2,696,978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13,688</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Patent rights,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903,617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Web-based technology, net</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439,054</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Security deposit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Other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1,347,720</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1,295,985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6,515,322</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620"/>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230,178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188,739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570,000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797,725</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1,912,659</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06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10,000,000 shares authorized, 0</w:t>
            </w: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and 65 shares issued and outstanding</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060" w:type="dxa"/>
            <w:vAlign w:val="bottom"/>
          </w:tcPr>
          <w:p>
            <w:pPr>
              <w:ind w:left="320"/>
              <w:spacing w:after="0" w:line="201" w:lineRule="exact"/>
              <w:rPr>
                <w:sz w:val="20"/>
                <w:szCs w:val="20"/>
                <w:color w:val="auto"/>
              </w:rPr>
            </w:pPr>
            <w:r>
              <w:rPr>
                <w:rFonts w:ascii="Arial" w:cs="Arial" w:eastAsia="Arial" w:hAnsi="Arial"/>
                <w:sz w:val="18"/>
                <w:szCs w:val="18"/>
                <w:color w:val="auto"/>
                <w:w w:val="91"/>
              </w:rPr>
              <w:t>Common stock, $.001 par value, 500,000,000 shares authorized,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23,168,337 and 14,773,496 shares issued and 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23,168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3,147,709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27,155,730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8,726,708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(454,409)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(233,942)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(25,269,535)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(24,616,220)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4,602,663</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6,515,322</w:t>
            </w:r>
          </w:p>
        </w:tc>
        <w:tc>
          <w:tcPr>
            <w:tcW w:w="60" w:type="dxa"/>
            <w:vAlign w:val="bottom"/>
            <w:shd w:val="clear" w:color="auto" w:fill="CCEECC"/>
          </w:tcPr>
          <w:p>
            <w:pPr>
              <w:spacing w:after="0"/>
              <w:rPr>
                <w:sz w:val="21"/>
                <w:szCs w:val="21"/>
                <w:color w:val="auto"/>
              </w:rPr>
            </w:pP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CCEECC"/>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C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6760" w:type="dxa"/>
            <w:vAlign w:val="bottom"/>
            <w:gridSpan w:val="7"/>
          </w:tcPr>
          <w:p>
            <w:pPr>
              <w:ind w:left="132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060" w:type="dxa"/>
            <w:vAlign w:val="bottom"/>
          </w:tcPr>
          <w:p>
            <w:pPr>
              <w:ind w:left="386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right"/>
        <w:ind w:right="17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ectPr>
          <w:pgSz w:w="11900" w:h="16838" w:orient="portrait"/>
          <w:cols w:equalWidth="0" w:num="1">
            <w:col w:w="10219"/>
          </w:cols>
          <w:pgMar w:left="240" w:top="2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NET REVENUE</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REVENUE SHARE EXPENSE</w:t>
      </w:r>
    </w:p>
    <w:p>
      <w:pPr>
        <w:spacing w:after="0" w:line="27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EXPENSES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left="-49"/>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left="-49"/>
        <w:spacing w:after="0"/>
        <w:rPr>
          <w:sz w:val="20"/>
          <w:szCs w:val="20"/>
          <w:color w:val="auto"/>
        </w:rPr>
      </w:pPr>
      <w:r>
        <w:rPr>
          <w:rFonts w:ascii="Arial" w:cs="Arial" w:eastAsia="Arial" w:hAnsi="Arial"/>
          <w:sz w:val="15"/>
          <w:szCs w:val="15"/>
          <w:color w:val="auto"/>
        </w:rPr>
        <w:t>three months ended</w:t>
      </w:r>
    </w:p>
    <w:p>
      <w:pPr>
        <w:spacing w:after="0" w:line="44" w:lineRule="exact"/>
        <w:rPr>
          <w:sz w:val="20"/>
          <w:szCs w:val="20"/>
          <w:color w:val="auto"/>
        </w:rPr>
      </w:pPr>
    </w:p>
    <w:p>
      <w:pPr>
        <w:jc w:val="center"/>
        <w:ind w:left="-49"/>
        <w:spacing w:after="0"/>
        <w:rPr>
          <w:sz w:val="20"/>
          <w:szCs w:val="20"/>
          <w:color w:val="auto"/>
        </w:rPr>
      </w:pPr>
      <w:r>
        <w:rPr>
          <w:rFonts w:ascii="Arial" w:cs="Arial" w:eastAsia="Arial" w:hAnsi="Arial"/>
          <w:sz w:val="18"/>
          <w:szCs w:val="18"/>
          <w:color w:val="auto"/>
        </w:rPr>
        <w:t>March 31, 2014</w:t>
      </w:r>
    </w:p>
    <w:p>
      <w:pPr>
        <w:spacing w:after="0" w:line="238" w:lineRule="exact"/>
        <w:rPr>
          <w:sz w:val="20"/>
          <w:szCs w:val="20"/>
          <w:color w:val="auto"/>
        </w:rPr>
      </w:pPr>
    </w:p>
    <w:p>
      <w:pPr>
        <w:ind w:left="730" w:hanging="730"/>
        <w:spacing w:after="0"/>
        <w:tabs>
          <w:tab w:leader="none" w:pos="730" w:val="left"/>
        </w:tabs>
        <w:numPr>
          <w:ilvl w:val="0"/>
          <w:numId w:val="1"/>
        </w:numPr>
        <w:rPr>
          <w:rFonts w:ascii="Arial" w:cs="Arial" w:eastAsia="Arial" w:hAnsi="Arial"/>
          <w:sz w:val="16"/>
          <w:szCs w:val="16"/>
          <w:color w:val="auto"/>
        </w:rPr>
      </w:pPr>
      <w:r>
        <w:rPr>
          <w:rFonts w:ascii="Arial" w:cs="Arial" w:eastAsia="Arial" w:hAnsi="Arial"/>
          <w:sz w:val="16"/>
          <w:szCs w:val="16"/>
          <w:color w:val="auto"/>
        </w:rPr>
        <w:t>1,317,347</w:t>
      </w:r>
    </w:p>
    <w:p>
      <w:pPr>
        <w:spacing w:after="0" w:line="26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498,810</w:t>
      </w:r>
    </w:p>
    <w:p>
      <w:pPr>
        <w:spacing w:after="0" w:line="26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818,537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-398780</wp:posOffset>
            </wp:positionV>
            <wp:extent cx="4347845"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70294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-681355</wp:posOffset>
            </wp:positionV>
            <wp:extent cx="4347845"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091"/>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091"/>
        <w:spacing w:after="0"/>
        <w:rPr>
          <w:sz w:val="20"/>
          <w:szCs w:val="20"/>
          <w:color w:val="auto"/>
        </w:rPr>
      </w:pPr>
      <w:r>
        <w:rPr>
          <w:rFonts w:ascii="Arial" w:cs="Arial" w:eastAsia="Arial" w:hAnsi="Arial"/>
          <w:sz w:val="15"/>
          <w:szCs w:val="15"/>
          <w:color w:val="auto"/>
        </w:rPr>
        <w:t>three months ended</w:t>
      </w:r>
    </w:p>
    <w:p>
      <w:pPr>
        <w:spacing w:after="0" w:line="44" w:lineRule="exact"/>
        <w:rPr>
          <w:sz w:val="20"/>
          <w:szCs w:val="20"/>
          <w:color w:val="auto"/>
        </w:rPr>
      </w:pPr>
    </w:p>
    <w:p>
      <w:pPr>
        <w:jc w:val="center"/>
        <w:ind w:right="1091"/>
        <w:spacing w:after="0"/>
        <w:rPr>
          <w:sz w:val="20"/>
          <w:szCs w:val="20"/>
          <w:color w:val="auto"/>
        </w:rPr>
      </w:pPr>
      <w:r>
        <w:rPr>
          <w:rFonts w:ascii="Arial" w:cs="Arial" w:eastAsia="Arial" w:hAnsi="Arial"/>
          <w:sz w:val="18"/>
          <w:szCs w:val="18"/>
          <w:color w:val="auto"/>
        </w:rPr>
        <w:t>March 31, 2013</w:t>
      </w:r>
    </w:p>
    <w:p>
      <w:pPr>
        <w:spacing w:after="0" w:line="9" w:lineRule="exact"/>
        <w:rPr>
          <w:sz w:val="20"/>
          <w:szCs w:val="20"/>
          <w:color w:val="auto"/>
        </w:rPr>
      </w:pPr>
    </w:p>
    <w:p>
      <w:pPr>
        <w:ind w:left="429"/>
        <w:spacing w:after="0"/>
        <w:rPr>
          <w:sz w:val="20"/>
          <w:szCs w:val="20"/>
          <w:color w:val="auto"/>
        </w:rPr>
      </w:pPr>
      <w:r>
        <w:rPr>
          <w:rFonts w:ascii="Arial" w:cs="Arial" w:eastAsia="Arial" w:hAnsi="Arial"/>
          <w:sz w:val="18"/>
          <w:szCs w:val="18"/>
          <w:color w:val="auto"/>
        </w:rPr>
        <w:t>(restated)</w:t>
      </w:r>
    </w:p>
    <w:p>
      <w:pPr>
        <w:spacing w:after="0" w:line="23" w:lineRule="exact"/>
        <w:rPr>
          <w:sz w:val="20"/>
          <w:szCs w:val="20"/>
          <w:color w:val="auto"/>
        </w:rPr>
      </w:pPr>
    </w:p>
    <w:p>
      <w:pPr>
        <w:ind w:left="869" w:hanging="869"/>
        <w:spacing w:after="0"/>
        <w:tabs>
          <w:tab w:leader="none" w:pos="869" w:val="left"/>
        </w:tabs>
        <w:numPr>
          <w:ilvl w:val="0"/>
          <w:numId w:val="2"/>
        </w:numPr>
        <w:rPr>
          <w:rFonts w:ascii="Arial" w:cs="Arial" w:eastAsia="Arial" w:hAnsi="Arial"/>
          <w:sz w:val="16"/>
          <w:szCs w:val="16"/>
          <w:color w:val="auto"/>
        </w:rPr>
      </w:pPr>
      <w:r>
        <w:rPr>
          <w:rFonts w:ascii="Arial" w:cs="Arial" w:eastAsia="Arial" w:hAnsi="Arial"/>
          <w:sz w:val="16"/>
          <w:szCs w:val="16"/>
          <w:color w:val="auto"/>
        </w:rPr>
        <w:t>669,290</w:t>
      </w:r>
    </w:p>
    <w:p>
      <w:pPr>
        <w:spacing w:after="0" w:line="260"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159,815</w:t>
      </w:r>
    </w:p>
    <w:p>
      <w:pPr>
        <w:spacing w:after="0" w:line="261"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509,475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926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3">
            <w:col w:w="5230" w:space="720"/>
            <w:col w:w="1470" w:space="191"/>
            <w:col w:w="2608"/>
          </w:cols>
          <w:pgMar w:left="240" w:top="233" w:right="1440" w:bottom="1440" w:gutter="0" w:footer="0" w:header="0"/>
          <w:type w:val="continuous"/>
        </w:sectPr>
      </w:pPr>
    </w:p>
    <w:p>
      <w:pPr>
        <w:ind w:left="2480"/>
        <w:spacing w:after="0"/>
        <w:rPr>
          <w:sz w:val="20"/>
          <w:szCs w:val="20"/>
          <w:color w:val="auto"/>
        </w:rPr>
      </w:pPr>
      <w:r>
        <w:rPr>
          <w:rFonts w:ascii="Arial" w:cs="Arial" w:eastAsia="Arial" w:hAnsi="Arial"/>
          <w:sz w:val="18"/>
          <w:szCs w:val="18"/>
          <w:color w:val="auto"/>
        </w:rPr>
        <w:t>Operating expenses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23495</wp:posOffset>
            </wp:positionV>
            <wp:extent cx="434784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line="277" w:lineRule="auto"/>
        <w:rPr>
          <w:sz w:val="20"/>
          <w:szCs w:val="20"/>
          <w:color w:val="auto"/>
        </w:rPr>
      </w:pPr>
      <w:r>
        <w:rPr>
          <w:rFonts w:ascii="Arial" w:cs="Arial" w:eastAsia="Arial" w:hAnsi="Arial"/>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-293370</wp:posOffset>
            </wp:positionV>
            <wp:extent cx="434784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274320"/>
                    </a:xfrm>
                    <a:prstGeom prst="rect">
                      <a:avLst/>
                    </a:prstGeom>
                    <a:noFill/>
                  </pic:spPr>
                </pic:pic>
              </a:graphicData>
            </a:graphic>
          </wp:anchor>
        </w:drawing>
      </w:r>
    </w:p>
    <w:p>
      <w:pPr>
        <w:spacing w:after="0" w:line="1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1,471,958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733,969</w:t>
            </w:r>
          </w:p>
        </w:tc>
        <w:tc>
          <w:tcPr>
            <w:tcW w:w="40" w:type="dxa"/>
            <w:vAlign w:val="bottom"/>
          </w:tcPr>
          <w:p>
            <w:pPr>
              <w:spacing w:after="0"/>
              <w:rPr>
                <w:sz w:val="19"/>
                <w:szCs w:val="1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(653,421)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(224,494)</w:t>
            </w: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42"/>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(653,315)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r>
      <w:tr>
        <w:trPr>
          <w:trHeight w:val="446"/>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700" w:type="dxa"/>
            <w:vAlign w:val="bottom"/>
            <w:gridSpan w:val="4"/>
          </w:tcPr>
          <w:p>
            <w:pPr>
              <w:jc w:val="right"/>
              <w:ind w:right="360"/>
              <w:spacing w:after="0"/>
              <w:rPr>
                <w:sz w:val="20"/>
                <w:szCs w:val="20"/>
                <w:color w:val="auto"/>
              </w:rPr>
            </w:pPr>
            <w:r>
              <w:rPr>
                <w:rFonts w:ascii="Arial" w:cs="Arial" w:eastAsia="Arial" w:hAnsi="Arial"/>
                <w:sz w:val="18"/>
                <w:szCs w:val="18"/>
                <w:color w:val="auto"/>
              </w:rPr>
              <w:t>(653,315)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20"/>
            <w:col w:w="4259"/>
          </w:cols>
          <w:pgMar w:left="240" w:top="233" w:right="1440" w:bottom="1440" w:gutter="0" w:footer="0" w:header="0"/>
          <w:type w:val="continuous"/>
        </w:sectPr>
      </w:pPr>
    </w:p>
    <w:p>
      <w:pPr>
        <w:spacing w:after="0" w:line="11"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w w:val="94"/>
              </w:rPr>
              <w:t>WEIGHTED AVERAGE NUMBER OF SHARES</w:t>
            </w:r>
          </w:p>
        </w:tc>
        <w:tc>
          <w:tcPr>
            <w:tcW w:w="3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OUTSTANDING: BASIC</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w:t>
            </w: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WEIGHTED AVERAGE NUMBER OF SHARES</w:t>
            </w:r>
          </w:p>
        </w:tc>
        <w:tc>
          <w:tcPr>
            <w:tcW w:w="3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OUTSTANDING: DILUTED</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DILUTED</w:t>
            </w: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three months</w:t>
            </w: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ended</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March 31, 2014</w:t>
            </w:r>
          </w:p>
        </w:tc>
        <w:tc>
          <w:tcPr>
            <w:tcW w:w="1200" w:type="dxa"/>
            <w:vAlign w:val="bottom"/>
            <w:gridSpan w:val="4"/>
          </w:tcPr>
          <w:p>
            <w:pPr>
              <w:ind w:left="40"/>
              <w:spacing w:after="0"/>
              <w:rPr>
                <w:sz w:val="20"/>
                <w:szCs w:val="20"/>
                <w:color w:val="auto"/>
              </w:rPr>
            </w:pPr>
            <w:r>
              <w:rPr>
                <w:rFonts w:ascii="Arial" w:cs="Arial" w:eastAsia="Arial" w:hAnsi="Arial"/>
                <w:sz w:val="18"/>
                <w:szCs w:val="18"/>
                <w:color w:val="auto"/>
                <w:w w:val="91"/>
              </w:rPr>
              <w:t>March 31,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Borders>
              <w:bottom w:val="single" w:sz="8" w:color="CCEECC"/>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Net (loss) for the period</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(653,315)</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0"/>
              </w:rPr>
              <w:t>Adjustments to reconcile net (loss) to net cash provided by</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operating activities: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 options issued for services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59,620</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361,957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35,822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(395,935)</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119,612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164,462</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31,520</w:t>
            </w:r>
          </w:p>
        </w:tc>
        <w:tc>
          <w:tcPr>
            <w:tcW w:w="4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w w:val="97"/>
              </w:rPr>
              <w:t>NET CASH PROVIDED BY OPERATING ACTIVITIES</w:t>
            </w:r>
          </w:p>
        </w:tc>
        <w:tc>
          <w:tcPr>
            <w:tcW w:w="4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226,727</w:t>
            </w: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2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Patent rights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(33,297)</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Web development costs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(109,272</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60" w:type="dxa"/>
            <w:vAlign w:val="bottom"/>
            <w:tcBorders>
              <w:top w:val="single" w:sz="8" w:color="CCEECC"/>
            </w:tcBorders>
            <w:gridSpan w:val="2"/>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Equity issuance costs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(1,204,968)</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w w:val="89"/>
              </w:rPr>
              <w:t>Purchase of common and preferred stock and warrants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w w:val="99"/>
              </w:rPr>
              <w:t>NET CASH PROVIDED BY FINANCING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2,795,032</w:t>
            </w: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NET INCREASE (DECREASE) IN CASH AND CASH</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EQUIVALENTS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2,912,487</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(23,869)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CASH AND CASH EQUIVALENTS - BEGINNING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PERIOD</w:t>
            </w:r>
          </w:p>
        </w:tc>
        <w:tc>
          <w:tcPr>
            <w:tcW w:w="4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CASH AND CASH EQUIVALENTS - END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4,030,730</w:t>
            </w:r>
          </w:p>
        </w:tc>
        <w:tc>
          <w:tcPr>
            <w:tcW w:w="120" w:type="dxa"/>
            <w:vAlign w:val="bottom"/>
            <w:shd w:val="clear" w:color="auto" w:fill="CCEECC"/>
          </w:tcPr>
          <w:p>
            <w:pPr>
              <w:spacing w:after="0"/>
              <w:rPr>
                <w:sz w:val="22"/>
                <w:szCs w:val="22"/>
                <w:color w:val="auto"/>
              </w:rPr>
            </w:pPr>
          </w:p>
        </w:tc>
        <w:tc>
          <w:tcPr>
            <w:tcW w:w="120" w:type="dxa"/>
            <w:vAlign w:val="bottom"/>
            <w:shd w:val="clear" w:color="auto" w:fill="CCEEC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260,394</w:t>
            </w:r>
          </w:p>
        </w:tc>
        <w:tc>
          <w:tcPr>
            <w:tcW w:w="4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 paid for income taxes</w:t>
            </w: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SUPPLEMENTAL NON-CASH INVESTING AND</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Common stock issued for equity issuance costs</w:t>
            </w:r>
          </w:p>
        </w:tc>
        <w:tc>
          <w:tcPr>
            <w:tcW w:w="16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378,000</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bottom w:val="single" w:sz="8" w:color="CCEECC"/>
            </w:tcBorders>
            <w:vMerge w:val="restart"/>
          </w:tcPr>
          <w:p>
            <w:pPr>
              <w:ind w:left="300"/>
              <w:spacing w:after="0"/>
              <w:rPr>
                <w:sz w:val="20"/>
                <w:szCs w:val="20"/>
                <w:color w:val="auto"/>
              </w:rPr>
            </w:pPr>
            <w:r>
              <w:rPr>
                <w:rFonts w:ascii="Arial" w:cs="Arial" w:eastAsia="Arial" w:hAnsi="Arial"/>
                <w:sz w:val="18"/>
                <w:szCs w:val="18"/>
                <w:color w:val="auto"/>
              </w:rPr>
              <w:t>Stock warrants issued for equity issuance costs</w:t>
            </w:r>
          </w:p>
        </w:tc>
        <w:tc>
          <w:tcPr>
            <w:tcW w:w="4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1,110,211</w:t>
            </w:r>
          </w:p>
        </w:tc>
        <w:tc>
          <w:tcPr>
            <w:tcW w:w="8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Cashless exercise of stock warrants</w:t>
            </w: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106,405</w:t>
            </w:r>
          </w:p>
        </w:tc>
        <w:tc>
          <w:tcPr>
            <w:tcW w:w="8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00"/>
              <w:spacing w:after="0"/>
              <w:rPr>
                <w:sz w:val="20"/>
                <w:szCs w:val="20"/>
                <w:color w:val="auto"/>
              </w:rPr>
            </w:pPr>
            <w:r>
              <w:rPr>
                <w:rFonts w:ascii="Arial" w:cs="Arial" w:eastAsia="Arial" w:hAnsi="Arial"/>
                <w:sz w:val="18"/>
                <w:szCs w:val="18"/>
                <w:color w:val="auto"/>
                <w:w w:val="90"/>
              </w:rPr>
              <w:t>Common stock issued as deferred stock compensation</w:t>
            </w: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285,187</w:t>
            </w: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2013.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 of the Company’s financial assets and liabilities which consist of cash and cash equivalents, accounts receivable, prepaid expenses, patent rights, web development costs, security deposit, accounts payable, accounts payable – related party, accrued expenses, revenue share payable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three months ended March 31, 2014 and 2013. The allowance for doubtful accounts was $0 as of March 31, 2014 and December 31, 2013.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through their network.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per share calculation for the three months ended March 31, 2014. They have not been included in the diluted earnings per share calculation for the year ended December 31, 2013 since their effect is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March 31, 2014 and December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6,756</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Rent</w:t>
            </w:r>
          </w:p>
        </w:tc>
        <w:tc>
          <w:tcPr>
            <w:tcW w:w="4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8"/>
              </w:rPr>
              <w:t>Total prepaid expenses</w:t>
            </w:r>
          </w:p>
        </w:tc>
        <w:tc>
          <w:tcPr>
            <w:tcW w:w="44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11,805</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F-7</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March 31, 2014 and December 31, 2013:</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r>
      <w:tr>
        <w:trPr>
          <w:trHeight w:val="223"/>
        </w:trPr>
        <w:tc>
          <w:tcPr>
            <w:tcW w:w="238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2"/>
              </w:rPr>
              <w:t>Property and equipment, net</w:t>
            </w: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13,688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$1,369 and $1,407 for the three months ended March 31,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capitalized costs in developing their web-based technology, which consisted of the following as of March 31, 2014 and December 31, 2013:</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8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80" w:type="dxa"/>
            <w:vAlign w:val="bottom"/>
            <w:shd w:val="clear" w:color="auto" w:fill="CCEECC"/>
          </w:tcPr>
          <w:p>
            <w:pPr>
              <w:ind w:left="80"/>
              <w:spacing w:after="0" w:line="182" w:lineRule="exact"/>
              <w:rPr>
                <w:sz w:val="20"/>
                <w:szCs w:val="20"/>
                <w:color w:val="auto"/>
              </w:rPr>
            </w:pPr>
            <w:r>
              <w:rPr>
                <w:rFonts w:ascii="Arial" w:cs="Arial" w:eastAsia="Arial" w:hAnsi="Arial"/>
                <w:sz w:val="18"/>
                <w:szCs w:val="18"/>
                <w:color w:val="auto"/>
              </w:rPr>
              <w:t>OptimizeRx web-based</w:t>
            </w:r>
          </w:p>
        </w:tc>
        <w:tc>
          <w:tcPr>
            <w:tcW w:w="10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3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20"/>
                <w:szCs w:val="20"/>
                <w:color w:val="auto"/>
              </w:rPr>
            </w:pPr>
          </w:p>
        </w:tc>
      </w:tr>
      <w:tr>
        <w:trPr>
          <w:trHeight w:val="202"/>
        </w:trPr>
        <w:tc>
          <w:tcPr>
            <w:tcW w:w="2280" w:type="dxa"/>
            <w:vAlign w:val="bottom"/>
          </w:tcPr>
          <w:p>
            <w:pPr>
              <w:ind w:left="80"/>
              <w:spacing w:after="0" w:line="201" w:lineRule="exact"/>
              <w:rPr>
                <w:sz w:val="20"/>
                <w:szCs w:val="20"/>
                <w:color w:val="auto"/>
              </w:rPr>
            </w:pPr>
            <w:r>
              <w:rPr>
                <w:rFonts w:ascii="Arial" w:cs="Arial" w:eastAsia="Arial" w:hAnsi="Arial"/>
                <w:sz w:val="18"/>
                <w:szCs w:val="18"/>
                <w:color w:val="auto"/>
              </w:rPr>
              <w:t>SampleMD web-based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20"/>
                <w:szCs w:val="20"/>
                <w:color w:val="auto"/>
              </w:rPr>
            </w:pPr>
          </w:p>
        </w:tc>
      </w:tr>
      <w:tr>
        <w:trPr>
          <w:trHeight w:val="202"/>
        </w:trPr>
        <w:tc>
          <w:tcPr>
            <w:tcW w:w="228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1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CC"/>
          </w:tcPr>
          <w:p>
            <w:pPr>
              <w:spacing w:after="0"/>
              <w:rPr>
                <w:sz w:val="21"/>
                <w:szCs w:val="21"/>
                <w:color w:val="auto"/>
              </w:rPr>
            </w:pPr>
          </w:p>
        </w:tc>
        <w:tc>
          <w:tcPr>
            <w:tcW w:w="20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224,035</w:t>
            </w:r>
          </w:p>
        </w:tc>
        <w:tc>
          <w:tcPr>
            <w:tcW w:w="6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2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r>
      <w:tr>
        <w:trPr>
          <w:trHeight w:val="182"/>
        </w:trPr>
        <w:tc>
          <w:tcPr>
            <w:tcW w:w="2280" w:type="dxa"/>
            <w:vAlign w:val="bottom"/>
          </w:tcPr>
          <w:p>
            <w:pPr>
              <w:ind w:left="260"/>
              <w:spacing w:after="0" w:line="182" w:lineRule="exact"/>
              <w:rPr>
                <w:sz w:val="20"/>
                <w:szCs w:val="20"/>
                <w:color w:val="auto"/>
              </w:rPr>
            </w:pPr>
            <w:r>
              <w:rPr>
                <w:rFonts w:ascii="Arial" w:cs="Arial" w:eastAsia="Arial" w:hAnsi="Arial"/>
                <w:sz w:val="18"/>
                <w:szCs w:val="18"/>
                <w:color w:val="auto"/>
              </w:rPr>
              <w:t>Subtotal, web-based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980,685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20"/>
                <w:szCs w:val="20"/>
                <w:color w:val="auto"/>
              </w:rPr>
            </w:pPr>
          </w:p>
        </w:tc>
      </w:tr>
      <w:tr>
        <w:trPr>
          <w:trHeight w:val="216"/>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(482,548)</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r>
      <w:tr>
        <w:trPr>
          <w:trHeight w:val="223"/>
        </w:trPr>
        <w:tc>
          <w:tcPr>
            <w:tcW w:w="228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w w:val="91"/>
              </w:rPr>
              <w:t>Web-based technology, net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439,054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five years. The Company is currently developing enhanced SampleMD web-based technology and has capitalized $224,035, which was completed in March 2014. Accordingly, amortization has been recorded. Amortization expense for the web-based technology costs was $41,907 and $32,572 for the three months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the SampleMD patent, which consisted of the following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14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20"/>
                <w:szCs w:val="20"/>
                <w:color w:val="auto"/>
              </w:rPr>
            </w:pPr>
          </w:p>
        </w:tc>
      </w:tr>
      <w:tr>
        <w:trPr>
          <w:trHeight w:val="182"/>
        </w:trPr>
        <w:tc>
          <w:tcPr>
            <w:tcW w:w="3440" w:type="dxa"/>
            <w:vAlign w:val="bottom"/>
          </w:tcPr>
          <w:p>
            <w:pPr>
              <w:spacing w:after="0"/>
              <w:rPr>
                <w:sz w:val="15"/>
                <w:szCs w:val="15"/>
                <w:color w:val="auto"/>
              </w:rPr>
            </w:pPr>
          </w:p>
        </w:tc>
        <w:tc>
          <w:tcPr>
            <w:tcW w:w="2140" w:type="dxa"/>
            <w:vAlign w:val="bottom"/>
            <w:shd w:val="clear" w:color="auto" w:fill="CCEECC"/>
          </w:tcPr>
          <w:p>
            <w:pPr>
              <w:ind w:left="80"/>
              <w:spacing w:after="0" w:line="182" w:lineRule="exact"/>
              <w:rPr>
                <w:sz w:val="20"/>
                <w:szCs w:val="20"/>
                <w:color w:val="auto"/>
              </w:rPr>
            </w:pPr>
            <w:r>
              <w:rPr>
                <w:rFonts w:ascii="Arial" w:cs="Arial" w:eastAsia="Arial" w:hAnsi="Arial"/>
                <w:sz w:val="18"/>
                <w:szCs w:val="18"/>
                <w:color w:val="auto"/>
                <w:w w:val="93"/>
              </w:rPr>
              <w:t>Patent rights and intangible</w:t>
            </w:r>
          </w:p>
        </w:tc>
        <w:tc>
          <w:tcPr>
            <w:tcW w:w="24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840" w:type="dxa"/>
            <w:vAlign w:val="bottom"/>
            <w:tcBorders>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342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87,993</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New patents and trademarks</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72,178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8"/>
                <w:szCs w:val="18"/>
                <w:color w:val="auto"/>
                <w:w w:val="98"/>
              </w:rPr>
              <w:t>Accumulated amortization</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(194,638)</w:t>
            </w:r>
          </w:p>
        </w:tc>
        <w:tc>
          <w:tcPr>
            <w:tcW w:w="3420" w:type="dxa"/>
            <w:vAlign w:val="bottom"/>
          </w:tcPr>
          <w:p>
            <w:pPr>
              <w:spacing w:after="0"/>
              <w:rPr>
                <w:sz w:val="19"/>
                <w:szCs w:val="19"/>
                <w:color w:val="auto"/>
              </w:rPr>
            </w:pPr>
          </w:p>
        </w:tc>
      </w:tr>
      <w:tr>
        <w:trPr>
          <w:trHeight w:val="182"/>
        </w:trPr>
        <w:tc>
          <w:tcPr>
            <w:tcW w:w="3440" w:type="dxa"/>
            <w:vAlign w:val="bottom"/>
          </w:tcPr>
          <w:p>
            <w:pPr>
              <w:spacing w:after="0"/>
              <w:rPr>
                <w:sz w:val="15"/>
                <w:szCs w:val="15"/>
                <w:color w:val="auto"/>
              </w:rPr>
            </w:pPr>
          </w:p>
        </w:tc>
        <w:tc>
          <w:tcPr>
            <w:tcW w:w="2380" w:type="dxa"/>
            <w:vAlign w:val="bottom"/>
            <w:tcBorders>
              <w:top w:val="single" w:sz="8" w:color="CCEECC"/>
            </w:tcBorders>
            <w:gridSpan w:val="2"/>
            <w:shd w:val="clear" w:color="auto" w:fill="CCEECC"/>
          </w:tcPr>
          <w:p>
            <w:pPr>
              <w:ind w:left="260"/>
              <w:spacing w:after="0" w:line="182" w:lineRule="exact"/>
              <w:rPr>
                <w:sz w:val="20"/>
                <w:szCs w:val="20"/>
                <w:color w:val="auto"/>
              </w:rPr>
            </w:pPr>
            <w:r>
              <w:rPr>
                <w:rFonts w:ascii="Arial" w:cs="Arial" w:eastAsia="Arial" w:hAnsi="Arial"/>
                <w:sz w:val="18"/>
                <w:szCs w:val="18"/>
                <w:color w:val="auto"/>
                <w:w w:val="96"/>
              </w:rPr>
              <w:t>Patent rights and intangible</w:t>
            </w:r>
          </w:p>
        </w:tc>
        <w:tc>
          <w:tcPr>
            <w:tcW w:w="20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57"/>
        </w:trPr>
        <w:tc>
          <w:tcPr>
            <w:tcW w:w="3440" w:type="dxa"/>
            <w:vAlign w:val="bottom"/>
          </w:tcPr>
          <w:p>
            <w:pPr>
              <w:spacing w:after="0"/>
              <w:rPr>
                <w:sz w:val="22"/>
                <w:szCs w:val="22"/>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903,617</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3420" w:type="dxa"/>
            <w:vAlign w:val="bottom"/>
          </w:tcPr>
          <w:p>
            <w:pPr>
              <w:spacing w:after="0"/>
              <w:rPr>
                <w:sz w:val="22"/>
                <w:szCs w:val="22"/>
                <w:color w:val="auto"/>
              </w:rPr>
            </w:pPr>
          </w:p>
        </w:tc>
      </w:tr>
      <w:tr>
        <w:trPr>
          <w:trHeight w:val="20"/>
        </w:trPr>
        <w:tc>
          <w:tcPr>
            <w:tcW w:w="3440" w:type="dxa"/>
            <w:vAlign w:val="bottom"/>
          </w:tcPr>
          <w:p>
            <w:pPr>
              <w:spacing w:after="0" w:line="20" w:lineRule="exact"/>
              <w:rPr>
                <w:sz w:val="1"/>
                <w:szCs w:val="1"/>
                <w:color w:val="auto"/>
              </w:rPr>
            </w:pPr>
          </w:p>
        </w:tc>
        <w:tc>
          <w:tcPr>
            <w:tcW w:w="214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70"/>
        </w:trPr>
        <w:tc>
          <w:tcPr>
            <w:tcW w:w="3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24"/>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F-8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$15,630 and $14,132 for the three months ended March 31,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March 31, 2014 and December 31, 2013:</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March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w w:val="90"/>
              </w:rPr>
              <w:t>December 31,</w:t>
            </w:r>
          </w:p>
        </w:tc>
      </w:tr>
      <w:tr>
        <w:trPr>
          <w:trHeight w:val="230"/>
        </w:trPr>
        <w:tc>
          <w:tcPr>
            <w:tcW w:w="1640" w:type="dxa"/>
            <w:vAlign w:val="bottom"/>
            <w:tcBorders>
              <w:bottom w:val="single" w:sz="8" w:color="CCEECC"/>
            </w:tcBorders>
          </w:tcPr>
          <w:p>
            <w:pPr>
              <w:spacing w:after="0"/>
              <w:rPr>
                <w:sz w:val="20"/>
                <w:szCs w:val="20"/>
                <w:color w:val="auto"/>
              </w:rPr>
            </w:pPr>
          </w:p>
        </w:tc>
        <w:tc>
          <w:tcPr>
            <w:tcW w:w="7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1640" w:type="dxa"/>
            <w:vAlign w:val="bottom"/>
            <w:shd w:val="clear" w:color="auto" w:fill="CCEECC"/>
          </w:tcPr>
          <w:p>
            <w:pPr>
              <w:spacing w:after="0"/>
              <w:rPr>
                <w:sz w:val="20"/>
                <w:szCs w:val="20"/>
                <w:color w:val="auto"/>
              </w:rPr>
            </w:pPr>
            <w:r>
              <w:rPr>
                <w:rFonts w:ascii="Arial" w:cs="Arial" w:eastAsia="Arial" w:hAnsi="Arial"/>
                <w:sz w:val="18"/>
                <w:szCs w:val="18"/>
                <w:color w:val="auto"/>
              </w:rPr>
              <w:t>Audit fees</w:t>
            </w:r>
          </w:p>
        </w:tc>
        <w:tc>
          <w:tcPr>
            <w:tcW w:w="7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CC"/>
          </w:tcPr>
          <w:p>
            <w:pPr>
              <w:spacing w:after="0"/>
              <w:rPr>
                <w:sz w:val="18"/>
                <w:szCs w:val="18"/>
                <w:color w:val="auto"/>
              </w:rPr>
            </w:pPr>
          </w:p>
        </w:tc>
      </w:tr>
      <w:tr>
        <w:trPr>
          <w:trHeight w:val="230"/>
        </w:trPr>
        <w:tc>
          <w:tcPr>
            <w:tcW w:w="16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Payroll taxes</w:t>
            </w:r>
          </w:p>
        </w:tc>
        <w:tc>
          <w:tcPr>
            <w:tcW w:w="74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146,042</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r>
      <w:tr>
        <w:trPr>
          <w:trHeight w:val="223"/>
        </w:trPr>
        <w:tc>
          <w:tcPr>
            <w:tcW w:w="1640" w:type="dxa"/>
            <w:vAlign w:val="bottom"/>
            <w:tcBorders>
              <w:bottom w:val="single" w:sz="8" w:color="CCEECC"/>
            </w:tcBorders>
            <w:shd w:val="clear" w:color="auto" w:fill="CCEECC"/>
          </w:tcPr>
          <w:p>
            <w:pPr>
              <w:spacing w:after="0"/>
              <w:rPr>
                <w:sz w:val="19"/>
                <w:szCs w:val="19"/>
                <w:color w:val="auto"/>
              </w:rPr>
            </w:pPr>
          </w:p>
        </w:tc>
        <w:tc>
          <w:tcPr>
            <w:tcW w:w="74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146,042</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$168,714 and $4,252 as of March 31, 2014 and December 31, 2013,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March 31, 2014. There were 23,168,337 and 14,773,496 common shares issued and outstanding at March 31, 2014 and December 31, 2013,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2013, the Company entered into an amended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40,000 shares were valued at the Company’s common stock price as of the date of the contract, which was $1.945/share and $1.50/share, respectively, and have been expensed. The Company has also issued an additional 10,000 shares for work beyond the original scope of the contract in February 2014 valued at $18,500.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$116,538 of that amount remains as deferred stock compensation as of March 31, 2014. Stock-based compensation of $58,270 was recorded in connection with this agreement during the three months ended March 31,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 The warrants were valued at $1,110,211 and have been recorded as equity issuance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warrants, the Company also issued 200,000 shares to three officers in connection with the equity raise. The stock was valued based on the fair market value on the grant date which was $378,000. The amount has been recorded as equity issuance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2014, the Company granted 337,500 shares of common stock to two employees as bonuses valued at $570,375. As of March 31, 2014, only 50% of the shares had vested. The company recorded the remaining 50% as deferred stock-based compensation. Stock-based compensation related to these bonuses was $285,188 for the three months ended March 31, 2014. The remainder will be expensed once the other 50% of the shares have vested in August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2014, an officer exercised 500,000 stock warrants using the cashless exercise feature. In exchange for the 500,000 warrants, 410,348 shares of common stock were issued.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Series A preferred stock was repurchased as part of the securities buyout by the Company on March 17, 2014 and all undeclared dividends were cancelled. The related warrants were also purchased as part of the buyout.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Series B preferred stock was repurchased as part of the Vicis securities buyout by the Company on March 17, 2014 and all undeclared dividends were cancelled. The related warrants were also purchased as part of the buyout.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vested over 1 year. The Company recognized share-based compensation expense of $10,002 during the three months ended March 31, 2013. The remainder was expensed during the rest of 2013.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30, 2013, the Company issued 50,000 stock options to six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and $11,581 during the three months ended March 31, 2014. The remaining balance will be recognized during the rest of 2014.</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8, 2013, the Company issued 75,000 stock options to two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and $17,740 during the three months ended December 31, 2013 and March 31, 2014, respectively. The remaining balance of $41,394 has been recorded as deferred stock compensation and will be recognized during the rest of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2014, the Company issued 267,500 stock options to five employees at exercise prices of $1.54 and $1.82. The options were valued on the grant date using the Black-Scholes option-pricing model with the following assumptions: dividend yield of 0%, expected volatility of 172%, risk-free interest rates of 1.58% and 1.46% and expected life of 60 months. The total value of the options was $423,712. The options vest over one year. The Company recognized share-based compensation expense of $24,654 during the three months ended March 31, 2014. The remaining balance will be recognized during 2014 and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2014, the Company issued 10,000 stock options to a non-employee at exercise price of $1.85. The options were valued on the grant date using the Black-Scholes option-pricing model with the following assumptions: dividend yield of 0%, expected volatility of 171%, risk-free interest rates of 1.64% and expected life of 60 months. The total value of the options was $16,935. The options vest over six months. The Company recognized share-based compensation expense of $5,645 during the three months ended March 31, 2014. The remaining balance will be recognized during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17, 2014, the Company issued 804,139 warrants to two companies at an exercise price of $1.20. The warrants were valued on the grant date using the Black-Scholes option-pricing model with the following assumptions: dividend yield of 0%, expected volatility of 172%, risk-free interest rate of 1.58% and expected life of 60 months. The Company recognized $1,110,211 during the three months ended March 31, 2014 as equity issuance costs related to these warrants.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4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Options</w:t>
            </w:r>
          </w:p>
        </w:tc>
        <w:tc>
          <w:tcPr>
            <w:tcW w:w="10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jc w:val="right"/>
              <w:ind w:right="180"/>
              <w:spacing w:after="0" w:line="182" w:lineRule="exact"/>
              <w:rPr>
                <w:sz w:val="20"/>
                <w:szCs w:val="20"/>
                <w:color w:val="auto"/>
              </w:rPr>
            </w:pPr>
            <w:r>
              <w:rPr>
                <w:rFonts w:ascii="Arial" w:cs="Arial" w:eastAsia="Arial" w:hAnsi="Arial"/>
                <w:sz w:val="18"/>
                <w:szCs w:val="18"/>
                <w:color w:val="auto"/>
                <w:w w:val="99"/>
              </w:rPr>
              <w:t>Outstanding, January</w:t>
            </w:r>
          </w:p>
        </w:tc>
        <w:tc>
          <w:tcPr>
            <w:tcW w:w="17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1,276,100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2013</w:t>
            </w:r>
          </w:p>
        </w:tc>
        <w:tc>
          <w:tcPr>
            <w:tcW w:w="1760" w:type="dxa"/>
            <w:vAlign w:val="bottom"/>
          </w:tcPr>
          <w:p>
            <w:pPr>
              <w:jc w:val="right"/>
              <w:spacing w:after="0"/>
              <w:rPr>
                <w:sz w:val="20"/>
                <w:szCs w:val="20"/>
                <w:color w:val="auto"/>
              </w:rPr>
            </w:pPr>
            <w:r>
              <w:rPr>
                <w:rFonts w:ascii="Arial" w:cs="Arial" w:eastAsia="Arial" w:hAnsi="Arial"/>
                <w:sz w:val="18"/>
                <w:szCs w:val="18"/>
                <w:color w:val="auto"/>
              </w:rPr>
              <w:t>2,125,000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(2,271,100)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277,500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2014</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March 31,</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1,407,500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CC"/>
          </w:tcPr>
          <w:p>
            <w:pPr>
              <w:spacing w:after="0"/>
              <w:rPr>
                <w:sz w:val="20"/>
                <w:szCs w:val="20"/>
                <w:color w:val="auto"/>
              </w:rPr>
            </w:pP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Number of Warrants</w:t>
            </w: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tcBorders>
              <w:top w:val="single" w:sz="8" w:color="CCEECC"/>
            </w:tcBorders>
            <w:gridSpan w:val="2"/>
            <w:shd w:val="clear" w:color="auto" w:fill="CCEECC"/>
          </w:tcPr>
          <w:p>
            <w:pPr>
              <w:jc w:val="right"/>
              <w:ind w:right="180"/>
              <w:spacing w:after="0" w:line="182" w:lineRule="exact"/>
              <w:rPr>
                <w:sz w:val="20"/>
                <w:szCs w:val="20"/>
                <w:color w:val="auto"/>
              </w:rPr>
            </w:pPr>
            <w:r>
              <w:rPr>
                <w:rFonts w:ascii="Arial" w:cs="Arial" w:eastAsia="Arial" w:hAnsi="Arial"/>
                <w:sz w:val="18"/>
                <w:szCs w:val="18"/>
                <w:color w:val="auto"/>
                <w:w w:val="99"/>
              </w:rPr>
              <w:t>Outstanding, January</w:t>
            </w:r>
          </w:p>
        </w:tc>
        <w:tc>
          <w:tcPr>
            <w:tcW w:w="17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10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6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12,277,000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2013</w:t>
            </w: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(527,000)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11,750,000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804,139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2014</w:t>
            </w: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(0.35)</w:t>
            </w: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Cancelled – 2014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r>
      <w:tr>
        <w:trPr>
          <w:trHeight w:val="230"/>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Expired – 2014</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r>
      <w:tr>
        <w:trPr>
          <w:trHeight w:val="195"/>
        </w:trPr>
        <w:tc>
          <w:tcPr>
            <w:tcW w:w="1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Balance, March 31,</w:t>
            </w:r>
          </w:p>
        </w:tc>
        <w:tc>
          <w:tcPr>
            <w:tcW w:w="16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0"/>
                <w:szCs w:val="20"/>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3600" w:type="dxa"/>
            <w:vAlign w:val="bottom"/>
            <w:shd w:val="clear" w:color="auto" w:fill="CCEECC"/>
          </w:tcPr>
          <w:p>
            <w:pPr>
              <w:jc w:val="right"/>
              <w:ind w:right="350"/>
              <w:spacing w:after="0"/>
              <w:rPr>
                <w:sz w:val="20"/>
                <w:szCs w:val="20"/>
                <w:color w:val="auto"/>
              </w:rPr>
            </w:pPr>
            <w:r>
              <w:rPr>
                <w:rFonts w:ascii="Arial" w:cs="Arial" w:eastAsia="Arial" w:hAnsi="Arial"/>
                <w:sz w:val="18"/>
                <w:szCs w:val="18"/>
                <w:color w:val="auto"/>
              </w:rPr>
              <w:t>Year ended December 31, 2014</w:t>
            </w:r>
          </w:p>
        </w:tc>
        <w:tc>
          <w:tcPr>
            <w:tcW w:w="240" w:type="dxa"/>
            <w:vAlign w:val="bottom"/>
            <w:gridSpan w:val="2"/>
            <w:shd w:val="clear" w:color="auto" w:fill="CCEECC"/>
          </w:tcPr>
          <w:p>
            <w:pPr>
              <w:jc w:val="right"/>
              <w:ind w:right="1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55,542</w:t>
            </w:r>
          </w:p>
        </w:tc>
        <w:tc>
          <w:tcPr>
            <w:tcW w:w="60" w:type="dxa"/>
            <w:vAlign w:val="bottom"/>
            <w:shd w:val="clear" w:color="auto" w:fill="CCEECC"/>
          </w:tcPr>
          <w:p>
            <w:pPr>
              <w:spacing w:after="0"/>
              <w:rPr>
                <w:sz w:val="19"/>
                <w:szCs w:val="19"/>
                <w:color w:val="auto"/>
              </w:rPr>
            </w:pPr>
          </w:p>
        </w:tc>
      </w:tr>
      <w:tr>
        <w:trPr>
          <w:trHeight w:val="223"/>
        </w:trPr>
        <w:tc>
          <w:tcPr>
            <w:tcW w:w="3600" w:type="dxa"/>
            <w:vAlign w:val="bottom"/>
          </w:tcPr>
          <w:p>
            <w:pPr>
              <w:jc w:val="right"/>
              <w:ind w:right="350"/>
              <w:spacing w:after="0"/>
              <w:rPr>
                <w:sz w:val="20"/>
                <w:szCs w:val="20"/>
                <w:color w:val="auto"/>
              </w:rPr>
            </w:pPr>
            <w:r>
              <w:rPr>
                <w:rFonts w:ascii="Arial" w:cs="Arial" w:eastAsia="Arial" w:hAnsi="Arial"/>
                <w:sz w:val="18"/>
                <w:szCs w:val="18"/>
                <w:color w:val="auto"/>
              </w:rPr>
              <w:t>Total lease commitment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had three major customers that accounted for 44% and three major customers that accounted for 72% of the Company’s revenues for the three months ended March 31, 2014 and 2013, respectively. The Company expects to continue to maintain these relationships with the customers.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2014, the Company incurred net loss of approximately $653,000 and therefore has no tax liability. The Company began operations in 2007 and has previous net operating loss carry-forwards of approximately $13,718,000 through December 31, 2013. The cumulative loss of approximately $14,371,000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three months ended March 31, 2014 and 2013:</w:t>
      </w:r>
    </w:p>
    <w:p>
      <w:pPr>
        <w:spacing w:after="0" w:line="131"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0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0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rPr>
              <w:t>Federal income tax benefit</w:t>
            </w:r>
          </w:p>
        </w:tc>
        <w:tc>
          <w:tcPr>
            <w:tcW w:w="16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attributable to:</w:t>
            </w:r>
          </w:p>
        </w:tc>
        <w:tc>
          <w:tcPr>
            <w:tcW w:w="16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00" w:type="dxa"/>
            <w:vAlign w:val="bottom"/>
          </w:tcPr>
          <w:p>
            <w:pPr>
              <w:ind w:left="80"/>
              <w:spacing w:after="0"/>
              <w:rPr>
                <w:sz w:val="20"/>
                <w:szCs w:val="20"/>
                <w:color w:val="auto"/>
              </w:rPr>
            </w:pPr>
            <w:r>
              <w:rPr>
                <w:rFonts w:ascii="Arial" w:cs="Arial" w:eastAsia="Arial" w:hAnsi="Arial"/>
                <w:sz w:val="18"/>
                <w:szCs w:val="18"/>
                <w:color w:val="auto"/>
              </w:rPr>
              <w:t>Current operations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36,000</w:t>
            </w:r>
          </w:p>
        </w:tc>
        <w:tc>
          <w:tcPr>
            <w:tcW w:w="60" w:type="dxa"/>
            <w:vAlign w:val="bottom"/>
          </w:tcPr>
          <w:p>
            <w:pPr>
              <w:spacing w:after="0"/>
              <w:rPr>
                <w:sz w:val="18"/>
                <w:szCs w:val="18"/>
                <w:color w:val="auto"/>
              </w:rPr>
            </w:pPr>
          </w:p>
        </w:tc>
      </w:tr>
      <w:tr>
        <w:trPr>
          <w:trHeight w:val="230"/>
        </w:trPr>
        <w:tc>
          <w:tcPr>
            <w:tcW w:w="220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(36,000)</w:t>
            </w:r>
          </w:p>
        </w:tc>
      </w:tr>
      <w:tr>
        <w:trPr>
          <w:trHeight w:val="182"/>
        </w:trPr>
        <w:tc>
          <w:tcPr>
            <w:tcW w:w="2200" w:type="dxa"/>
            <w:vAlign w:val="bottom"/>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income tax</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4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4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w w:val="92"/>
              </w:rPr>
              <w:t>Deferred tax asset attributable</w:t>
            </w:r>
          </w:p>
        </w:tc>
        <w:tc>
          <w:tcPr>
            <w:tcW w:w="10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8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40" w:type="dxa"/>
            <w:vAlign w:val="bottom"/>
            <w:shd w:val="clear" w:color="auto" w:fill="CCEECC"/>
          </w:tcPr>
          <w:p>
            <w:pPr>
              <w:spacing w:after="0"/>
              <w:rPr>
                <w:sz w:val="20"/>
                <w:szCs w:val="20"/>
                <w:color w:val="auto"/>
              </w:rPr>
            </w:pPr>
            <w:r>
              <w:rPr>
                <w:rFonts w:ascii="Arial" w:cs="Arial" w:eastAsia="Arial" w:hAnsi="Arial"/>
                <w:sz w:val="18"/>
                <w:szCs w:val="18"/>
                <w:color w:val="auto"/>
              </w:rPr>
              <w:t>to:</w:t>
            </w:r>
          </w:p>
        </w:tc>
        <w:tc>
          <w:tcPr>
            <w:tcW w:w="1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8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40" w:type="dxa"/>
            <w:vAlign w:val="bottom"/>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4,996,000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4,774,000</w:t>
            </w:r>
          </w:p>
        </w:tc>
        <w:tc>
          <w:tcPr>
            <w:tcW w:w="60" w:type="dxa"/>
            <w:vAlign w:val="bottom"/>
          </w:tcPr>
          <w:p>
            <w:pPr>
              <w:spacing w:after="0"/>
              <w:rPr>
                <w:sz w:val="18"/>
                <w:szCs w:val="18"/>
                <w:color w:val="auto"/>
              </w:rPr>
            </w:pPr>
          </w:p>
        </w:tc>
      </w:tr>
      <w:tr>
        <w:trPr>
          <w:trHeight w:val="230"/>
        </w:trPr>
        <w:tc>
          <w:tcPr>
            <w:tcW w:w="224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(4,996,000)</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(4,774,000)</w:t>
            </w:r>
          </w:p>
        </w:tc>
      </w:tr>
      <w:tr>
        <w:trPr>
          <w:trHeight w:val="223"/>
        </w:trPr>
        <w:tc>
          <w:tcPr>
            <w:tcW w:w="2240" w:type="dxa"/>
            <w:vAlign w:val="bottom"/>
          </w:tcPr>
          <w:p>
            <w:pPr>
              <w:ind w:left="260"/>
              <w:spacing w:after="0"/>
              <w:rPr>
                <w:sz w:val="20"/>
                <w:szCs w:val="20"/>
                <w:color w:val="auto"/>
              </w:rPr>
            </w:pPr>
            <w:r>
              <w:rPr>
                <w:rFonts w:ascii="Arial" w:cs="Arial" w:eastAsia="Arial" w:hAnsi="Arial"/>
                <w:sz w:val="18"/>
                <w:szCs w:val="18"/>
                <w:color w:val="auto"/>
              </w:rPr>
              <w:t>Net deferred tax asset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$14,371,000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ended March 31, 2014 and 2013, respectively:</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7"/>
          </w:tcPr>
          <w:p>
            <w:pPr>
              <w:ind w:left="180"/>
              <w:spacing w:after="0"/>
              <w:rPr>
                <w:sz w:val="20"/>
                <w:szCs w:val="20"/>
                <w:color w:val="auto"/>
              </w:rPr>
            </w:pPr>
            <w:r>
              <w:rPr>
                <w:rFonts w:ascii="Arial" w:cs="Arial" w:eastAsia="Arial" w:hAnsi="Arial"/>
                <w:sz w:val="18"/>
                <w:szCs w:val="18"/>
                <w:color w:val="auto"/>
              </w:rPr>
              <w:t>Three months ended</w:t>
            </w:r>
          </w:p>
        </w:tc>
      </w:tr>
      <w:tr>
        <w:trPr>
          <w:trHeight w:val="230"/>
        </w:trPr>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color w:val="auto"/>
                <w:w w:val="89"/>
              </w:rPr>
              <w:t>March 31,</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380" w:type="dxa"/>
            <w:vAlign w:val="bottom"/>
            <w:tcBorders>
              <w:bottom w:val="single" w:sz="8" w:color="CCEE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19"/>
                <w:szCs w:val="19"/>
                <w:color w:val="auto"/>
              </w:rPr>
            </w:pPr>
          </w:p>
        </w:tc>
      </w:tr>
      <w:tr>
        <w:trPr>
          <w:trHeight w:val="210"/>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29,600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53,098</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15,814</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20,407</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w w:val="99"/>
              </w:rPr>
              <w:t>Salaries, wages and benefits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349,096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375,071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w w:val="95"/>
              </w:rPr>
              <w:t>Depreciation and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48,111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Settlement expense</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421,577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30"/>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CC"/>
          </w:tcPr>
          <w:p>
            <w:pPr>
              <w:spacing w:after="0"/>
              <w:rPr>
                <w:sz w:val="19"/>
                <w:szCs w:val="19"/>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89,264</w:t>
            </w:r>
          </w:p>
        </w:tc>
        <w:tc>
          <w:tcPr>
            <w:tcW w:w="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8"/>
              </w:rPr>
              <w:t>218,794</w:t>
            </w:r>
          </w:p>
        </w:tc>
        <w:tc>
          <w:tcPr>
            <w:tcW w:w="60" w:type="dxa"/>
            <w:vAlign w:val="bottom"/>
            <w:shd w:val="clear" w:color="auto" w:fill="CCEECC"/>
          </w:tcPr>
          <w:p>
            <w:pPr>
              <w:spacing w:after="0"/>
              <w:rPr>
                <w:sz w:val="19"/>
                <w:szCs w:val="19"/>
                <w:color w:val="auto"/>
              </w:rPr>
            </w:pPr>
          </w:p>
        </w:tc>
      </w:tr>
      <w:tr>
        <w:trPr>
          <w:trHeight w:val="223"/>
        </w:trPr>
        <w:tc>
          <w:tcPr>
            <w:tcW w:w="238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1,471,958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733,969</w:t>
            </w:r>
          </w:p>
        </w:tc>
        <w:tc>
          <w:tcPr>
            <w:tcW w:w="6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will now reflect the expense associated with the revenue from that particular quarter and year end. The Company will restate quarters 1 - 3 of 2013 as the 2014 quarterly statements are prepared. The full impact of the restatement is reflected in the December 31, 2013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restated Consolidated Balance Sheet, Consolidated Statement of Operations and Consolidated Statement of Cash Flows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is as follows:</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660" w:type="dxa"/>
            <w:vAlign w:val="bottom"/>
            <w:gridSpan w:val="4"/>
          </w:tcPr>
          <w:p>
            <w:pPr>
              <w:spacing w:after="0"/>
              <w:rPr>
                <w:sz w:val="20"/>
                <w:szCs w:val="20"/>
                <w:color w:val="auto"/>
              </w:rPr>
            </w:pPr>
            <w:r>
              <w:rPr>
                <w:rFonts w:ascii="Arial" w:cs="Arial" w:eastAsia="Arial" w:hAnsi="Arial"/>
                <w:sz w:val="18"/>
                <w:szCs w:val="18"/>
                <w:color w:val="auto"/>
              </w:rPr>
              <w:t>Three months ended March 31, 2013</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940" w:type="dxa"/>
            <w:vAlign w:val="bottom"/>
            <w:tcBorders>
              <w:top w:val="single" w:sz="8" w:color="auto"/>
            </w:tcBorders>
            <w:gridSpan w:val="2"/>
            <w:shd w:val="clear" w:color="auto" w:fill="CCEECC"/>
          </w:tcPr>
          <w:p>
            <w:pPr>
              <w:ind w:left="80"/>
              <w:spacing w:after="0"/>
              <w:rPr>
                <w:sz w:val="20"/>
                <w:szCs w:val="20"/>
                <w:color w:val="auto"/>
              </w:rPr>
            </w:pPr>
            <w:r>
              <w:rPr>
                <w:rFonts w:ascii="Arial" w:cs="Arial" w:eastAsia="Arial" w:hAnsi="Arial"/>
                <w:sz w:val="18"/>
                <w:szCs w:val="18"/>
                <w:color w:val="auto"/>
              </w:rPr>
              <w:t>Financial Statement</w:t>
            </w:r>
          </w:p>
        </w:tc>
        <w:tc>
          <w:tcPr>
            <w:tcW w:w="158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Line Item</w:t>
            </w:r>
          </w:p>
        </w:tc>
        <w:tc>
          <w:tcPr>
            <w:tcW w:w="140" w:type="dxa"/>
            <w:vAlign w:val="bottom"/>
            <w:tcBorders>
              <w:top w:val="single" w:sz="8" w:color="CCEECC"/>
            </w:tcBorders>
            <w:shd w:val="clear" w:color="auto" w:fill="CCEECC"/>
          </w:tcPr>
          <w:p>
            <w:pPr>
              <w:spacing w:after="0"/>
              <w:rPr>
                <w:sz w:val="19"/>
                <w:szCs w:val="19"/>
                <w:color w:val="auto"/>
              </w:rPr>
            </w:pPr>
          </w:p>
        </w:tc>
        <w:tc>
          <w:tcPr>
            <w:tcW w:w="400" w:type="dxa"/>
            <w:vAlign w:val="bottom"/>
            <w:tcBorders>
              <w:top w:val="single" w:sz="8" w:color="CCEECC"/>
            </w:tcBorders>
            <w:shd w:val="clear" w:color="auto" w:fill="CCEECC"/>
          </w:tcPr>
          <w:p>
            <w:pPr>
              <w:spacing w:after="0"/>
              <w:rPr>
                <w:sz w:val="19"/>
                <w:szCs w:val="19"/>
                <w:color w:val="auto"/>
              </w:rPr>
            </w:pPr>
          </w:p>
        </w:tc>
        <w:tc>
          <w:tcPr>
            <w:tcW w:w="1180" w:type="dxa"/>
            <w:vAlign w:val="bottom"/>
            <w:tcBorders>
              <w:top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Corrected</w:t>
            </w:r>
          </w:p>
        </w:tc>
        <w:tc>
          <w:tcPr>
            <w:tcW w:w="80" w:type="dxa"/>
            <w:vAlign w:val="bottom"/>
            <w:tcBorders>
              <w:top w:val="single" w:sz="8" w:color="CCEECC"/>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CCEECC"/>
            </w:tcBorders>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2"/>
              </w:rPr>
              <w:t>Previously Stated</w:t>
            </w:r>
          </w:p>
        </w:tc>
      </w:tr>
      <w:tr>
        <w:trPr>
          <w:trHeight w:val="195"/>
        </w:trPr>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Revenue share</w:t>
            </w: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194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expense</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159,815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40,203</w:t>
            </w:r>
          </w:p>
        </w:tc>
      </w:tr>
      <w:tr>
        <w:trPr>
          <w:trHeight w:val="202"/>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Loss from</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operations</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(224,494)</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(104,882)</w:t>
            </w: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Loss before</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provision for</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94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income taxes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(104,826)</w:t>
            </w:r>
          </w:p>
        </w:tc>
      </w:tr>
      <w:tr>
        <w:trPr>
          <w:trHeight w:val="216"/>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(104,826)</w:t>
            </w:r>
          </w:p>
        </w:tc>
      </w:tr>
      <w:tr>
        <w:trPr>
          <w:trHeight w:val="216"/>
        </w:trPr>
        <w:tc>
          <w:tcPr>
            <w:tcW w:w="1940" w:type="dxa"/>
            <w:vAlign w:val="bottom"/>
            <w:gridSpan w:val="2"/>
          </w:tcPr>
          <w:p>
            <w:pPr>
              <w:ind w:left="80"/>
              <w:spacing w:after="0"/>
              <w:rPr>
                <w:sz w:val="20"/>
                <w:szCs w:val="20"/>
                <w:color w:val="auto"/>
              </w:rPr>
            </w:pPr>
            <w:r>
              <w:rPr>
                <w:rFonts w:ascii="Arial" w:cs="Arial" w:eastAsia="Arial" w:hAnsi="Arial"/>
                <w:sz w:val="18"/>
                <w:szCs w:val="18"/>
                <w:color w:val="auto"/>
                <w:w w:val="96"/>
              </w:rPr>
              <w:t>Statement of cash flows</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(104,826)</w:t>
            </w:r>
          </w:p>
        </w:tc>
      </w:tr>
      <w:tr>
        <w:trPr>
          <w:trHeight w:val="202"/>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Increase in revenue</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6"/>
              </w:rPr>
              <w:t>Statement of cash flows</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119,612</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LAWSUIT SETTLEMENT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 This amount was included in operating expenses in the consolidated statement of operations for the three months ended March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12, 2014, the Company hired a new CFO. Per the terms of the employment agreement, the CFO will earn a salary of $125,000 per year and was granted 100,000 stock options as a signing bonus.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March 31, 2014 through the date these financial statements were issued and has determined that it does not have any material subsequent events to disclose in these financial statements other than the events described above.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within 1</w:t>
      </w:r>
      <w:r>
        <w:rPr>
          <w:rFonts w:ascii="Arial" w:cs="Arial" w:eastAsia="Arial" w:hAnsi="Arial"/>
          <w:sz w:val="30"/>
          <w:szCs w:val="30"/>
          <w:b w:val="1"/>
          <w:bCs w:val="1"/>
          <w:i w:val="1"/>
          <w:iCs w:val="1"/>
          <w:color w:val="auto"/>
          <w:vertAlign w:val="superscript"/>
        </w:rPr>
        <w:t>st</w:t>
      </w:r>
      <w:r>
        <w:rPr>
          <w:rFonts w:ascii="Arial" w:cs="Arial" w:eastAsia="Arial" w:hAnsi="Arial"/>
          <w:sz w:val="18"/>
          <w:szCs w:val="18"/>
          <w:b w:val="1"/>
          <w:bCs w:val="1"/>
          <w:i w:val="1"/>
          <w:iCs w:val="1"/>
          <w:color w:val="auto"/>
        </w:rPr>
        <w:t xml:space="preserve"> quarter 2014</w:t>
      </w:r>
    </w:p>
    <w:p>
      <w:pPr>
        <w:spacing w:after="0" w:line="124"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acquired $10 million dollars in new capital to exercise the negotiated buyout of Vicis, which netted out an additional $3 million dollars to us, and a reduction of approximately 7 million in fully diluted shares.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nearly doubled our sales over 1Q 2013 and net cash provided by operating activities was a positive $226,727.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settled a lawsuit with LDM to enable promotional access to over 100,000 new healthcare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launched VoucherDVM and engaged leading platforms to offer automated vet product savings.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and launched the SampleMD 2.0 technology platform to support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proved an outstanding Return on Investment associated with our pharmaceutical promotions through an independent analytics firm.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sponsored and key noted the first CBInet Pharmaceutical EHR conference.</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initiated direct recruitment of a new CFO which resulted in the hiring of a highly experienced financial executive. We also recruited the former global marketing director from AstraZeneca to lead sales on the east coast.</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finished the first quarter with revenues of $1,317,347, an increase of 97% over the same period 2013 generating positive net cash of $226,727 from operational activities. However, we had a net loss of $653,315 for the first quarter primarily due to two factors:</w:t>
      </w:r>
    </w:p>
    <w:p>
      <w:pPr>
        <w:spacing w:after="0" w:line="170"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one-time settlement to LDM, which resolved all patent issues and enables us to promote our eCoupons to their network of up to 100,000 healthcare providers, as well as receive additional revenue share through promotion of their sponsored patient education within OptimizeRx’s network.</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 cash payment of stock to vendors, former executive and employees.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Moving forward, we expect growing profitability for the remainder of 2014 based primarily on escalation of revenues. Despite nearly doubling our sales over 1Q 2013, which is generally a slower sales quarter based on finalizing budgets and receiving new annual assets, 1Q 2014 revenues would have been higher based on two important factors:</w:t>
      </w:r>
    </w:p>
    <w:p>
      <w:pPr>
        <w:spacing w:after="0" w:line="181"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Allscripts had privacy and technical issues that affected their distribution of eCoupons and other programs during a significant period of time it took to fully resolve them.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of our largest clients interrupted their program to determine promotional impact and ROI.</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of the above have been resolved. Allscripts has resolved their technical and privacy issues, and is now beginning to roll out activation of SampleMD eCoupon automation unless providers “opt-out.” We anticipate this to have a significant impact on June sales and beyond once this is completed by increasing our reach to another 20,000 physicians.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Novartis’ Alcon has re-activated their program based on confirming through an independent auditing firm an outstanding ROI on SampleMD’s eCoupon promotion. Furthermore, this data was highlighted by Novartis during our corporate sponsorship of the inaugural CBInet Pharmaceutical EHR conference focused on leveraging opportunities for promotional effectiveness and brand awareness. The conference was attended by over 150 pharmaceutical brand and marketing executives and highlighted industry luminaries, panel discussions and client presentations. David Harrell, Chairman and Chief Executive Officer was a noted Keynote speaker, and many clients and partners cited unsolicited testimonials at the successes they have experienced engaging with us. We will be the lead sponsor for a similar conference in October as requested by many of the pharmaceutical client and partners we engage.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marketing efforts, along with our expert support team and proven reputation, has enabled us to acquire more manufacturers and brands—including Baush &amp; Lomb and AstraZeneca’s promoted portfolio of leading drugs like Crestor, Seroquel and others. AstraZeneca represents a very important win strategically, too, based on the fact that they were previously utilizing a competitive platform.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of acquiring, integrating and expanding into other promotional EHR/eRx platforms continues to grow as well. We are just launching our first initial brands into eHealthline, as well as will be completing our integration into LDMs network and others.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launch our patient savings and support within Quest Care360 by end of June 2014. Quest Diagnostics is the world’s leading provider of diagnostic information servicing approximately half of the physicians and hospitals in the U.S. and touches the lives of approximately 30% of American adults a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in very productive discussions with other leading EHRs and expect our active network to nearly double by end of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With the growth of both our pharmaceutical products and our distribution network, we remain confident that our distributions will double over last year.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this growth, we have completed the development and migration of SampleMD 2.0’s on-demand, rule based content delivery platform. The system can now manage up to 1 million rules and return the appropriate content within under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Key Quarterly Events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first quarter we also successfully completed a $10 million capital raise and exercised the option to redeem Vicis Capital Master Fund’s holdings in our company. By successfully executing these initiatives we reduced fully diluted shares by approximately 7 million and provided an additional $3 Million in working capital to support the company's growth and eliminated dividend payments and other favorable provisions of Vicis preferred stock.</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extensive negotiations, OPTIMIZERx and LDM executed a settlement agreement and filed a stipulation to dismiss the litigation with prejudice on March 17, 2014, which the District Court entered on March 19, 2014. This resolves all patent issues and enables us to promote our eCoupons to their network of up to 100,000 healthcare providers, as well as receive additional revenue share through promotion of their sponsored patient education within our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Chief Financial Officer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Mr. Douglas P. Baker is joining the organization as its Chief Financial Officer. Doug brings with him over 23 years of public company experience and joins OPTIMIZERx after serving the last 18 years as CFO and Board Director for a publicly traded technology company in the nanotechnology field. Prior to that, Doug held CFO and Divisional Controller positions at large privately held companies after serving nearly 10 years as a CPA with Plante &amp; Moran.</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Doug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remains very excited about our core e-coupon business based on our proven impact and platform partnerships continuing to expand. We are also pleased with our current discussions and recognized value from leading veterinary platform providers whom are interested in partnering to deliver similar automated savings to animal owners—while allowing veterinarian’s to remain competitive in their pharmacy business. We are also exploring other new channels to automate savings which hold high promise and rapid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expect very significant ramp up the second half of the year as we fully roll out our new channels to expand our promotional reach.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Q1 2014 was $1,317,347, an increase of $648,057 or 97% from Q1 2013.</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increased revenue for Q1 2014 as compared with Q1 2013 is a result of the continued viability of our SampleMD solution and the setup and integration fees for pharmaceutical manufacturers whom are participating within this offering. The bulk of our revenue for Q1 2014 came mainly from our core SampleMD solutions as opposed to our new consulting business. We expect revenues to increase on our consulting business for the rest of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to $1,471,958 for Q1 2014 from $733,969 for Q1 2013. Our major expenses for Q1 2014 were stock-based compensation of $421,577, a settlement expense with LDM for $400,000, salaries, wages and benefits of $349,096, professional fees of $92,553, general and administrative expenses of $89,264 and depreciation and amortization of $58,906. In comparison, our major expenses for Q1 2013 were salaries, wages and benefits of $375,071, general and administrative expenses of $218,794, professional fees of $53,098, depreciation and amortization of $48,111, and consulting fees of $20,407.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expenses increased in Q1 2014 as compared with Q1 2013 largely as a result of stock based compensation of $421,577 and a one-time settlement expenses of $400,000.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for Q1 2014 was $653,315, compared to net loss of $224,438, for Q1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2014, we had total current assets of $5,153,914 and total assets in the amount of $6,515,322. Our total current liabilities as of March 31, 2014 were $1,912,659. We had working capital of $3,241,255 as of March 31, 2014.</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activities provided $226,727 in cash for the three months ended March 31, 2014. Our decrease in accounts receivable of $455,585, stock-based compensation of $421,577, an increase in revenue share payable of $395,935, and an increase in deferred revenue of $164,462 were the primary components of our positive operating cash flow, offset mainly by our net loss of $653,315 and a decrease in accrued expenses of $134,042.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$109,272 during the three months ended March 31, 2014 largely as a result of patent rights and website development costs.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provided $2,795,032 during the three months ended March 31, 2104. 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there were no off balance sheet arrangements.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March 31, 2014. This evaluation was carried out under the supervision and with the participation of our Chief Executive Officer and our Chief Financial Officer. Based upon that evaluation, our Chief Executive Officer and Chief Financial Officer concluded that, as of March 31, 2014, our disclosure controls and procedures were not effective due to the presence of material weaknesses in internal control over financial reporting.</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2014, our disclosure controls and procedures were not effective: (i) inadequate segregation of duties and effective risk assessment; and (ii) insufficient written policies and procedures for accounting and financial reporting with respect to the requirements and application of both US GAAP and SEC guidelines.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company plans to take steps to enhance and improve the design of our internal controls over financial reporting. During the period covered by this quarterly report on Form 10-Q, we have not been able to remediate the material weaknesses identified above. To remediate such weaknesses, we plan to implement the following changes during our fiscal year ending December 31, 2014: (i) appoint additional qualified personnel to address inadequate segregation of duties and ineffective risk management; and (ii) adopt sufficient written policies and procedures for accounting and financial reporting.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12, 2014, we appointed a Chief Financial Officer with 23 years of public company experience. We hope that retaining this executive will assist in the remedial efforts to mitigate our material weaknesses.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2014 that have materially affected, or are reasonable likely to materially affect, our internal control over financial reporting.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 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January 9, 2014, we awarded 200,000 shares of stock to David Harrell, David Lester and Terry Hamilton from our 2013 Incentive Plan.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January 29, 2014, David Lester exercised 500,000 stock warrants using the cashless exercise feature. In exchange for the 500,000 warrants, 410,348 shares of common stock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we issued 10,000 shares to North Coast Advisors, our consultant, for services rendered.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17, 2014, we entered into a securities purchase agreement, pursuant to which we sold an aggregate of 8,333,333 shares of our common stock for $1.20 per share, or gross proceeds of $10,000,000.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Placement agents in the offering received commissions equal to approximately 9.7% of gross proceeds, for an aggregate commission of approximately</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$970,000, including reimbursements for their reasonable out of pocket expenses. Placement agents also received warrants to purchase up to 804,139 shares of our common stock with an exercise price of $1.20 per share and a term of 5 years. The agent warrants also provide for piggy-back registration rights.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267,500 stock options to five employees at exercise prices of $1.54 and $1.82.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10,000 stock options to a non-employee at exercise price of $1.85.</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May 1, 2014, we awarded cash bonuses and issued shares to the following officers of our company under our 2013 Equity Incentive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Officer</w:t>
            </w:r>
          </w:p>
        </w:tc>
        <w:tc>
          <w:tcPr>
            <w:tcW w:w="1920" w:type="dxa"/>
            <w:vAlign w:val="bottom"/>
            <w:gridSpan w:val="5"/>
          </w:tcPr>
          <w:p>
            <w:pPr>
              <w:ind w:left="400"/>
              <w:spacing w:after="0"/>
              <w:rPr>
                <w:sz w:val="20"/>
                <w:szCs w:val="20"/>
                <w:color w:val="auto"/>
              </w:rPr>
            </w:pPr>
            <w:r>
              <w:rPr>
                <w:rFonts w:ascii="Arial" w:cs="Arial" w:eastAsia="Arial" w:hAnsi="Arial"/>
                <w:sz w:val="18"/>
                <w:szCs w:val="18"/>
                <w:b w:val="1"/>
                <w:bCs w:val="1"/>
                <w:color w:val="auto"/>
              </w:rPr>
              <w:t>Cash Award</w:t>
            </w:r>
          </w:p>
        </w:tc>
        <w:tc>
          <w:tcPr>
            <w:tcW w:w="8240" w:type="dxa"/>
            <w:vAlign w:val="bottom"/>
            <w:gridSpan w:val="5"/>
          </w:tcPr>
          <w:p>
            <w:pPr>
              <w:spacing w:after="0"/>
              <w:rPr>
                <w:sz w:val="20"/>
                <w:szCs w:val="20"/>
                <w:color w:val="auto"/>
              </w:rPr>
            </w:pPr>
            <w:r>
              <w:rPr>
                <w:rFonts w:ascii="Arial" w:cs="Arial" w:eastAsia="Arial" w:hAnsi="Arial"/>
                <w:sz w:val="18"/>
                <w:szCs w:val="18"/>
                <w:b w:val="1"/>
                <w:bCs w:val="1"/>
                <w:color w:val="auto"/>
              </w:rPr>
              <w:t>Stock Award</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7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0" w:type="dxa"/>
            <w:vAlign w:val="bottom"/>
            <w:shd w:val="clear" w:color="auto" w:fill="CCEECC"/>
          </w:tcPr>
          <w:p>
            <w:pPr>
              <w:spacing w:after="0"/>
              <w:rPr>
                <w:sz w:val="17"/>
                <w:szCs w:val="17"/>
                <w:color w:val="auto"/>
              </w:rPr>
            </w:pPr>
          </w:p>
        </w:tc>
        <w:tc>
          <w:tcPr>
            <w:tcW w:w="1160" w:type="dxa"/>
            <w:vAlign w:val="bottom"/>
            <w:gridSpan w:val="4"/>
            <w:shd w:val="clear" w:color="auto" w:fill="CCEECC"/>
          </w:tcPr>
          <w:p>
            <w:pPr>
              <w:spacing w:after="0" w:line="201" w:lineRule="exact"/>
              <w:rPr>
                <w:sz w:val="20"/>
                <w:szCs w:val="20"/>
                <w:color w:val="auto"/>
              </w:rPr>
            </w:pPr>
            <w:r>
              <w:rPr>
                <w:rFonts w:ascii="Arial" w:cs="Arial" w:eastAsia="Arial" w:hAnsi="Arial"/>
                <w:sz w:val="18"/>
                <w:szCs w:val="18"/>
                <w:color w:val="auto"/>
              </w:rPr>
              <w:t>David Harrell</w:t>
            </w:r>
          </w:p>
        </w:tc>
        <w:tc>
          <w:tcPr>
            <w:tcW w:w="1340" w:type="dxa"/>
            <w:vAlign w:val="bottom"/>
            <w:gridSpan w:val="3"/>
            <w:shd w:val="clear" w:color="auto" w:fill="CCEECC"/>
          </w:tcPr>
          <w:p>
            <w:pPr>
              <w:ind w:left="400"/>
              <w:spacing w:after="0" w:line="201" w:lineRule="exact"/>
              <w:rPr>
                <w:sz w:val="20"/>
                <w:szCs w:val="20"/>
                <w:color w:val="auto"/>
              </w:rPr>
            </w:pPr>
            <w:r>
              <w:rPr>
                <w:rFonts w:ascii="Arial" w:cs="Arial" w:eastAsia="Arial" w:hAnsi="Arial"/>
                <w:sz w:val="18"/>
                <w:szCs w:val="18"/>
                <w:color w:val="auto"/>
              </w:rPr>
              <w:t>$100,000</w:t>
            </w:r>
          </w:p>
        </w:tc>
        <w:tc>
          <w:tcPr>
            <w:tcW w:w="3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00" w:type="dxa"/>
            <w:vAlign w:val="bottom"/>
            <w:gridSpan w:val="3"/>
            <w:shd w:val="clear" w:color="auto" w:fill="CCEECC"/>
          </w:tcPr>
          <w:p>
            <w:pPr>
              <w:spacing w:after="0" w:line="201" w:lineRule="exact"/>
              <w:rPr>
                <w:sz w:val="20"/>
                <w:szCs w:val="20"/>
                <w:color w:val="auto"/>
              </w:rPr>
            </w:pPr>
            <w:r>
              <w:rPr>
                <w:rFonts w:ascii="Arial" w:cs="Arial" w:eastAsia="Arial" w:hAnsi="Arial"/>
                <w:sz w:val="18"/>
                <w:szCs w:val="18"/>
                <w:color w:val="auto"/>
                <w:w w:val="95"/>
              </w:rPr>
              <w:t>100,000 restricted</w:t>
            </w:r>
          </w:p>
        </w:tc>
        <w:tc>
          <w:tcPr>
            <w:tcW w:w="67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EECC"/>
          </w:tcPr>
          <w:p>
            <w:pPr>
              <w:spacing w:after="0"/>
              <w:rPr>
                <w:sz w:val="20"/>
                <w:szCs w:val="20"/>
                <w:color w:val="auto"/>
              </w:rPr>
            </w:pPr>
          </w:p>
        </w:tc>
        <w:tc>
          <w:tcPr>
            <w:tcW w:w="5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4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00" w:type="dxa"/>
            <w:vAlign w:val="bottom"/>
            <w:shd w:val="clear" w:color="auto" w:fill="CCEECC"/>
          </w:tcPr>
          <w:p>
            <w:pPr>
              <w:spacing w:after="0"/>
              <w:rPr>
                <w:sz w:val="20"/>
                <w:szCs w:val="20"/>
                <w:color w:val="auto"/>
              </w:rPr>
            </w:pPr>
          </w:p>
        </w:tc>
        <w:tc>
          <w:tcPr>
            <w:tcW w:w="36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40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shares</w:t>
            </w:r>
          </w:p>
        </w:tc>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160" w:type="dxa"/>
            <w:vAlign w:val="bottom"/>
            <w:gridSpan w:val="4"/>
          </w:tcPr>
          <w:p>
            <w:pPr>
              <w:spacing w:after="0" w:line="201" w:lineRule="exact"/>
              <w:rPr>
                <w:sz w:val="20"/>
                <w:szCs w:val="20"/>
                <w:color w:val="auto"/>
              </w:rPr>
            </w:pPr>
            <w:r>
              <w:rPr>
                <w:rFonts w:ascii="Arial" w:cs="Arial" w:eastAsia="Arial" w:hAnsi="Arial"/>
                <w:sz w:val="18"/>
                <w:szCs w:val="18"/>
                <w:color w:val="auto"/>
              </w:rPr>
              <w:t>David Lester</w:t>
            </w:r>
          </w:p>
        </w:tc>
        <w:tc>
          <w:tcPr>
            <w:tcW w:w="134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$70,000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spacing w:after="0" w:line="201" w:lineRule="exact"/>
              <w:rPr>
                <w:sz w:val="20"/>
                <w:szCs w:val="20"/>
                <w:color w:val="auto"/>
              </w:rPr>
            </w:pPr>
            <w:r>
              <w:rPr>
                <w:rFonts w:ascii="Arial" w:cs="Arial" w:eastAsia="Arial" w:hAnsi="Arial"/>
                <w:sz w:val="18"/>
                <w:szCs w:val="18"/>
                <w:color w:val="auto"/>
              </w:rPr>
              <w:t>50,000 restricted</w:t>
            </w:r>
          </w:p>
        </w:tc>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5"/>
          </w:tcPr>
          <w:p>
            <w:pPr>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02"/>
        </w:trPr>
        <w:tc>
          <w:tcPr>
            <w:tcW w:w="100" w:type="dxa"/>
            <w:vAlign w:val="bottom"/>
            <w:shd w:val="clear" w:color="auto" w:fill="CCEECC"/>
          </w:tcPr>
          <w:p>
            <w:pPr>
              <w:spacing w:after="0"/>
              <w:rPr>
                <w:sz w:val="17"/>
                <w:szCs w:val="17"/>
                <w:color w:val="auto"/>
              </w:rPr>
            </w:pPr>
          </w:p>
        </w:tc>
        <w:tc>
          <w:tcPr>
            <w:tcW w:w="1160" w:type="dxa"/>
            <w:vAlign w:val="bottom"/>
            <w:gridSpan w:val="4"/>
            <w:shd w:val="clear" w:color="auto" w:fill="CCEECC"/>
          </w:tcPr>
          <w:p>
            <w:pPr>
              <w:spacing w:after="0" w:line="201" w:lineRule="exact"/>
              <w:rPr>
                <w:sz w:val="20"/>
                <w:szCs w:val="20"/>
                <w:color w:val="auto"/>
              </w:rPr>
            </w:pPr>
            <w:r>
              <w:rPr>
                <w:rFonts w:ascii="Arial" w:cs="Arial" w:eastAsia="Arial" w:hAnsi="Arial"/>
                <w:sz w:val="18"/>
                <w:szCs w:val="18"/>
                <w:color w:val="auto"/>
                <w:w w:val="96"/>
              </w:rPr>
              <w:t>Terry Hamilton</w:t>
            </w:r>
          </w:p>
        </w:tc>
        <w:tc>
          <w:tcPr>
            <w:tcW w:w="1340" w:type="dxa"/>
            <w:vAlign w:val="bottom"/>
            <w:gridSpan w:val="3"/>
            <w:shd w:val="clear" w:color="auto" w:fill="CCEECC"/>
          </w:tcPr>
          <w:p>
            <w:pPr>
              <w:ind w:left="400"/>
              <w:spacing w:after="0" w:line="201" w:lineRule="exact"/>
              <w:rPr>
                <w:sz w:val="20"/>
                <w:szCs w:val="20"/>
                <w:color w:val="auto"/>
              </w:rPr>
            </w:pPr>
            <w:r>
              <w:rPr>
                <w:rFonts w:ascii="Arial" w:cs="Arial" w:eastAsia="Arial" w:hAnsi="Arial"/>
                <w:sz w:val="18"/>
                <w:szCs w:val="18"/>
                <w:color w:val="auto"/>
              </w:rPr>
              <w:t>$70,000</w:t>
            </w:r>
          </w:p>
        </w:tc>
        <w:tc>
          <w:tcPr>
            <w:tcW w:w="3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00" w:type="dxa"/>
            <w:vAlign w:val="bottom"/>
            <w:gridSpan w:val="3"/>
            <w:shd w:val="clear" w:color="auto" w:fill="CCEECC"/>
          </w:tcPr>
          <w:p>
            <w:pPr>
              <w:spacing w:after="0" w:line="201" w:lineRule="exact"/>
              <w:rPr>
                <w:sz w:val="20"/>
                <w:szCs w:val="20"/>
                <w:color w:val="auto"/>
              </w:rPr>
            </w:pPr>
            <w:r>
              <w:rPr>
                <w:rFonts w:ascii="Arial" w:cs="Arial" w:eastAsia="Arial" w:hAnsi="Arial"/>
                <w:sz w:val="18"/>
                <w:szCs w:val="18"/>
                <w:color w:val="auto"/>
              </w:rPr>
              <w:t>50,000 restricted</w:t>
            </w:r>
          </w:p>
        </w:tc>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EECC"/>
          </w:tcPr>
          <w:p>
            <w:pPr>
              <w:spacing w:after="0"/>
              <w:rPr>
                <w:sz w:val="20"/>
                <w:szCs w:val="20"/>
                <w:color w:val="auto"/>
              </w:rPr>
            </w:pPr>
          </w:p>
        </w:tc>
        <w:tc>
          <w:tcPr>
            <w:tcW w:w="5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4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00" w:type="dxa"/>
            <w:vAlign w:val="bottom"/>
            <w:shd w:val="clear" w:color="auto" w:fill="CCEECC"/>
          </w:tcPr>
          <w:p>
            <w:pPr>
              <w:spacing w:after="0"/>
              <w:rPr>
                <w:sz w:val="20"/>
                <w:szCs w:val="20"/>
                <w:color w:val="auto"/>
              </w:rPr>
            </w:pPr>
          </w:p>
        </w:tc>
        <w:tc>
          <w:tcPr>
            <w:tcW w:w="36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40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shares</w:t>
            </w:r>
          </w:p>
        </w:tc>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gridSpan w:val="5"/>
          </w:tcPr>
          <w:p>
            <w:pPr>
              <w:spacing w:after="0"/>
              <w:rPr>
                <w:sz w:val="20"/>
                <w:szCs w:val="20"/>
                <w:color w:val="auto"/>
              </w:rPr>
            </w:pPr>
            <w:r>
              <w:rPr>
                <w:rFonts w:ascii="Arial" w:cs="Arial" w:eastAsia="Arial" w:hAnsi="Arial"/>
                <w:sz w:val="18"/>
                <w:szCs w:val="18"/>
                <w:b w:val="1"/>
                <w:bCs w:val="1"/>
                <w:color w:val="auto"/>
                <w:w w:val="93"/>
              </w:rPr>
              <w:t>Item 6. Exhibits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24"/>
                <w:szCs w:val="24"/>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Description of Exhibit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18 U.S.C. Section 1350, as adopted pursuant to Section 302 of the Sarbanes-Oxley Act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of 2002</w:t>
            </w: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of 2002</w:t>
            </w: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906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rPr>
              <w:t>The following materials from the Company’s Quarterly Report on Form 10-Q for the quarter ended March 31, 2014 formatted in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rPr>
              <w:t>Extensible Business Reporting Language (XBRL).</w:t>
            </w:r>
          </w:p>
        </w:tc>
        <w:tc>
          <w:tcPr>
            <w:tcW w:w="0" w:type="dxa"/>
            <w:vAlign w:val="bottom"/>
          </w:tcPr>
          <w:p>
            <w:pPr>
              <w:spacing w:after="0"/>
              <w:rPr>
                <w:sz w:val="1"/>
                <w:szCs w:val="1"/>
                <w:color w:val="auto"/>
              </w:rPr>
            </w:pPr>
          </w:p>
        </w:tc>
      </w:tr>
      <w:tr>
        <w:trPr>
          <w:trHeight w:val="230"/>
        </w:trPr>
        <w:tc>
          <w:tcPr>
            <w:tcW w:w="3180" w:type="dxa"/>
            <w:vAlign w:val="bottom"/>
            <w:gridSpan w:val="10"/>
          </w:tcPr>
          <w:p>
            <w:pPr>
              <w:spacing w:after="0"/>
              <w:rPr>
                <w:sz w:val="20"/>
                <w:szCs w:val="20"/>
                <w:color w:val="auto"/>
              </w:rPr>
            </w:pPr>
            <w:r>
              <w:rPr>
                <w:rFonts w:ascii="Arial" w:cs="Arial" w:eastAsia="Arial" w:hAnsi="Arial"/>
                <w:sz w:val="18"/>
                <w:szCs w:val="18"/>
                <w:color w:val="auto"/>
              </w:rPr>
              <w:t>**Provided herewith</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40" w:type="dxa"/>
            <w:vAlign w:val="bottom"/>
            <w:gridSpan w:val="4"/>
          </w:tcPr>
          <w:p>
            <w:pPr>
              <w:ind w:left="24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May 15, 2014</w:t>
            </w:r>
          </w:p>
        </w:tc>
      </w:tr>
      <w:tr>
        <w:trPr>
          <w:trHeight w:val="190"/>
        </w:trPr>
        <w:tc>
          <w:tcPr>
            <w:tcW w:w="660" w:type="dxa"/>
            <w:vAlign w:val="bottom"/>
          </w:tcPr>
          <w:p>
            <w:pPr>
              <w:spacing w:after="0"/>
              <w:rPr>
                <w:sz w:val="16"/>
                <w:szCs w:val="16"/>
                <w:color w:val="auto"/>
              </w:rPr>
            </w:pPr>
          </w:p>
        </w:tc>
        <w:tc>
          <w:tcPr>
            <w:tcW w:w="10760" w:type="dxa"/>
            <w:vAlign w:val="bottom"/>
            <w:gridSpan w:val="3"/>
          </w:tcPr>
          <w:p>
            <w:pPr>
              <w:ind w:left="260"/>
              <w:spacing w:after="0" w:line="190" w:lineRule="exact"/>
              <w:rPr>
                <w:sz w:val="20"/>
                <w:szCs w:val="20"/>
                <w:color w:val="auto"/>
              </w:rPr>
            </w:pPr>
            <w:r>
              <w:rPr>
                <w:rFonts w:ascii="Arial" w:cs="Arial" w:eastAsia="Arial" w:hAnsi="Arial"/>
                <w:sz w:val="18"/>
                <w:szCs w:val="18"/>
                <w:color w:val="auto"/>
              </w:rPr>
              <w:t>By: s/ David Harrell</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David Harrell</w:t>
            </w:r>
          </w:p>
        </w:tc>
      </w:tr>
      <w:tr>
        <w:trPr>
          <w:trHeight w:val="234"/>
        </w:trPr>
        <w:tc>
          <w:tcPr>
            <w:tcW w:w="660" w:type="dxa"/>
            <w:vAlign w:val="bottom"/>
          </w:tcPr>
          <w:p>
            <w:pPr>
              <w:spacing w:after="0"/>
              <w:rPr>
                <w:sz w:val="20"/>
                <w:szCs w:val="20"/>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Principal Executive Officer, and Director</w:t>
            </w:r>
          </w:p>
        </w:tc>
      </w:tr>
      <w:tr>
        <w:trPr>
          <w:trHeight w:val="405"/>
        </w:trPr>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10760" w:type="dxa"/>
            <w:vAlign w:val="bottom"/>
            <w:gridSpan w:val="3"/>
          </w:tcPr>
          <w:p>
            <w:pPr>
              <w:ind w:left="49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33" w:right="239"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25"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March 31, 2014 filed with the Securities and Exchange Commission (the “Report”), I, David Harrell, Chief Executive Officer of the Company, and I, H. David Lester,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David Harrell</w:t>
            </w:r>
          </w:p>
        </w:tc>
        <w:tc>
          <w:tcPr>
            <w:tcW w:w="1720" w:type="dxa"/>
            <w:vAlign w:val="bottom"/>
            <w:gridSpan w:val="2"/>
          </w:tcPr>
          <w:p>
            <w:pPr>
              <w:spacing w:after="0"/>
              <w:rPr>
                <w:sz w:val="17"/>
                <w:szCs w:val="17"/>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gridSpan w:val="3"/>
          </w:tcPr>
          <w:p>
            <w:pPr>
              <w:spacing w:after="0"/>
              <w:rPr>
                <w:sz w:val="20"/>
                <w:szCs w:val="20"/>
                <w:color w:val="auto"/>
              </w:rPr>
            </w:pPr>
            <w:r>
              <w:rPr>
                <w:rFonts w:ascii="Arial" w:cs="Arial" w:eastAsia="Arial" w:hAnsi="Arial"/>
                <w:sz w:val="18"/>
                <w:szCs w:val="18"/>
                <w:color w:val="auto"/>
              </w:rPr>
              <w:t>David Harrell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3"/>
          </w:tcPr>
          <w:p>
            <w:pPr>
              <w:spacing w:after="0"/>
              <w:rPr>
                <w:sz w:val="20"/>
                <w:szCs w:val="20"/>
                <w:color w:val="auto"/>
              </w:rPr>
            </w:pPr>
            <w:r>
              <w:rPr>
                <w:rFonts w:ascii="Arial" w:cs="Arial" w:eastAsia="Arial" w:hAnsi="Arial"/>
                <w:sz w:val="18"/>
                <w:szCs w:val="18"/>
                <w:color w:val="auto"/>
                <w:w w:val="93"/>
              </w:rPr>
              <w:t>Principal Executive Officer and Director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gridSpan w:val="3"/>
          </w:tcPr>
          <w:p>
            <w:pPr>
              <w:spacing w:after="0"/>
              <w:rPr>
                <w:sz w:val="20"/>
                <w:szCs w:val="20"/>
                <w:color w:val="auto"/>
              </w:rPr>
            </w:pPr>
            <w:r>
              <w:rPr>
                <w:rFonts w:ascii="Arial" w:cs="Arial" w:eastAsia="Arial" w:hAnsi="Arial"/>
                <w:sz w:val="18"/>
                <w:szCs w:val="18"/>
                <w:color w:val="auto"/>
              </w:rPr>
              <w:t>May 15, 2014</w:t>
            </w: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13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1"/>
              </w:rPr>
              <w:t>/s/ H. David Lester</w:t>
            </w:r>
          </w:p>
        </w:tc>
        <w:tc>
          <w:tcPr>
            <w:tcW w:w="1560" w:type="dxa"/>
            <w:vAlign w:val="bottom"/>
          </w:tcPr>
          <w:p>
            <w:pPr>
              <w:spacing w:after="0"/>
              <w:rPr>
                <w:sz w:val="16"/>
                <w:szCs w:val="16"/>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gridSpan w:val="3"/>
          </w:tcPr>
          <w:p>
            <w:pPr>
              <w:spacing w:after="0"/>
              <w:rPr>
                <w:sz w:val="20"/>
                <w:szCs w:val="20"/>
                <w:color w:val="auto"/>
              </w:rPr>
            </w:pPr>
            <w:r>
              <w:rPr>
                <w:rFonts w:ascii="Arial" w:cs="Arial" w:eastAsia="Arial" w:hAnsi="Arial"/>
                <w:sz w:val="18"/>
                <w:szCs w:val="18"/>
                <w:color w:val="auto"/>
              </w:rPr>
              <w:t>H. David Lester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3"/>
          </w:tcPr>
          <w:p>
            <w:pPr>
              <w:spacing w:after="0"/>
              <w:rPr>
                <w:sz w:val="20"/>
                <w:szCs w:val="20"/>
                <w:color w:val="auto"/>
              </w:rPr>
            </w:pPr>
            <w:r>
              <w:rPr>
                <w:rFonts w:ascii="Arial" w:cs="Arial" w:eastAsia="Arial" w:hAnsi="Arial"/>
                <w:sz w:val="18"/>
                <w:szCs w:val="18"/>
                <w:color w:val="auto"/>
                <w:w w:val="95"/>
              </w:rPr>
              <w:t>Principal Financial Officer and Director</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gridSpan w:val="3"/>
          </w:tcPr>
          <w:p>
            <w:pPr>
              <w:spacing w:after="0"/>
              <w:rPr>
                <w:sz w:val="20"/>
                <w:szCs w:val="20"/>
                <w:color w:val="auto"/>
              </w:rPr>
            </w:pPr>
            <w:r>
              <w:rPr>
                <w:rFonts w:ascii="Arial" w:cs="Arial" w:eastAsia="Arial" w:hAnsi="Arial"/>
                <w:sz w:val="18"/>
                <w:szCs w:val="18"/>
                <w:color w:val="auto"/>
              </w:rPr>
              <w:t>May 15, 2014</w:t>
            </w:r>
          </w:p>
        </w:tc>
      </w:tr>
    </w:tbl>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2019-12-07T20:08:05Z</dcterms:created>
  <dcterms:modified xsi:type="dcterms:W3CDTF">2019-12-07T20:08:05Z</dcterms:modified>
</cp:coreProperties>
</file>