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20"/>
        <w:spacing w:after="0"/>
        <w:tabs>
          <w:tab w:leader="none" w:pos="20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22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OptimizeRx Corporation, a Nevada corporation (“</w:t>
      </w:r>
      <w:r>
        <w:rPr>
          <w:rFonts w:ascii="Times New Roman" w:cs="Times New Roman" w:eastAsia="Times New Roman" w:hAnsi="Times New Roman"/>
          <w:sz w:val="18"/>
          <w:szCs w:val="18"/>
          <w:u w:val="single" w:color="auto"/>
          <w:color w:val="auto"/>
        </w:rPr>
        <w:t>OptimizeRx</w:t>
      </w:r>
      <w:r>
        <w:rPr>
          <w:rFonts w:ascii="Times New Roman" w:cs="Times New Roman" w:eastAsia="Times New Roman" w:hAnsi="Times New Roman"/>
          <w:sz w:val="18"/>
          <w:szCs w:val="18"/>
          <w:color w:val="auto"/>
        </w:rPr>
        <w:t>”), is filing materials contained in this Schedule 14A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connection with OptimizeRx’s solicitation of proxies from its stockholders in connection with its 2025 Annual Meeting of Stockholders and at any and all adjournments, postponements, continuations, and reschedulings thereof (the “</w:t>
      </w:r>
      <w:r>
        <w:rPr>
          <w:rFonts w:ascii="Times New Roman" w:cs="Times New Roman" w:eastAsia="Times New Roman" w:hAnsi="Times New Roman"/>
          <w:sz w:val="18"/>
          <w:szCs w:val="18"/>
          <w:u w:val="single" w:color="auto"/>
          <w:color w:val="auto"/>
        </w:rPr>
        <w:t>2025 Annual Meeting</w:t>
      </w:r>
      <w:r>
        <w:rPr>
          <w:rFonts w:ascii="Times New Roman" w:cs="Times New Roman" w:eastAsia="Times New Roman" w:hAnsi="Times New Roman"/>
          <w:sz w:val="18"/>
          <w:szCs w:val="18"/>
          <w:color w:val="auto"/>
        </w:rPr>
        <w:t>”). OptimizeRx has not filed a preliminary or definitive proxy statement with the SEC in connection with its solicitation of proxies to be used at the 2025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 Issued on March 11,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Attached hereto is a press release issued by OptimizeRx on March 11, 2025. This press release is being filed herewith because it may be deemed to be solicitation material in connection with OptimizeRx’s solicitation of proxies to be used at the 2025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OptimIzeRx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plans to file proxy materials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connection with the solicitation of proxies for the Company's 2025 annual meeting of stockholders (the “</w:t>
      </w:r>
      <w:r>
        <w:rPr>
          <w:rFonts w:ascii="Times New Roman" w:cs="Times New Roman" w:eastAsia="Times New Roman" w:hAnsi="Times New Roman"/>
          <w:sz w:val="18"/>
          <w:szCs w:val="18"/>
          <w:u w:val="single" w:color="auto"/>
          <w:color w:val="auto"/>
        </w:rPr>
        <w:t>2025 Annual Meeting</w:t>
      </w:r>
      <w:r>
        <w:rPr>
          <w:rFonts w:ascii="Times New Roman" w:cs="Times New Roman" w:eastAsia="Times New Roman" w:hAnsi="Times New Roman"/>
          <w:sz w:val="18"/>
          <w:szCs w:val="18"/>
          <w:color w:val="auto"/>
        </w:rPr>
        <w:t>”). Prior to the 2025 Annual Meeting, the Company will file a definitive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together with a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STOCKHOLDERS ARE URGED TO READ THE PROXY STATEMENT (INCLUDING ANY AMENDMENTS OR SUPPLEMENTS THERETO) AND ANY OTHER RELEVANT DOCUMENTS THAT THE COMPANY WILL FILE WITH THE SEC CAREFULLY AND IN THEIR ENTIRETY WHEN THEY BECOME AVAILABLE BECAUSE THEY WILL CONTAIN IMPORTANT INFORMATION. Stockholders will be able to obtain, free of charge, copies of the Proxy Statement, any amendments or supplements thereto, and any other documents (including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when filed by the Company with the SEC at the SEC's website (http://www.sec.gov) or at the Company's website at https://www.optimizerx.com/ or by contacting Andy D’Silva, SVP - Finance, by email at adsilva@optimizerx.com or by mail at OptimizeRx Corporation, 260 Charles Street, Suite 302, Waltham, MA 02453.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Company, its directors, certain of its executive officers, and other employees may be deemed to be “participants” (as defined in Section 14(a) of the Securities Exchange Act of 1934, as amended) in the solicitation of proxies from stockholders in connection with the 2025 Annual Meeting. Additional information regarding the identity of these participants and their direct or indirect interests, by security holdings or otherwise, will be set forth in the Proxy Statement and other materials to be filed with the SEC in connection with the 2025 Annual Meeting. Information relating to the foregoing can also be found in the Company's definitive proxy statement for its 2024 annual meeting of stockholders, filed with the SEC on </w:t>
      </w:r>
      <w:hyperlink r:id="rId15">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auto"/>
        </w:rPr>
        <w:t xml:space="preserve">. To the extent holdings of such participants in the Company's securities have changed since the amounts described in the 2024 proxy statement, such changes have been reflected in the following Statements of Change in Beneficial Ownership on Form 4 filed with the SEC with respect to the Company: Form 4, filed </w:t>
      </w:r>
      <w:hyperlink r:id="rId16">
        <w:r>
          <w:rPr>
            <w:rFonts w:ascii="Times New Roman" w:cs="Times New Roman" w:eastAsia="Times New Roman" w:hAnsi="Times New Roman"/>
            <w:sz w:val="18"/>
            <w:szCs w:val="18"/>
            <w:color w:val="auto"/>
          </w:rPr>
          <w:t xml:space="preserve">by Stephen L. Silvestro on </w:t>
        </w:r>
        <w:r>
          <w:rPr>
            <w:rFonts w:ascii="Times New Roman" w:cs="Times New Roman" w:eastAsia="Times New Roman" w:hAnsi="Times New Roman"/>
            <w:sz w:val="18"/>
            <w:szCs w:val="18"/>
            <w:u w:val="single" w:color="auto"/>
            <w:color w:val="0000EE"/>
          </w:rPr>
          <w:t>March 4, 2025</w:t>
        </w:r>
        <w:r>
          <w:rPr>
            <w:rFonts w:ascii="Times New Roman" w:cs="Times New Roman" w:eastAsia="Times New Roman" w:hAnsi="Times New Roman"/>
            <w:sz w:val="18"/>
            <w:szCs w:val="18"/>
            <w:color w:val="auto"/>
          </w:rPr>
          <w:t xml:space="preserve">; Form 4, filed by Stephen L. Silvestro on </w:t>
        </w:r>
        <w:r>
          <w:rPr>
            <w:rFonts w:ascii="Times New Roman" w:cs="Times New Roman" w:eastAsia="Times New Roman" w:hAnsi="Times New Roman"/>
            <w:sz w:val="18"/>
            <w:szCs w:val="18"/>
            <w:u w:val="single" w:color="auto"/>
            <w:color w:val="0000EE"/>
          </w:rPr>
          <w:t>February 20, 2025</w:t>
        </w:r>
        <w:r>
          <w:rPr>
            <w:rFonts w:ascii="Times New Roman" w:cs="Times New Roman" w:eastAsia="Times New Roman" w:hAnsi="Times New Roman"/>
            <w:sz w:val="18"/>
            <w:szCs w:val="18"/>
            <w:color w:val="auto"/>
          </w:rPr>
          <w:t xml:space="preserve">; Form 4, filed by Edward Stelmakh on </w:t>
        </w:r>
        <w:r>
          <w:rPr>
            <w:rFonts w:ascii="Times New Roman" w:cs="Times New Roman" w:eastAsia="Times New Roman" w:hAnsi="Times New Roman"/>
            <w:sz w:val="18"/>
            <w:szCs w:val="18"/>
            <w:u w:val="single" w:color="auto"/>
            <w:color w:val="0000EE"/>
          </w:rPr>
          <w:t>February 20,</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Form 4, filed by Cathy Klema on</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February 4, 2025</w:t>
        </w:r>
      </w:hyperlink>
      <w:hyperlink r:id="rId16">
        <w:r>
          <w:rPr>
            <w:rFonts w:ascii="Times New Roman" w:cs="Times New Roman" w:eastAsia="Times New Roman" w:hAnsi="Times New Roman"/>
            <w:sz w:val="18"/>
            <w:szCs w:val="18"/>
            <w:color w:val="000000"/>
          </w:rPr>
          <w:t>; Form 4/A, filed by Edward Stelmakh on</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December 27, 2024</w:t>
        </w:r>
      </w:hyperlink>
      <w:hyperlink r:id="rId16">
        <w:r>
          <w:rPr>
            <w:rFonts w:ascii="Times New Roman" w:cs="Times New Roman" w:eastAsia="Times New Roman" w:hAnsi="Times New Roman"/>
            <w:sz w:val="18"/>
            <w:szCs w:val="18"/>
            <w:color w:val="000000"/>
          </w:rPr>
          <w:t>; Form 4, filed by Stephen L.</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Silvestro on </w:t>
      </w:r>
      <w:hyperlink r:id="rId19">
        <w:r>
          <w:rPr>
            <w:rFonts w:ascii="Times New Roman" w:cs="Times New Roman" w:eastAsia="Times New Roman" w:hAnsi="Times New Roman"/>
            <w:sz w:val="18"/>
            <w:szCs w:val="18"/>
            <w:u w:val="single" w:color="auto"/>
            <w:color w:val="0000EE"/>
          </w:rPr>
          <w:t>December 27, 2024</w:t>
        </w:r>
      </w:hyperlink>
      <w:r>
        <w:rPr>
          <w:rFonts w:ascii="Times New Roman" w:cs="Times New Roman" w:eastAsia="Times New Roman" w:hAnsi="Times New Roman"/>
          <w:sz w:val="18"/>
          <w:szCs w:val="18"/>
          <w:color w:val="000000"/>
        </w:rPr>
        <w:t xml:space="preserve">; Form 4, filed by Edward Stelmakh on </w:t>
      </w:r>
      <w:hyperlink r:id="rId20">
        <w:r>
          <w:rPr>
            <w:rFonts w:ascii="Times New Roman" w:cs="Times New Roman" w:eastAsia="Times New Roman" w:hAnsi="Times New Roman"/>
            <w:sz w:val="18"/>
            <w:szCs w:val="18"/>
            <w:u w:val="single" w:color="auto"/>
            <w:color w:val="0000EE"/>
          </w:rPr>
          <w:t>December 27, 2024</w:t>
        </w:r>
      </w:hyperlink>
      <w:r>
        <w:rPr>
          <w:rFonts w:ascii="Times New Roman" w:cs="Times New Roman" w:eastAsia="Times New Roman" w:hAnsi="Times New Roman"/>
          <w:sz w:val="18"/>
          <w:szCs w:val="18"/>
          <w:color w:val="000000"/>
        </w:rPr>
        <w:t xml:space="preserve">; Form 4, filed by Edward Stelmakh on </w:t>
      </w:r>
      <w:hyperlink r:id="rId21">
        <w:r>
          <w:rPr>
            <w:rFonts w:ascii="Times New Roman" w:cs="Times New Roman" w:eastAsia="Times New Roman" w:hAnsi="Times New Roman"/>
            <w:sz w:val="18"/>
            <w:szCs w:val="18"/>
            <w:u w:val="single" w:color="auto"/>
            <w:color w:val="0000EE"/>
          </w:rPr>
          <w:t>December 20, 2024</w:t>
        </w:r>
      </w:hyperlink>
      <w:r>
        <w:rPr>
          <w:rFonts w:ascii="Times New Roman" w:cs="Times New Roman" w:eastAsia="Times New Roman" w:hAnsi="Times New Roman"/>
          <w:sz w:val="18"/>
          <w:szCs w:val="18"/>
          <w:color w:val="000000"/>
        </w:rPr>
        <w:t xml:space="preserve">; Form 4, filed by Stephen L. Silvestro on </w:t>
      </w:r>
      <w:hyperlink r:id="rId22">
        <w:r>
          <w:rPr>
            <w:rFonts w:ascii="Times New Roman" w:cs="Times New Roman" w:eastAsia="Times New Roman" w:hAnsi="Times New Roman"/>
            <w:sz w:val="18"/>
            <w:szCs w:val="18"/>
            <w:u w:val="single" w:color="auto"/>
            <w:color w:val="0000EE"/>
          </w:rPr>
          <w:t>December 20, 2024</w:t>
        </w:r>
      </w:hyperlink>
      <w:r>
        <w:rPr>
          <w:rFonts w:ascii="Times New Roman" w:cs="Times New Roman" w:eastAsia="Times New Roman" w:hAnsi="Times New Roman"/>
          <w:sz w:val="18"/>
          <w:szCs w:val="18"/>
          <w:color w:val="000000"/>
        </w:rPr>
        <w:t xml:space="preserve">; Form 4, filed by Edward Stelmakh on </w:t>
      </w:r>
      <w:hyperlink r:id="rId23">
        <w:r>
          <w:rPr>
            <w:rFonts w:ascii="Times New Roman" w:cs="Times New Roman" w:eastAsia="Times New Roman" w:hAnsi="Times New Roman"/>
            <w:sz w:val="18"/>
            <w:szCs w:val="18"/>
            <w:u w:val="single" w:color="auto"/>
            <w:color w:val="0000EE"/>
          </w:rPr>
          <w:t>October 15, 2024</w:t>
        </w:r>
      </w:hyperlink>
      <w:r>
        <w:rPr>
          <w:rFonts w:ascii="Times New Roman" w:cs="Times New Roman" w:eastAsia="Times New Roman" w:hAnsi="Times New Roman"/>
          <w:sz w:val="18"/>
          <w:szCs w:val="18"/>
          <w:color w:val="000000"/>
        </w:rPr>
        <w:t xml:space="preserve">; Form 4, filed by Stephen L. Silvestro on </w:t>
      </w:r>
      <w:hyperlink r:id="rId24">
        <w:r>
          <w:rPr>
            <w:rFonts w:ascii="Times New Roman" w:cs="Times New Roman" w:eastAsia="Times New Roman" w:hAnsi="Times New Roman"/>
            <w:sz w:val="18"/>
            <w:szCs w:val="18"/>
            <w:u w:val="single" w:color="auto"/>
            <w:color w:val="0000EE"/>
          </w:rPr>
          <w:t>October 7, 2024</w:t>
        </w:r>
      </w:hyperlink>
      <w:r>
        <w:rPr>
          <w:rFonts w:ascii="Times New Roman" w:cs="Times New Roman" w:eastAsia="Times New Roman" w:hAnsi="Times New Roman"/>
          <w:sz w:val="18"/>
          <w:szCs w:val="18"/>
          <w:color w:val="000000"/>
        </w:rPr>
        <w:t xml:space="preserve">; Form 4, filed by Edward Stelmakh on </w:t>
      </w:r>
      <w:hyperlink r:id="rId25">
        <w:r>
          <w:rPr>
            <w:rFonts w:ascii="Times New Roman" w:cs="Times New Roman" w:eastAsia="Times New Roman" w:hAnsi="Times New Roman"/>
            <w:sz w:val="18"/>
            <w:szCs w:val="18"/>
            <w:u w:val="single" w:color="auto"/>
            <w:color w:val="0000EE"/>
          </w:rPr>
          <w:t>October 7, 2024</w:t>
        </w:r>
      </w:hyperlink>
      <w:r>
        <w:rPr>
          <w:rFonts w:ascii="Times New Roman" w:cs="Times New Roman" w:eastAsia="Times New Roman" w:hAnsi="Times New Roman"/>
          <w:sz w:val="18"/>
          <w:szCs w:val="18"/>
          <w:color w:val="000000"/>
        </w:rPr>
        <w:t xml:space="preserve">; Form 4, filed by Gregory D. Wasson on </w:t>
      </w:r>
      <w:hyperlink r:id="rId26">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 filed by Cathy Klema on </w:t>
      </w:r>
      <w:hyperlink r:id="rId27">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 filed by Ellen O’Connor Vos on </w:t>
      </w:r>
      <w:hyperlink r:id="rId28">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 filed by James Paul Lang on </w:t>
      </w:r>
      <w:hyperlink r:id="rId29">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 filed by Patrick Spangler on </w:t>
      </w:r>
      <w:hyperlink r:id="rId30">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4/A, filed by Stephen L. Silvestro on </w:t>
      </w:r>
      <w:hyperlink r:id="rId31">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000000"/>
        </w:rPr>
        <w:t xml:space="preserve">; Form 4, filed by Stephen L. Silvestro on </w:t>
      </w:r>
      <w:hyperlink r:id="rId32">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000000"/>
        </w:rPr>
        <w:t xml:space="preserve">; and Form 4/A, filed by Stephen L. Silvestro on </w:t>
      </w:r>
      <w:hyperlink r:id="rId33">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000000"/>
        </w:rPr>
        <w:t>. These filings can be found at the SEC's website at www.sec.gov. More detailed and updated information regarding the identity of participants in the solicitation, and their direct or indirect interests (by security holdings or otherwise), will be set forth in the Proxy Statement and other materials to be filed with the SEC. These documents can be obtained free of charge from the sources indicated above.</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2668270</wp:posOffset>
            </wp:positionH>
            <wp:positionV relativeFrom="page">
              <wp:posOffset>586105</wp:posOffset>
            </wp:positionV>
            <wp:extent cx="221170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211705" cy="4286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OptimizeRx Corporation Confirms Receipt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of Notice of Director Nominations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Required at this Time</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WALTHAM, MA – March 11, 2025 – </w:t>
      </w:r>
      <w:r>
        <w:rPr>
          <w:rFonts w:ascii="Times New Roman" w:cs="Times New Roman" w:eastAsia="Times New Roman" w:hAnsi="Times New Roman"/>
          <w:sz w:val="18"/>
          <w:szCs w:val="18"/>
          <w:color w:val="auto"/>
        </w:rPr>
        <w:t>OptimizeRx Corp. (the “Company”) (Nasdaq: OPRX), a leading provider of healthcare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life sciences companies reach and engage healthcare professionals (HCPs) and patients, today confirmed that it has received a purported notice of nominations from a stockholder, Whetstone Capital Advisors, LLC, regarding its intention to nominate two candidates for election to the OptimizeRx Board of Directors at the Company’s 2025 Annual Meeting of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OptimizeRx Board of Directors will make its formal recommendation regarding director nominations in the Company’s definitive proxy statement which will be filed with the Securities and Exchange Commission and mailed to stockholders eligible to vote at the Company’s 2025 Annual Meeting of Stockholders, which has not yet been scheduled.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in this press release that reflect the Company's expectations, assumptions, projections, beliefs or opinions about the future, other than statements of historical fact, are forward-looking statements. Because such statements are subject to risks and uncertainties, actual results may differ materially from those expressed or implied by such forward-looking statements. These forward-looking statements are based upon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year ended December 31, 2023,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OptimIzeRx Corporation (the “Company”) plans to file proxy materials with the U.S. Securities and Exchange Commission (the “SEC”) in connection with the solicitation of proxies for the Company's 2025 annual meeting of stockholders (the “2025 Annual Meeting”). Prior to the 2025 Annual Meeting, the Company will file a definitive proxy statement (the “Proxy Statement”) together with a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STOCKHOLDERS ARE URGED TO READ THE PROXY STATEMENT (INCLUDING ANY AMENDMENTS OR SUPPLEMENTS THERETO) AND ANY OTHER RELEVANT DOCUMENTS THAT THE COMPANY WILL FILE WITH THE SEC CAREFULLY AND IN THEIR ENTIRETY WHEN THEY BECOME AVAILABLE BECAUSE THEY WILL CONTAIN IMPORTANT INFORMATION. Stockholders will be able to obtain, free of charge, copies of the Proxy Statement, any amendments or supplements thereto and any other documents (including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when filed by the Company with the SEC at the SEC's website (http://www.sec.gov) or at the Company's website at https://www.optimizerx.com/ or by contacting Andy D’Silva, SVP - Finance, by email at adsilva@optimizerx.com or by mail at OptimizeRx Corporation, 260 Charles Street, Suite 302, Waltham, MA 02453.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Company, its directors, certain of its executive officers, and other employees may be deemed to be “participants” (as defined in Section 14(a) of the Securities Exchange Act of 1934, as amended) in the solicitation of proxies from stockholders in connection with the 2025 Annual Meeting. Additional information regarding the identity of these participants and their direct or indirect interests, by security holdings or otherwise, will be set forth in the Proxy Statement and other materials to be filed with the SEC in connection with the 2025 Annual Meeting. Information relating to the foregoing can also be found in the Company's definitive proxy statement for its 2024 annual meeting of stockholders, filed with the SEC on </w:t>
      </w:r>
      <w:hyperlink r:id="rId15">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auto"/>
        </w:rPr>
        <w:t xml:space="preserve">. To the extent holdings of such participants in the Company's securities have changed since the amounts described in the 2024 proxy statement, such changes have been reflected in the following Statements of Change in Beneficial Ownership on Form 4 filed with the SEC with respect to the Company: Form 4, filed </w:t>
      </w:r>
      <w:hyperlink r:id="rId16">
        <w:r>
          <w:rPr>
            <w:rFonts w:ascii="Times New Roman" w:cs="Times New Roman" w:eastAsia="Times New Roman" w:hAnsi="Times New Roman"/>
            <w:sz w:val="18"/>
            <w:szCs w:val="18"/>
            <w:color w:val="auto"/>
          </w:rPr>
          <w:t xml:space="preserve">by Stephen L. Silvestro on </w:t>
        </w:r>
        <w:r>
          <w:rPr>
            <w:rFonts w:ascii="Times New Roman" w:cs="Times New Roman" w:eastAsia="Times New Roman" w:hAnsi="Times New Roman"/>
            <w:sz w:val="18"/>
            <w:szCs w:val="18"/>
            <w:u w:val="single" w:color="auto"/>
            <w:color w:val="0000EE"/>
          </w:rPr>
          <w:t>March 4, 2025</w:t>
        </w:r>
        <w:r>
          <w:rPr>
            <w:rFonts w:ascii="Times New Roman" w:cs="Times New Roman" w:eastAsia="Times New Roman" w:hAnsi="Times New Roman"/>
            <w:sz w:val="18"/>
            <w:szCs w:val="18"/>
            <w:color w:val="auto"/>
          </w:rPr>
          <w:t xml:space="preserve">; Form 4, filed by Stephen L. Silvestro on </w:t>
        </w:r>
        <w:r>
          <w:rPr>
            <w:rFonts w:ascii="Times New Roman" w:cs="Times New Roman" w:eastAsia="Times New Roman" w:hAnsi="Times New Roman"/>
            <w:sz w:val="18"/>
            <w:szCs w:val="18"/>
            <w:u w:val="single" w:color="auto"/>
            <w:color w:val="0000EE"/>
          </w:rPr>
          <w:t>February 20, 2025</w:t>
        </w:r>
        <w:r>
          <w:rPr>
            <w:rFonts w:ascii="Times New Roman" w:cs="Times New Roman" w:eastAsia="Times New Roman" w:hAnsi="Times New Roman"/>
            <w:sz w:val="18"/>
            <w:szCs w:val="18"/>
            <w:color w:val="auto"/>
          </w:rPr>
          <w:t xml:space="preserve">; Form 4, filed by Edward Stelmakh on </w:t>
        </w:r>
        <w:r>
          <w:rPr>
            <w:rFonts w:ascii="Times New Roman" w:cs="Times New Roman" w:eastAsia="Times New Roman" w:hAnsi="Times New Roman"/>
            <w:sz w:val="18"/>
            <w:szCs w:val="18"/>
            <w:u w:val="single" w:color="auto"/>
            <w:color w:val="0000EE"/>
          </w:rPr>
          <w:t>February 20,</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Form 4, filed by Cathy Klema on</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February 4, 2025</w:t>
        </w:r>
      </w:hyperlink>
      <w:hyperlink r:id="rId16">
        <w:r>
          <w:rPr>
            <w:rFonts w:ascii="Times New Roman" w:cs="Times New Roman" w:eastAsia="Times New Roman" w:hAnsi="Times New Roman"/>
            <w:sz w:val="18"/>
            <w:szCs w:val="18"/>
            <w:color w:val="000000"/>
          </w:rPr>
          <w:t>; Form 4/A, filed by Edward Stelmakh on</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December 27, 2024</w:t>
        </w:r>
      </w:hyperlink>
      <w:hyperlink r:id="rId16">
        <w:r>
          <w:rPr>
            <w:rFonts w:ascii="Times New Roman" w:cs="Times New Roman" w:eastAsia="Times New Roman" w:hAnsi="Times New Roman"/>
            <w:sz w:val="18"/>
            <w:szCs w:val="18"/>
            <w:color w:val="000000"/>
          </w:rPr>
          <w:t>; Form 4, filed by Stephen L.</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Silvestro on </w:t>
      </w:r>
      <w:hyperlink r:id="rId19">
        <w:r>
          <w:rPr>
            <w:rFonts w:ascii="Times New Roman" w:cs="Times New Roman" w:eastAsia="Times New Roman" w:hAnsi="Times New Roman"/>
            <w:sz w:val="18"/>
            <w:szCs w:val="18"/>
            <w:u w:val="single" w:color="auto"/>
            <w:color w:val="0000EE"/>
          </w:rPr>
          <w:t>December 27, 2024</w:t>
        </w:r>
      </w:hyperlink>
      <w:r>
        <w:rPr>
          <w:rFonts w:ascii="Times New Roman" w:cs="Times New Roman" w:eastAsia="Times New Roman" w:hAnsi="Times New Roman"/>
          <w:sz w:val="18"/>
          <w:szCs w:val="18"/>
          <w:color w:val="000000"/>
        </w:rPr>
        <w:t xml:space="preserve">; Form 4, filed by Edward Stelmakh on </w:t>
      </w:r>
      <w:hyperlink r:id="rId20">
        <w:r>
          <w:rPr>
            <w:rFonts w:ascii="Times New Roman" w:cs="Times New Roman" w:eastAsia="Times New Roman" w:hAnsi="Times New Roman"/>
            <w:sz w:val="18"/>
            <w:szCs w:val="18"/>
            <w:u w:val="single" w:color="auto"/>
            <w:color w:val="0000EE"/>
          </w:rPr>
          <w:t>December 27, 2024</w:t>
        </w:r>
      </w:hyperlink>
      <w:r>
        <w:rPr>
          <w:rFonts w:ascii="Times New Roman" w:cs="Times New Roman" w:eastAsia="Times New Roman" w:hAnsi="Times New Roman"/>
          <w:sz w:val="18"/>
          <w:szCs w:val="18"/>
          <w:color w:val="000000"/>
        </w:rPr>
        <w:t xml:space="preserve">; Form 4, filed by Edward Stelmakh on </w:t>
      </w:r>
      <w:hyperlink r:id="rId21">
        <w:r>
          <w:rPr>
            <w:rFonts w:ascii="Times New Roman" w:cs="Times New Roman" w:eastAsia="Times New Roman" w:hAnsi="Times New Roman"/>
            <w:sz w:val="18"/>
            <w:szCs w:val="18"/>
            <w:u w:val="single" w:color="auto"/>
            <w:color w:val="0000EE"/>
          </w:rPr>
          <w:t>December 20, 2024</w:t>
        </w:r>
      </w:hyperlink>
      <w:r>
        <w:rPr>
          <w:rFonts w:ascii="Times New Roman" w:cs="Times New Roman" w:eastAsia="Times New Roman" w:hAnsi="Times New Roman"/>
          <w:sz w:val="18"/>
          <w:szCs w:val="18"/>
          <w:color w:val="000000"/>
        </w:rPr>
        <w:t xml:space="preserve">; Form 4, filed by Stephen L. Silvestro on </w:t>
      </w:r>
      <w:hyperlink r:id="rId22">
        <w:r>
          <w:rPr>
            <w:rFonts w:ascii="Times New Roman" w:cs="Times New Roman" w:eastAsia="Times New Roman" w:hAnsi="Times New Roman"/>
            <w:sz w:val="18"/>
            <w:szCs w:val="18"/>
            <w:u w:val="single" w:color="auto"/>
            <w:color w:val="0000EE"/>
          </w:rPr>
          <w:t>December 20, 2024</w:t>
        </w:r>
      </w:hyperlink>
      <w:r>
        <w:rPr>
          <w:rFonts w:ascii="Times New Roman" w:cs="Times New Roman" w:eastAsia="Times New Roman" w:hAnsi="Times New Roman"/>
          <w:sz w:val="18"/>
          <w:szCs w:val="18"/>
          <w:color w:val="000000"/>
        </w:rPr>
        <w:t xml:space="preserve">; Form 4, filed by Edward Stelmakh on </w:t>
      </w:r>
      <w:hyperlink r:id="rId23">
        <w:r>
          <w:rPr>
            <w:rFonts w:ascii="Times New Roman" w:cs="Times New Roman" w:eastAsia="Times New Roman" w:hAnsi="Times New Roman"/>
            <w:sz w:val="18"/>
            <w:szCs w:val="18"/>
            <w:u w:val="single" w:color="auto"/>
            <w:color w:val="0000EE"/>
          </w:rPr>
          <w:t>October 15, 2024</w:t>
        </w:r>
      </w:hyperlink>
      <w:r>
        <w:rPr>
          <w:rFonts w:ascii="Times New Roman" w:cs="Times New Roman" w:eastAsia="Times New Roman" w:hAnsi="Times New Roman"/>
          <w:sz w:val="18"/>
          <w:szCs w:val="18"/>
          <w:color w:val="000000"/>
        </w:rPr>
        <w:t xml:space="preserve">; Form 4, filed by Stephen L. Silvestro on </w:t>
      </w:r>
      <w:hyperlink r:id="rId24">
        <w:r>
          <w:rPr>
            <w:rFonts w:ascii="Times New Roman" w:cs="Times New Roman" w:eastAsia="Times New Roman" w:hAnsi="Times New Roman"/>
            <w:sz w:val="18"/>
            <w:szCs w:val="18"/>
            <w:u w:val="single" w:color="auto"/>
            <w:color w:val="0000EE"/>
          </w:rPr>
          <w:t>October 7, 2024</w:t>
        </w:r>
      </w:hyperlink>
      <w:r>
        <w:rPr>
          <w:rFonts w:ascii="Times New Roman" w:cs="Times New Roman" w:eastAsia="Times New Roman" w:hAnsi="Times New Roman"/>
          <w:sz w:val="18"/>
          <w:szCs w:val="18"/>
          <w:color w:val="000000"/>
        </w:rPr>
        <w:t xml:space="preserve">; Form 4, filed by Edward Stelmakh on </w:t>
      </w:r>
      <w:hyperlink r:id="rId25">
        <w:r>
          <w:rPr>
            <w:rFonts w:ascii="Times New Roman" w:cs="Times New Roman" w:eastAsia="Times New Roman" w:hAnsi="Times New Roman"/>
            <w:sz w:val="18"/>
            <w:szCs w:val="18"/>
            <w:u w:val="single" w:color="auto"/>
            <w:color w:val="0000EE"/>
          </w:rPr>
          <w:t>October 7, 2024</w:t>
        </w:r>
      </w:hyperlink>
      <w:r>
        <w:rPr>
          <w:rFonts w:ascii="Times New Roman" w:cs="Times New Roman" w:eastAsia="Times New Roman" w:hAnsi="Times New Roman"/>
          <w:sz w:val="18"/>
          <w:szCs w:val="18"/>
          <w:color w:val="000000"/>
        </w:rPr>
        <w:t xml:space="preserve">; Form 4, filed by Gregory D. Wasson on </w:t>
      </w:r>
      <w:hyperlink r:id="rId26">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 filed by Cathy Klema on </w:t>
      </w:r>
      <w:hyperlink r:id="rId27">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 filed by Ellen O’Connor Vos on </w:t>
      </w:r>
      <w:hyperlink r:id="rId28">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 filed by James Paul Lang on </w:t>
      </w:r>
      <w:hyperlink r:id="rId29">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 filed by Patrick Spangler on </w:t>
      </w:r>
      <w:hyperlink r:id="rId30">
        <w:r>
          <w:rPr>
            <w:rFonts w:ascii="Times New Roman" w:cs="Times New Roman" w:eastAsia="Times New Roman" w:hAnsi="Times New Roman"/>
            <w:sz w:val="18"/>
            <w:szCs w:val="18"/>
            <w:u w:val="single" w:color="auto"/>
            <w:color w:val="0000EE"/>
          </w:rPr>
          <w:t>June 11, 2024</w:t>
        </w:r>
      </w:hyperlink>
      <w:r>
        <w:rPr>
          <w:rFonts w:ascii="Times New Roman" w:cs="Times New Roman" w:eastAsia="Times New Roman" w:hAnsi="Times New Roman"/>
          <w:sz w:val="18"/>
          <w:szCs w:val="18"/>
          <w:color w:val="000000"/>
        </w:rPr>
        <w:t xml:space="preserve">; Form 4/A, filed by Stephen L. Silvestro on </w:t>
      </w:r>
      <w:hyperlink r:id="rId31">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000000"/>
        </w:rPr>
        <w:t xml:space="preserve">; Form 4, filed by Stephen L. Silvestro on </w:t>
      </w:r>
      <w:hyperlink r:id="rId32">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000000"/>
        </w:rPr>
        <w:t xml:space="preserve">; and Form 4/A, filed by Stephen L. Silvestro on </w:t>
      </w:r>
      <w:hyperlink r:id="rId33">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000000"/>
        </w:rPr>
        <w:t>. These filings can be found at the SEC's website at www.sec.gov. More detailed and updated information regarding the identity of participants in the solicitation, and their direct or indirect interests (by security holdings or otherwise), will be set forth in the Proxy Statement and other materials to be filed with the SEC. These documents can be obtained free of charge from the sources indicated above.</w:t>
      </w:r>
    </w:p>
    <w:p>
      <w:pPr>
        <w:spacing w:after="0" w:line="189"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color w:val="auto"/>
        </w:rPr>
        <w:t>Andy D’Silva, SVP Corporate Finance  </w:t>
      </w:r>
    </w:p>
    <w:p>
      <w:pPr>
        <w:spacing w:after="0" w:line="9"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color w:val="auto"/>
        </w:rPr>
        <w:t>adsilva@optimizerx.com </w:t>
      </w:r>
    </w:p>
    <w:p>
      <w:pPr>
        <w:spacing w:after="0" w:line="203"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color w:val="auto"/>
        </w:rPr>
        <w:t>Sandya von der Weid</w:t>
      </w:r>
    </w:p>
    <w:p>
      <w:pPr>
        <w:spacing w:after="0" w:line="9"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color w:val="auto"/>
        </w:rPr>
        <w:t>svonderweid@lifesciadvisors.com</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image" Target="media/image9.jpeg"/><Relationship Id="rId36" Type="http://schemas.openxmlformats.org/officeDocument/2006/relationships/image" Target="media/image10.png"/><Relationship Id="rId37" Type="http://schemas.openxmlformats.org/officeDocument/2006/relationships/image" Target="media/image11.png"/><Relationship Id="rId15" Type="http://schemas.openxmlformats.org/officeDocument/2006/relationships/hyperlink" Target="https://www.sec.gov/Archives/edgar/data/1448431/000121390024036855/ea0204731-01.htm" TargetMode="External"/><Relationship Id="rId16" Type="http://schemas.openxmlformats.org/officeDocument/2006/relationships/hyperlink" Target="https://www.sec.gov/Archives/edgar/data/1887046/000162828025006691/xslF345X05/wk-form4_1740076800.xml" TargetMode="External"/><Relationship Id="rId17" Type="http://schemas.openxmlformats.org/officeDocument/2006/relationships/hyperlink" Target="https://www.sec.gov/Archives/edgar/data/1181157/000162828025003855/xslF345X05/wk-form4_1738713024.xml" TargetMode="External"/><Relationship Id="rId18" Type="http://schemas.openxmlformats.org/officeDocument/2006/relationships/hyperlink" Target="https://www.sec.gov/Archives/edgar/data/1887046/000162828024052517/xslF345X05/wk-form4a_1735335531.xml" TargetMode="External"/><Relationship Id="rId19" Type="http://schemas.openxmlformats.org/officeDocument/2006/relationships/hyperlink" Target="https://www.sec.gov/Archives/edgar/data/1773461/000162828024052490/xslF345X05/wk-form4_1735330727.xml" TargetMode="External"/><Relationship Id="rId20" Type="http://schemas.openxmlformats.org/officeDocument/2006/relationships/hyperlink" Target="https://www.sec.gov/Archives/edgar/data/1887046/000162828024052522/xslF345X05/wk-form4_1735336822.xml" TargetMode="External"/><Relationship Id="rId21" Type="http://schemas.openxmlformats.org/officeDocument/2006/relationships/hyperlink" Target="https://www.sec.gov/Archives/edgar/data/1887046/000162828024052284/xslF345X05/wk-form4_1734741993.xml" TargetMode="External"/><Relationship Id="rId22" Type="http://schemas.openxmlformats.org/officeDocument/2006/relationships/hyperlink" Target="https://www.sec.gov/Archives/edgar/data/1773461/000162828024052286/xslF345X05/wk-form4_1734742056.xml" TargetMode="External"/><Relationship Id="rId23" Type="http://schemas.openxmlformats.org/officeDocument/2006/relationships/hyperlink" Target="https://www.sec.gov/Archives/edgar/data/1887046/000162828024042848/xslF345X05/wk-form4_1729025612.xml" TargetMode="External"/><Relationship Id="rId24" Type="http://schemas.openxmlformats.org/officeDocument/2006/relationships/hyperlink" Target="https://www.sec.gov/Archives/edgar/data/1773461/000162828024042475/xslF345X05/wk-form4_1728350678.xml" TargetMode="External"/><Relationship Id="rId25" Type="http://schemas.openxmlformats.org/officeDocument/2006/relationships/hyperlink" Target="https://www.sec.gov/Archives/edgar/data/1887046/000162828024042477/xslF345X05/wk-form4_1728351009.xml" TargetMode="External"/><Relationship Id="rId26" Type="http://schemas.openxmlformats.org/officeDocument/2006/relationships/hyperlink" Target="https://www.sec.gov/Archives/edgar/data/1188827/000162828024027714/xslF345X05/wk-form4_1718142520.xml" TargetMode="External"/><Relationship Id="rId27" Type="http://schemas.openxmlformats.org/officeDocument/2006/relationships/hyperlink" Target="https://www.sec.gov/Archives/edgar/data/1181157/000162828024027710/xslF345X05/wk-form4_1718142449.xml" TargetMode="External"/><Relationship Id="rId28" Type="http://schemas.openxmlformats.org/officeDocument/2006/relationships/hyperlink" Target="https://www.sec.gov/Archives/edgar/data/1534357/000162828024027715/xslF345X05/wk-form4_1718142583.xml" TargetMode="External"/><Relationship Id="rId29" Type="http://schemas.openxmlformats.org/officeDocument/2006/relationships/hyperlink" Target="https://www.sec.gov/Archives/edgar/data/1703090/000162828024027709/xslF345X05/wk-form4_1718142412.xml" TargetMode="External"/><Relationship Id="rId30" Type="http://schemas.openxmlformats.org/officeDocument/2006/relationships/hyperlink" Target="https://www.sec.gov/Archives/edgar/data/1296525/000162828024027716/xslF345X05/wk-form4_1718142621.xml" TargetMode="External"/><Relationship Id="rId31" Type="http://schemas.openxmlformats.org/officeDocument/2006/relationships/hyperlink" Target="https://www.sec.gov/Archives/edgar/data/1773461/000162828024020819/xslF345X05/wk-form4a_1715045619.xml" TargetMode="External"/><Relationship Id="rId32" Type="http://schemas.openxmlformats.org/officeDocument/2006/relationships/hyperlink" Target="https://www.sec.gov/Archives/edgar/data/1773461/000162828024020821/xslF345X05/wk-form4_1715045740.xml" TargetMode="External"/><Relationship Id="rId33" Type="http://schemas.openxmlformats.org/officeDocument/2006/relationships/hyperlink" Target="https://www.sec.gov/Archives/edgar/data/1773461/000162828024020817/xslF345X05/wk-form4a_1715045531.x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2025-03-11T06:51:14Z</dcterms:created>
  <dcterms:modified xsi:type="dcterms:W3CDTF">2025-03-11T06:51:14Z</dcterms:modified>
</cp:coreProperties>
</file>