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OPTIMIZERX CORPORATION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68401U105</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Barry L. Fischer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Thompson Coburn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55 East Monroe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3700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Chicago, IL 60603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(312) 346-7500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October 26, 2015</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right="120" w:firstLine="456"/>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(f) or (g),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13d-7(b)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being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8" w:lineRule="exact"/>
        <w:rPr>
          <w:sz w:val="24"/>
          <w:szCs w:val="24"/>
          <w:color w:val="auto"/>
        </w:rPr>
      </w:pPr>
    </w:p>
    <w:p>
      <w:pPr>
        <w:ind w:left="460" w:right="14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40" w:firstLine="456"/>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68401U105</w:t>
      </w:r>
    </w:p>
    <w:p>
      <w:pPr>
        <w:spacing w:after="0" w:line="144"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61658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6165850"/>
                    </a:xfrm>
                    <a:prstGeom prst="rect">
                      <a:avLst/>
                    </a:prstGeom>
                    <a:noFill/>
                  </pic:spPr>
                </pic:pic>
              </a:graphicData>
            </a:graphic>
          </wp:anchor>
        </w:drawing>
      </w:r>
    </w:p>
    <w:p>
      <w:pPr>
        <w:spacing w:after="0" w:line="225" w:lineRule="exact"/>
        <w:rPr>
          <w:sz w:val="20"/>
          <w:szCs w:val="20"/>
          <w:color w:val="auto"/>
        </w:rPr>
      </w:pPr>
    </w:p>
    <w:p>
      <w:pPr>
        <w:ind w:left="520" w:right="860"/>
        <w:spacing w:after="0" w:line="246" w:lineRule="auto"/>
        <w:rPr>
          <w:sz w:val="20"/>
          <w:szCs w:val="20"/>
          <w:color w:val="auto"/>
        </w:rPr>
      </w:pPr>
      <w:r>
        <w:rPr>
          <w:rFonts w:ascii="Arial" w:cs="Arial" w:eastAsia="Arial" w:hAnsi="Arial"/>
          <w:sz w:val="22"/>
          <w:szCs w:val="22"/>
          <w:color w:val="auto"/>
        </w:rPr>
        <w:t>Individual Retirement Accounts for the benefit of Ronald L. Chez, the Chez Family Foundation and Ronald L. Chez Individually</w:t>
      </w:r>
    </w:p>
    <w:tbl>
      <w:tblPr>
        <w:tblLayout w:type="fixed"/>
        <w:tblInd w:w="0" w:type="dxa"/>
        <w:tblCellMar>
          <w:top w:w="0" w:type="dxa"/>
          <w:left w:w="0" w:type="dxa"/>
          <w:bottom w:w="0" w:type="dxa"/>
          <w:right w:w="0" w:type="dxa"/>
        </w:tblCellMar>
      </w:tblPr>
      <w:tr>
        <w:trPr>
          <w:trHeight w:val="185"/>
        </w:trPr>
        <w:tc>
          <w:tcPr>
            <w:tcW w:w="420" w:type="dxa"/>
            <w:vAlign w:val="bottom"/>
          </w:tcPr>
          <w:p>
            <w:pPr>
              <w:jc w:val="right"/>
              <w:spacing w:after="0" w:line="185" w:lineRule="exact"/>
              <w:rPr>
                <w:sz w:val="20"/>
                <w:szCs w:val="20"/>
                <w:color w:val="auto"/>
              </w:rPr>
            </w:pPr>
            <w:r>
              <w:rPr>
                <w:rFonts w:ascii="Arial" w:cs="Arial" w:eastAsia="Arial" w:hAnsi="Arial"/>
                <w:sz w:val="18"/>
                <w:szCs w:val="18"/>
                <w:color w:val="auto"/>
              </w:rPr>
              <w:t>2</w:t>
            </w:r>
          </w:p>
        </w:tc>
        <w:tc>
          <w:tcPr>
            <w:tcW w:w="11020" w:type="dxa"/>
            <w:vAlign w:val="bottom"/>
            <w:gridSpan w:val="4"/>
          </w:tcPr>
          <w:p>
            <w:pPr>
              <w:ind w:left="100"/>
              <w:spacing w:after="0" w:line="185"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74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(b)</w:t>
            </w:r>
          </w:p>
        </w:tc>
        <w:tc>
          <w:tcPr>
            <w:tcW w:w="984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spacing w:after="0"/>
              <w:rPr>
                <w:sz w:val="20"/>
                <w:szCs w:val="20"/>
                <w:color w:val="auto"/>
              </w:rPr>
            </w:pPr>
          </w:p>
        </w:tc>
        <w:tc>
          <w:tcPr>
            <w:tcW w:w="9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180" w:type="dxa"/>
            <w:vAlign w:val="bottom"/>
            <w:gridSpan w:val="3"/>
          </w:tcPr>
          <w:p>
            <w:pPr>
              <w:ind w:left="100"/>
              <w:spacing w:after="0"/>
              <w:rPr>
                <w:sz w:val="20"/>
                <w:szCs w:val="20"/>
                <w:color w:val="auto"/>
              </w:rPr>
            </w:pPr>
            <w:r>
              <w:rPr>
                <w:rFonts w:ascii="Arial" w:cs="Arial" w:eastAsia="Arial" w:hAnsi="Arial"/>
                <w:sz w:val="18"/>
                <w:szCs w:val="18"/>
                <w:color w:val="auto"/>
                <w:w w:val="97"/>
              </w:rPr>
              <w:t>SEC use only</w:t>
            </w:r>
          </w:p>
        </w:tc>
        <w:tc>
          <w:tcPr>
            <w:tcW w:w="9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0" w:type="dxa"/>
            <w:vAlign w:val="bottom"/>
            <w:tcBorders>
              <w:bottom w:val="single" w:sz="8" w:color="auto"/>
            </w:tcBorders>
          </w:tcPr>
          <w:p>
            <w:pPr>
              <w:spacing w:after="0"/>
              <w:rPr>
                <w:sz w:val="21"/>
                <w:szCs w:val="21"/>
                <w:color w:val="auto"/>
              </w:rPr>
            </w:pPr>
          </w:p>
        </w:tc>
        <w:tc>
          <w:tcPr>
            <w:tcW w:w="1102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1020" w:type="dxa"/>
            <w:vAlign w:val="bottom"/>
            <w:gridSpan w:val="4"/>
          </w:tcPr>
          <w:p>
            <w:pPr>
              <w:ind w:left="1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PF</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11020" w:type="dxa"/>
            <w:vAlign w:val="bottom"/>
            <w:gridSpan w:val="4"/>
          </w:tcPr>
          <w:p>
            <w:pPr>
              <w:ind w:left="100"/>
              <w:spacing w:after="0" w:line="207" w:lineRule="exact"/>
              <w:rPr>
                <w:sz w:val="20"/>
                <w:szCs w:val="20"/>
                <w:color w:val="auto"/>
              </w:rPr>
            </w:pPr>
            <w:r>
              <w:rPr>
                <w:rFonts w:ascii="Arial" w:cs="Arial" w:eastAsia="Arial" w:hAnsi="Arial"/>
                <w:sz w:val="18"/>
                <w:szCs w:val="18"/>
                <w:color w:val="auto"/>
              </w:rPr>
              <w:t xml:space="preserve">Check box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20" w:type="dxa"/>
            <w:vAlign w:val="bottom"/>
            <w:tcBorders>
              <w:bottom w:val="single" w:sz="8" w:color="auto"/>
            </w:tcBorders>
          </w:tcPr>
          <w:p>
            <w:pPr>
              <w:spacing w:after="0"/>
              <w:rPr>
                <w:sz w:val="16"/>
                <w:szCs w:val="16"/>
                <w:color w:val="auto"/>
              </w:rPr>
            </w:pPr>
          </w:p>
        </w:tc>
        <w:tc>
          <w:tcPr>
            <w:tcW w:w="11020" w:type="dxa"/>
            <w:vAlign w:val="bottom"/>
            <w:tcBorders>
              <w:bottom w:val="single" w:sz="8" w:color="auto"/>
            </w:tcBorders>
            <w:gridSpan w:val="4"/>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1102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United States of America</w:t>
            </w:r>
          </w:p>
        </w:tc>
        <w:tc>
          <w:tcPr>
            <w:tcW w:w="0" w:type="dxa"/>
            <w:vAlign w:val="bottom"/>
          </w:tcPr>
          <w:p>
            <w:pPr>
              <w:spacing w:after="0"/>
              <w:rPr>
                <w:sz w:val="1"/>
                <w:szCs w:val="1"/>
                <w:color w:val="auto"/>
              </w:rPr>
            </w:pPr>
          </w:p>
        </w:tc>
      </w:tr>
      <w:tr>
        <w:trPr>
          <w:trHeight w:val="226"/>
        </w:trPr>
        <w:tc>
          <w:tcPr>
            <w:tcW w:w="42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98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16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2"/>
              </w:rPr>
              <w:t>Number of</w:t>
            </w:r>
          </w:p>
        </w:tc>
        <w:tc>
          <w:tcPr>
            <w:tcW w:w="3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840" w:type="dxa"/>
            <w:vAlign w:val="bottom"/>
          </w:tcPr>
          <w:p>
            <w:pPr>
              <w:ind w:left="240"/>
              <w:spacing w:after="0"/>
              <w:rPr>
                <w:sz w:val="20"/>
                <w:szCs w:val="20"/>
                <w:color w:val="auto"/>
              </w:rPr>
            </w:pPr>
            <w:r>
              <w:rPr>
                <w:rFonts w:ascii="Arial" w:cs="Arial" w:eastAsia="Arial" w:hAnsi="Arial"/>
                <w:sz w:val="22"/>
                <w:szCs w:val="22"/>
                <w:color w:val="auto"/>
              </w:rPr>
              <w:t>2,721,976</w:t>
            </w:r>
          </w:p>
        </w:tc>
        <w:tc>
          <w:tcPr>
            <w:tcW w:w="0" w:type="dxa"/>
            <w:vAlign w:val="bottom"/>
          </w:tcPr>
          <w:p>
            <w:pPr>
              <w:spacing w:after="0"/>
              <w:rPr>
                <w:sz w:val="1"/>
                <w:szCs w:val="1"/>
                <w:color w:val="auto"/>
              </w:rPr>
            </w:pPr>
          </w:p>
        </w:tc>
      </w:tr>
      <w:tr>
        <w:trPr>
          <w:trHeight w:val="41"/>
        </w:trPr>
        <w:tc>
          <w:tcPr>
            <w:tcW w:w="420" w:type="dxa"/>
            <w:vAlign w:val="bottom"/>
          </w:tcPr>
          <w:p>
            <w:pPr>
              <w:spacing w:after="0"/>
              <w:rPr>
                <w:sz w:val="3"/>
                <w:szCs w:val="3"/>
                <w:color w:val="auto"/>
              </w:rPr>
            </w:pPr>
          </w:p>
        </w:tc>
        <w:tc>
          <w:tcPr>
            <w:tcW w:w="740" w:type="dxa"/>
            <w:vAlign w:val="bottom"/>
            <w:tcBorders>
              <w:right w:val="single" w:sz="8" w:color="auto"/>
            </w:tcBorders>
            <w:vMerge w:val="restart"/>
          </w:tcPr>
          <w:p>
            <w:pPr>
              <w:jc w:val="center"/>
              <w:ind w:right="185"/>
              <w:spacing w:after="0"/>
              <w:rPr>
                <w:sz w:val="20"/>
                <w:szCs w:val="20"/>
                <w:color w:val="auto"/>
              </w:rPr>
            </w:pPr>
            <w:r>
              <w:rPr>
                <w:rFonts w:ascii="Arial" w:cs="Arial" w:eastAsia="Arial" w:hAnsi="Arial"/>
                <w:sz w:val="18"/>
                <w:szCs w:val="18"/>
                <w:color w:val="auto"/>
                <w:w w:val="85"/>
              </w:rPr>
              <w:t>shares</w:t>
            </w:r>
          </w:p>
        </w:tc>
        <w:tc>
          <w:tcPr>
            <w:tcW w:w="36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740" w:type="dxa"/>
            <w:vAlign w:val="bottom"/>
            <w:tcBorders>
              <w:right w:val="single" w:sz="8" w:color="auto"/>
            </w:tcBorders>
            <w:vMerge w:val="continue"/>
          </w:tcPr>
          <w:p>
            <w:pPr>
              <w:spacing w:after="0"/>
              <w:rPr>
                <w:sz w:val="13"/>
                <w:szCs w:val="13"/>
                <w:color w:val="auto"/>
              </w:rPr>
            </w:pPr>
          </w:p>
        </w:tc>
        <w:tc>
          <w:tcPr>
            <w:tcW w:w="36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80" w:type="dxa"/>
            <w:vAlign w:val="bottom"/>
          </w:tcPr>
          <w:p>
            <w:pPr>
              <w:spacing w:after="0"/>
              <w:rPr>
                <w:sz w:val="13"/>
                <w:szCs w:val="13"/>
                <w:color w:val="auto"/>
              </w:rPr>
            </w:pPr>
          </w:p>
        </w:tc>
        <w:tc>
          <w:tcPr>
            <w:tcW w:w="9840" w:type="dxa"/>
            <w:vAlign w:val="bottom"/>
          </w:tcPr>
          <w:p>
            <w:pPr>
              <w:ind w:left="2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16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6"/>
              </w:rPr>
              <w:t>beneficially</w:t>
            </w:r>
          </w:p>
        </w:tc>
        <w:tc>
          <w:tcPr>
            <w:tcW w:w="3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0"/>
              </w:rPr>
              <w:t>owned by</w:t>
            </w:r>
          </w:p>
        </w:tc>
        <w:tc>
          <w:tcPr>
            <w:tcW w:w="3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40" w:type="dxa"/>
            <w:vAlign w:val="bottom"/>
            <w:vMerge w:val="restart"/>
          </w:tcPr>
          <w:p>
            <w:pPr>
              <w:ind w:left="2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21"/>
        </w:trPr>
        <w:tc>
          <w:tcPr>
            <w:tcW w:w="420" w:type="dxa"/>
            <w:vAlign w:val="bottom"/>
          </w:tcPr>
          <w:p>
            <w:pPr>
              <w:spacing w:after="0"/>
              <w:rPr>
                <w:sz w:val="10"/>
                <w:szCs w:val="10"/>
                <w:color w:val="auto"/>
              </w:rPr>
            </w:pPr>
          </w:p>
        </w:tc>
        <w:tc>
          <w:tcPr>
            <w:tcW w:w="740" w:type="dxa"/>
            <w:vAlign w:val="bottom"/>
            <w:tcBorders>
              <w:right w:val="single" w:sz="8" w:color="auto"/>
            </w:tcBorders>
            <w:vMerge w:val="restart"/>
          </w:tcPr>
          <w:p>
            <w:pPr>
              <w:jc w:val="center"/>
              <w:ind w:right="185"/>
              <w:spacing w:after="0"/>
              <w:rPr>
                <w:sz w:val="20"/>
                <w:szCs w:val="20"/>
                <w:color w:val="auto"/>
              </w:rPr>
            </w:pPr>
            <w:r>
              <w:rPr>
                <w:rFonts w:ascii="Arial" w:cs="Arial" w:eastAsia="Arial" w:hAnsi="Arial"/>
                <w:sz w:val="18"/>
                <w:szCs w:val="18"/>
                <w:color w:val="auto"/>
                <w:w w:val="86"/>
              </w:rPr>
              <w:t>each</w:t>
            </w:r>
          </w:p>
        </w:tc>
        <w:tc>
          <w:tcPr>
            <w:tcW w:w="36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8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20" w:type="dxa"/>
            <w:vAlign w:val="bottom"/>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6"/>
                <w:szCs w:val="6"/>
                <w:color w:val="auto"/>
              </w:rPr>
            </w:pPr>
          </w:p>
        </w:tc>
        <w:tc>
          <w:tcPr>
            <w:tcW w:w="984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60" w:type="dxa"/>
            <w:vAlign w:val="bottom"/>
            <w:tcBorders>
              <w:right w:val="single" w:sz="8" w:color="auto"/>
            </w:tcBorders>
            <w:gridSpan w:val="2"/>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36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9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60" w:type="dxa"/>
            <w:vAlign w:val="bottom"/>
            <w:tcBorders>
              <w:right w:val="single" w:sz="8" w:color="auto"/>
            </w:tcBorders>
            <w:gridSpan w:val="2"/>
            <w:vMerge w:val="continue"/>
          </w:tcPr>
          <w:p>
            <w:pPr>
              <w:spacing w:after="0"/>
              <w:rPr>
                <w:sz w:val="5"/>
                <w:szCs w:val="5"/>
                <w:color w:val="auto"/>
              </w:rPr>
            </w:pPr>
          </w:p>
        </w:tc>
        <w:tc>
          <w:tcPr>
            <w:tcW w:w="36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40" w:type="dxa"/>
            <w:vAlign w:val="bottom"/>
            <w:tcBorders>
              <w:right w:val="single" w:sz="8" w:color="auto"/>
            </w:tcBorders>
          </w:tcPr>
          <w:p>
            <w:pPr>
              <w:jc w:val="center"/>
              <w:ind w:right="165"/>
              <w:spacing w:after="0"/>
              <w:rPr>
                <w:sz w:val="20"/>
                <w:szCs w:val="20"/>
                <w:color w:val="auto"/>
              </w:rPr>
            </w:pPr>
            <w:r>
              <w:rPr>
                <w:rFonts w:ascii="Arial" w:cs="Arial" w:eastAsia="Arial" w:hAnsi="Arial"/>
                <w:sz w:val="18"/>
                <w:szCs w:val="18"/>
                <w:color w:val="auto"/>
                <w:w w:val="87"/>
              </w:rPr>
              <w:t>person</w:t>
            </w:r>
          </w:p>
        </w:tc>
        <w:tc>
          <w:tcPr>
            <w:tcW w:w="3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40" w:type="dxa"/>
            <w:vAlign w:val="bottom"/>
            <w:vMerge w:val="restart"/>
          </w:tcPr>
          <w:p>
            <w:pPr>
              <w:ind w:left="240"/>
              <w:spacing w:after="0"/>
              <w:rPr>
                <w:sz w:val="20"/>
                <w:szCs w:val="20"/>
                <w:color w:val="auto"/>
              </w:rPr>
            </w:pPr>
            <w:r>
              <w:rPr>
                <w:rFonts w:ascii="Arial" w:cs="Arial" w:eastAsia="Arial" w:hAnsi="Arial"/>
                <w:sz w:val="22"/>
                <w:szCs w:val="22"/>
                <w:color w:val="auto"/>
              </w:rPr>
              <w:t>2,721,976</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40" w:type="dxa"/>
            <w:vAlign w:val="bottom"/>
            <w:tcBorders>
              <w:right w:val="single" w:sz="8" w:color="auto"/>
            </w:tcBorders>
          </w:tcPr>
          <w:p>
            <w:pPr>
              <w:jc w:val="center"/>
              <w:ind w:right="165"/>
              <w:spacing w:after="0" w:line="203" w:lineRule="exact"/>
              <w:rPr>
                <w:sz w:val="20"/>
                <w:szCs w:val="20"/>
                <w:color w:val="auto"/>
              </w:rPr>
            </w:pPr>
            <w:r>
              <w:rPr>
                <w:rFonts w:ascii="Arial" w:cs="Arial" w:eastAsia="Arial" w:hAnsi="Arial"/>
                <w:sz w:val="18"/>
                <w:szCs w:val="18"/>
                <w:color w:val="auto"/>
                <w:w w:val="99"/>
              </w:rPr>
              <w:t>with</w:t>
            </w:r>
          </w:p>
        </w:tc>
        <w:tc>
          <w:tcPr>
            <w:tcW w:w="36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2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984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ind w:left="2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1020" w:type="dxa"/>
            <w:vAlign w:val="bottom"/>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3"/>
          </w:tcPr>
          <w:p>
            <w:pPr>
              <w:ind w:left="320"/>
              <w:spacing w:after="0"/>
              <w:rPr>
                <w:sz w:val="20"/>
                <w:szCs w:val="20"/>
                <w:color w:val="auto"/>
              </w:rPr>
            </w:pPr>
            <w:r>
              <w:rPr>
                <w:rFonts w:ascii="Arial" w:cs="Arial" w:eastAsia="Arial" w:hAnsi="Arial"/>
                <w:sz w:val="22"/>
                <w:szCs w:val="22"/>
                <w:color w:val="auto"/>
                <w:w w:val="85"/>
              </w:rPr>
              <w:t>2,721,976</w:t>
            </w: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020" w:type="dxa"/>
            <w:vAlign w:val="bottom"/>
            <w:gridSpan w:val="4"/>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2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92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102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9.1%</w:t>
            </w:r>
            <w:r>
              <w:rPr>
                <w:rFonts w:ascii="Arial" w:cs="Arial" w:eastAsia="Arial" w:hAnsi="Arial"/>
                <w:sz w:val="18"/>
                <w:szCs w:val="18"/>
                <w:color w:val="auto"/>
              </w:rPr>
              <w:t>(1)</w:t>
            </w:r>
          </w:p>
        </w:tc>
        <w:tc>
          <w:tcPr>
            <w:tcW w:w="8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102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IN</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5"/>
          <w:szCs w:val="15"/>
          <w:color w:val="auto"/>
        </w:rPr>
      </w:pPr>
      <w:r>
        <w:rPr>
          <w:rFonts w:ascii="Arial" w:cs="Arial" w:eastAsia="Arial" w:hAnsi="Arial"/>
          <w:sz w:val="18"/>
          <w:szCs w:val="18"/>
          <w:color w:val="auto"/>
        </w:rPr>
        <w:t>See Item 5.</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40"/>
          </w:cols>
          <w:pgMar w:left="240" w:top="274" w:right="219" w:bottom="1440" w:gutter="0" w:footer="0" w:header="0"/>
        </w:sectPr>
      </w:pPr>
    </w:p>
    <w:bookmarkStart w:id="2" w:name="page3"/>
    <w:bookmarkEnd w:id="2"/>
    <w:p>
      <w:pPr>
        <w:ind w:right="8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Rule 13d-2 of Regulation 13D-G of the General Rules and Regulations under the Securities Exchange Act of 1934, as amended, the undersigned Ronald L. Chez (the “Reporting Person”) hereby amends his statement on Schedule 13D dated as of February 5, 2015 as amended by Amendment No. 1 to Schedule 13D dated March 25, 2015 (collectively, the “Schedule 13D”). This Statement constitutes Amendment No. 2 to the Schedule 13D. Unless otherwise indicated herein, there are no material changes to the information set forth in the Schedule 13D.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Interest in Securities of the Issuer </w:t>
      </w:r>
      <w:r>
        <w:rPr>
          <w:rFonts w:ascii="Arial" w:cs="Arial" w:eastAsia="Arial" w:hAnsi="Arial"/>
          <w:sz w:val="18"/>
          <w:szCs w:val="18"/>
          <w:color w:val="auto"/>
        </w:rPr>
        <w:t>is hereby amended and restated in its entirety as follows:</w:t>
      </w:r>
    </w:p>
    <w:p>
      <w:pPr>
        <w:spacing w:after="0" w:line="121" w:lineRule="exact"/>
        <w:rPr>
          <w:sz w:val="20"/>
          <w:szCs w:val="20"/>
          <w:color w:val="auto"/>
        </w:rPr>
      </w:pPr>
    </w:p>
    <w:p>
      <w:pPr>
        <w:ind w:firstLine="921"/>
        <w:spacing w:after="0" w:line="290" w:lineRule="auto"/>
        <w:tabs>
          <w:tab w:leader="none" w:pos="1158" w:val="left"/>
        </w:tabs>
        <w:numPr>
          <w:ilvl w:val="0"/>
          <w:numId w:val="3"/>
        </w:numPr>
        <w:rPr>
          <w:rFonts w:ascii="Arial" w:cs="Arial" w:eastAsia="Arial" w:hAnsi="Arial"/>
          <w:sz w:val="16"/>
          <w:szCs w:val="16"/>
          <w:color w:val="auto"/>
        </w:rPr>
      </w:pPr>
      <w:r>
        <w:rPr>
          <w:rFonts w:ascii="Arial" w:cs="Arial" w:eastAsia="Arial" w:hAnsi="Arial"/>
          <w:sz w:val="16"/>
          <w:szCs w:val="16"/>
          <w:color w:val="auto"/>
        </w:rPr>
        <w:t>This statement relates to 1,889,919 shares of Common Stock, as well as warrants to purchase an additional 832,057 shares of Common Stock owned by the Reporting Person. Based on the prospectus contained in the Company’s Post-Effective Amendment No. 1 to Form S-1/A dated September 30, 2015, 28,960,925 shares of Common Stock were outstanding as of September 29, 2015. Pursuant to Rule 13d-3(1)(i) under the Securities Exchange Act of 1943, as amended, for purposes of determining the percentage of beneficial ownership, reportable securities which a reporting person has the right to acquire upon a conversion of securities within 60 days are deemed to be reportable securities beneficially owned with respect to that person, as well as reportable securities issued and outstanding with respect to that issuer. Accordingly, the ownership percentage with respect to Shares the Reporting Person owns or has the right to acquire assumes that there are 29,792,982 shares of Common Stock issued and outstanding. Therefore, the 2,721,976 shares of Common Stock reported on this Schedule 13D represent approximately 9.1% of the Company’s shares issued and outstanding.</w:t>
      </w:r>
    </w:p>
    <w:p>
      <w:pPr>
        <w:spacing w:after="0" w:line="166" w:lineRule="exact"/>
        <w:rPr>
          <w:rFonts w:ascii="Arial" w:cs="Arial" w:eastAsia="Arial" w:hAnsi="Arial"/>
          <w:sz w:val="16"/>
          <w:szCs w:val="16"/>
          <w:color w:val="auto"/>
        </w:rPr>
      </w:pPr>
    </w:p>
    <w:p>
      <w:pPr>
        <w:ind w:right="600" w:firstLine="921"/>
        <w:spacing w:after="0" w:line="277" w:lineRule="auto"/>
        <w:tabs>
          <w:tab w:leader="none" w:pos="116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Reporting Person has the sole power (and no shared power) to vote, dispose of or direct the disposition of the Securities and any Common Stock resulting from the exercise or conversion thereof.</w:t>
      </w:r>
    </w:p>
    <w:p>
      <w:pPr>
        <w:spacing w:after="0" w:line="170" w:lineRule="exact"/>
        <w:rPr>
          <w:rFonts w:ascii="Arial" w:cs="Arial" w:eastAsia="Arial" w:hAnsi="Arial"/>
          <w:sz w:val="18"/>
          <w:szCs w:val="18"/>
          <w:color w:val="auto"/>
        </w:rPr>
      </w:pPr>
    </w:p>
    <w:p>
      <w:pPr>
        <w:ind w:right="80" w:firstLine="921"/>
        <w:spacing w:after="0" w:line="257" w:lineRule="auto"/>
        <w:tabs>
          <w:tab w:leader="none" w:pos="1158"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October 21, the Reporting Person’s individual retirement account consummated, in a private transaction, a purchase of a privately issued warrant to purchase 110,974 shares of Common Stock, at an exercise price of $.7875 per share for $60,000. On October 26, 2015, the Reporting Person’s individual retirement account consummated, in a private transaction, a purchase of a privately issued warrant to purchase 129,470 shares of Common Stock, at an exercise price of $.7875 per share for $70,000. Each of the warrants are exercisable until September 24, 2020 and provide for piggy-back registration rights.</w:t>
      </w:r>
    </w:p>
    <w:p>
      <w:pPr>
        <w:spacing w:after="0" w:line="120" w:lineRule="exact"/>
        <w:rPr>
          <w:rFonts w:ascii="Arial" w:cs="Arial" w:eastAsia="Arial" w:hAnsi="Arial"/>
          <w:sz w:val="18"/>
          <w:szCs w:val="18"/>
          <w:color w:val="auto"/>
        </w:rPr>
      </w:pPr>
    </w:p>
    <w:p>
      <w:pPr>
        <w:ind w:left="5660" w:hanging="96"/>
        <w:spacing w:after="0"/>
        <w:tabs>
          <w:tab w:leader="none" w:pos="5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340"/>
          </w:cols>
          <w:pgMar w:left="240" w:top="274" w:right="319" w:bottom="1440" w:gutter="0" w:footer="0" w:header="0"/>
        </w:sectPr>
      </w:pPr>
    </w:p>
    <w:bookmarkStart w:id="3" w:name="page4"/>
    <w:bookmarkEnd w:id="3"/>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during the last 60 days, the Reporting Person’s effected the following purchases of the Company’s securities, each through open market transactions, on the dates, in the amounts, and at the prices per share shown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Transactions by Reporting Person’s individual retirement account: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80" w:type="dxa"/>
            <w:vAlign w:val="bottom"/>
            <w:gridSpan w:val="3"/>
          </w:tcPr>
          <w:p>
            <w:pPr>
              <w:ind w:left="1380"/>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85"/>
              </w:rPr>
              <w:t>Shares</w:t>
            </w:r>
          </w:p>
        </w:tc>
        <w:tc>
          <w:tcPr>
            <w:tcW w:w="1120" w:type="dxa"/>
            <w:vAlign w:val="bottom"/>
            <w:gridSpan w:val="3"/>
          </w:tcPr>
          <w:p>
            <w:pPr>
              <w:ind w:left="420"/>
              <w:spacing w:after="0"/>
              <w:rPr>
                <w:sz w:val="20"/>
                <w:szCs w:val="20"/>
                <w:color w:val="auto"/>
              </w:rPr>
            </w:pPr>
            <w:r>
              <w:rPr>
                <w:rFonts w:ascii="Arial" w:cs="Arial" w:eastAsia="Arial" w:hAnsi="Arial"/>
                <w:sz w:val="14"/>
                <w:szCs w:val="14"/>
                <w:b w:val="1"/>
                <w:bCs w:val="1"/>
                <w:color w:val="auto"/>
              </w:rPr>
              <w:t>Unit Cost</w:t>
            </w:r>
          </w:p>
        </w:tc>
      </w:tr>
      <w:tr>
        <w:trPr>
          <w:trHeight w:val="20"/>
        </w:trPr>
        <w:tc>
          <w:tcPr>
            <w:tcW w:w="1380" w:type="dxa"/>
            <w:vAlign w:val="bottom"/>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6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1380" w:type="dxa"/>
            <w:vAlign w:val="bottom"/>
          </w:tcPr>
          <w:p>
            <w:pPr>
              <w:spacing w:after="0"/>
              <w:rPr>
                <w:sz w:val="17"/>
                <w:szCs w:val="17"/>
                <w:color w:val="auto"/>
              </w:rPr>
            </w:pPr>
          </w:p>
        </w:tc>
        <w:tc>
          <w:tcPr>
            <w:tcW w:w="70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10/23/2015</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6,000</w:t>
            </w: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89"/>
              </w:rPr>
              <w:t>$1.3100</w:t>
            </w:r>
          </w:p>
        </w:tc>
        <w:tc>
          <w:tcPr>
            <w:tcW w:w="100" w:type="dxa"/>
            <w:vAlign w:val="bottom"/>
            <w:shd w:val="clear" w:color="auto" w:fill="CCEEFF"/>
          </w:tcPr>
          <w:p>
            <w:pPr>
              <w:spacing w:after="0"/>
              <w:rPr>
                <w:sz w:val="17"/>
                <w:szCs w:val="17"/>
                <w:color w:val="auto"/>
              </w:rPr>
            </w:pPr>
          </w:p>
        </w:tc>
      </w:tr>
      <w:tr>
        <w:trPr>
          <w:trHeight w:val="432"/>
        </w:trPr>
        <w:tc>
          <w:tcPr>
            <w:tcW w:w="8380" w:type="dxa"/>
            <w:vAlign w:val="bottom"/>
            <w:gridSpan w:val="3"/>
          </w:tcPr>
          <w:p>
            <w:pPr>
              <w:spacing w:after="0"/>
              <w:rPr>
                <w:sz w:val="20"/>
                <w:szCs w:val="20"/>
                <w:color w:val="auto"/>
              </w:rPr>
            </w:pPr>
            <w:r>
              <w:rPr>
                <w:rFonts w:ascii="Arial" w:cs="Arial" w:eastAsia="Arial" w:hAnsi="Arial"/>
                <w:sz w:val="18"/>
                <w:szCs w:val="18"/>
                <w:color w:val="auto"/>
              </w:rPr>
              <w:t>Transactions by Reporting Person’s foundation:</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8380" w:type="dxa"/>
            <w:vAlign w:val="bottom"/>
            <w:gridSpan w:val="3"/>
          </w:tcPr>
          <w:p>
            <w:pPr>
              <w:ind w:left="1380"/>
              <w:spacing w:after="0"/>
              <w:rPr>
                <w:sz w:val="20"/>
                <w:szCs w:val="20"/>
                <w:color w:val="auto"/>
              </w:rPr>
            </w:pPr>
            <w:r>
              <w:rPr>
                <w:rFonts w:ascii="Arial" w:cs="Arial" w:eastAsia="Arial" w:hAnsi="Arial"/>
                <w:sz w:val="14"/>
                <w:szCs w:val="14"/>
                <w:b w:val="1"/>
                <w:bCs w:val="1"/>
                <w:color w:val="auto"/>
              </w:rPr>
              <w:t>Date</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Shares</w:t>
            </w:r>
          </w:p>
        </w:tc>
        <w:tc>
          <w:tcPr>
            <w:tcW w:w="1120" w:type="dxa"/>
            <w:vAlign w:val="bottom"/>
            <w:gridSpan w:val="3"/>
          </w:tcPr>
          <w:p>
            <w:pPr>
              <w:ind w:left="420"/>
              <w:spacing w:after="0"/>
              <w:rPr>
                <w:sz w:val="20"/>
                <w:szCs w:val="20"/>
                <w:color w:val="auto"/>
              </w:rPr>
            </w:pPr>
            <w:r>
              <w:rPr>
                <w:rFonts w:ascii="Arial" w:cs="Arial" w:eastAsia="Arial" w:hAnsi="Arial"/>
                <w:sz w:val="14"/>
                <w:szCs w:val="14"/>
                <w:b w:val="1"/>
                <w:bCs w:val="1"/>
                <w:color w:val="auto"/>
              </w:rPr>
              <w:t>Unit Cost</w:t>
            </w:r>
          </w:p>
        </w:tc>
      </w:tr>
      <w:tr>
        <w:trPr>
          <w:trHeight w:val="20"/>
        </w:trPr>
        <w:tc>
          <w:tcPr>
            <w:tcW w:w="1380" w:type="dxa"/>
            <w:vAlign w:val="bottom"/>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6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1380" w:type="dxa"/>
            <w:vAlign w:val="bottom"/>
          </w:tcPr>
          <w:p>
            <w:pPr>
              <w:spacing w:after="0"/>
              <w:rPr>
                <w:sz w:val="17"/>
                <w:szCs w:val="17"/>
                <w:color w:val="auto"/>
              </w:rPr>
            </w:pPr>
          </w:p>
        </w:tc>
        <w:tc>
          <w:tcPr>
            <w:tcW w:w="70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9/30/2015</w:t>
            </w:r>
          </w:p>
        </w:tc>
        <w:tc>
          <w:tcPr>
            <w:tcW w:w="5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24,600</w:t>
            </w: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  1.19</w:t>
            </w:r>
          </w:p>
        </w:tc>
        <w:tc>
          <w:tcPr>
            <w:tcW w:w="100" w:type="dxa"/>
            <w:vAlign w:val="bottom"/>
            <w:shd w:val="clear" w:color="auto" w:fill="CCEEFF"/>
          </w:tcPr>
          <w:p>
            <w:pPr>
              <w:spacing w:after="0"/>
              <w:rPr>
                <w:sz w:val="17"/>
                <w:szCs w:val="17"/>
                <w:color w:val="auto"/>
              </w:rPr>
            </w:pPr>
          </w:p>
        </w:tc>
      </w:tr>
      <w:tr>
        <w:trPr>
          <w:trHeight w:val="230"/>
        </w:trPr>
        <w:tc>
          <w:tcPr>
            <w:tcW w:w="138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10/9/2015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2,500</w:t>
            </w:r>
          </w:p>
        </w:tc>
        <w:tc>
          <w:tcPr>
            <w:tcW w:w="1020" w:type="dxa"/>
            <w:vAlign w:val="bottom"/>
            <w:gridSpan w:val="2"/>
          </w:tcPr>
          <w:p>
            <w:pPr>
              <w:ind w:left="420"/>
              <w:spacing w:after="0"/>
              <w:rPr>
                <w:sz w:val="20"/>
                <w:szCs w:val="20"/>
                <w:color w:val="auto"/>
              </w:rPr>
            </w:pPr>
            <w:r>
              <w:rPr>
                <w:rFonts w:ascii="Arial" w:cs="Arial" w:eastAsia="Arial" w:hAnsi="Arial"/>
                <w:sz w:val="18"/>
                <w:szCs w:val="18"/>
                <w:color w:val="auto"/>
                <w:w w:val="89"/>
              </w:rPr>
              <w:t>$1.2872</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 Not applicable.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 Not applicable.</w:t>
      </w:r>
    </w:p>
    <w:p>
      <w:pPr>
        <w:spacing w:after="0" w:line="15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020"/>
          </w:cols>
          <w:pgMar w:left="240" w:top="274" w:right="6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as of October 27,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Barry L.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Barry L. Fischer, attorney-in-fact for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Ronald L. Chez</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- 5 -</w:t>
      </w:r>
    </w:p>
    <w:sectPr>
      <w:pgSz w:w="11900" w:h="16838" w:orient="portrait"/>
      <w:cols w:equalWidth="0" w:num="1">
        <w:col w:w="11380"/>
      </w:cols>
      <w:pgMar w:left="240" w:top="27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1"/>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2019-12-08T20:57:48Z</dcterms:created>
  <dcterms:modified xsi:type="dcterms:W3CDTF">2019-12-08T20:57:48Z</dcterms:modified>
</cp:coreProperties>
</file>