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260" w:right="2240" w:hanging="1668"/>
        <w:spacing w:after="0" w:line="482" w:lineRule="auto"/>
        <w:tabs>
          <w:tab w:leader="none" w:pos="280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2017</w:t>
      </w:r>
    </w:p>
    <w:p>
      <w:pPr>
        <w:spacing w:after="0" w:line="33" w:lineRule="exact"/>
        <w:rPr>
          <w:sz w:val="24"/>
          <w:szCs w:val="24"/>
          <w:color w:val="auto"/>
        </w:rPr>
      </w:pPr>
    </w:p>
    <w:p>
      <w:pPr>
        <w:ind w:left="3760" w:right="2500" w:hanging="898"/>
        <w:spacing w:after="0" w:line="528" w:lineRule="auto"/>
        <w:tabs>
          <w:tab w:leader="none" w:pos="307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50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70"/>
              <w:spacing w:after="0"/>
              <w:rPr>
                <w:sz w:val="20"/>
                <w:szCs w:val="20"/>
                <w:color w:val="auto"/>
              </w:rPr>
            </w:pPr>
            <w:r>
              <w:rPr>
                <w:rFonts w:ascii="Arial" w:cs="Arial" w:eastAsia="Arial" w:hAnsi="Arial"/>
                <w:sz w:val="18"/>
                <w:szCs w:val="18"/>
                <w:color w:val="auto"/>
                <w:w w:val="90"/>
              </w:rPr>
              <w:t>(Registrant’s telephone number)</w:t>
            </w: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420"/>
          </w:cols>
          <w:pgMar w:left="240" w:top="517" w:right="2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360" w:space="720"/>
            <w:col w:w="4340"/>
          </w:cols>
          <w:pgMar w:left="240" w:top="517" w:right="239" w:bottom="144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29,256,367 common shares as of July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19"/>
        </w:trPr>
        <w:tc>
          <w:tcPr>
            <w:tcW w:w="900" w:type="dxa"/>
            <w:vAlign w:val="bottom"/>
          </w:tcPr>
          <w:p>
            <w:pPr>
              <w:spacing w:after="0"/>
              <w:rPr>
                <w:sz w:val="24"/>
                <w:szCs w:val="24"/>
                <w:color w:val="auto"/>
              </w:rPr>
            </w:pPr>
          </w:p>
        </w:tc>
        <w:tc>
          <w:tcPr>
            <w:tcW w:w="9380" w:type="dxa"/>
            <w:vAlign w:val="bottom"/>
          </w:tcPr>
          <w:p>
            <w:pPr>
              <w:ind w:left="3240"/>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32"/>
        </w:trPr>
        <w:tc>
          <w:tcPr>
            <w:tcW w:w="900" w:type="dxa"/>
            <w:vAlign w:val="bottom"/>
          </w:tcPr>
          <w:p>
            <w:pPr>
              <w:spacing w:after="0"/>
              <w:rPr>
                <w:sz w:val="24"/>
                <w:szCs w:val="24"/>
                <w:color w:val="auto"/>
              </w:rPr>
            </w:pPr>
          </w:p>
        </w:tc>
        <w:tc>
          <w:tcPr>
            <w:tcW w:w="9380" w:type="dxa"/>
            <w:vAlign w:val="bottom"/>
          </w:tcPr>
          <w:p>
            <w:pPr>
              <w:ind w:left="3400"/>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sz w:val="20"/>
                <w:szCs w:val="20"/>
                <w:color w:val="auto"/>
              </w:rPr>
            </w:pPr>
            <w:r>
              <w:rPr>
                <w:rFonts w:ascii="Arial" w:cs="Arial" w:eastAsia="Arial" w:hAnsi="Arial"/>
                <w:sz w:val="18"/>
                <w:szCs w:val="18"/>
                <w:color w:val="auto"/>
              </w:rPr>
              <w:t>Mine Safety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682"/>
        </w:trPr>
        <w:tc>
          <w:tcPr>
            <w:tcW w:w="90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1920"/>
        <w:spacing w:after="0" w:line="259" w:lineRule="auto"/>
        <w:rPr>
          <w:sz w:val="20"/>
          <w:szCs w:val="20"/>
          <w:color w:val="auto"/>
        </w:rPr>
      </w:pPr>
      <w:r>
        <w:rPr>
          <w:rFonts w:ascii="Arial" w:cs="Arial" w:eastAsia="Arial" w:hAnsi="Arial"/>
          <w:sz w:val="18"/>
          <w:szCs w:val="18"/>
          <w:color w:val="auto"/>
        </w:rPr>
        <w:t>F-1 Condensed Consolidated Balance Sheets as of June 30, 2017 and December 31, 2016 (unaudited); F-2 Condensed Consolidated Statements of Operations for the three and six months ended June 30, 2017 and 2016 (unaudited); F-3 Condensed Consolidated Statements of Cash Flow for the six months ended June 30, 2017 and 2016 (unaudited); F-4 Notes to Condensed Consolidated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2017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JUNE 30, 2017 AND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5,842,602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2,421,794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272,153</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8,536,549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738,449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772,394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1,015,154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1,758,652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10,478,449</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11,478,759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6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903,957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196,287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1,871,423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2,622,517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1,036,912</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4,008,579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w w:val="92"/>
              </w:rPr>
              <w:t>Common stock, $.001 par value, 500,000,000 shares authorized, 29,256,367 and 29,718,867 shares issued and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33,649,474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33,747,137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(29,503,276)</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(28,259,093)</w:t>
            </w: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6,469,870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10,478,449</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11,478,759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8"/>
                <w:szCs w:val="18"/>
                <w:color w:val="auto"/>
              </w:rPr>
            </w:pPr>
          </w:p>
        </w:tc>
        <w:tc>
          <w:tcPr>
            <w:tcW w:w="24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NET REVENUE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2,865,823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1,913,299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5,017,896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3,672,828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REVENUE SHARE EXPENSE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1,605,534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922,832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2,987,267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1,815,625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1,260,289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990,467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2,030,629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1,857,203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1,630,853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1,592,982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3,291,631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2,821,546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(370,564)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(602,515)</w:t>
            </w: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(1,261,002)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(964,343)</w:t>
            </w:r>
          </w:p>
        </w:tc>
        <w:tc>
          <w:tcPr>
            <w:tcW w:w="0" w:type="dxa"/>
            <w:vAlign w:val="bottom"/>
          </w:tcPr>
          <w:p>
            <w:pPr>
              <w:spacing w:after="0"/>
              <w:rPr>
                <w:sz w:val="1"/>
                <w:szCs w:val="1"/>
                <w:color w:val="auto"/>
              </w:rPr>
            </w:pP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10,582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16,819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16,819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(591,933)</w:t>
            </w: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(1,244,183)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(943,848)</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(591,933)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(1,244,183)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(943,848)</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29,583,771</w:t>
            </w:r>
          </w:p>
        </w:tc>
        <w:tc>
          <w:tcPr>
            <w:tcW w:w="1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29,141,340</w:t>
            </w:r>
          </w:p>
        </w:tc>
        <w:tc>
          <w:tcPr>
            <w:tcW w:w="2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29,650,945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5"/>
              </w:rPr>
              <w:t>29,086,134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60" w:type="dxa"/>
            <w:vAlign w:val="bottom"/>
            <w:vMerge w:val="continue"/>
          </w:tcPr>
          <w:p>
            <w:pPr>
              <w:spacing w:after="0"/>
              <w:rPr>
                <w:sz w:val="24"/>
                <w:szCs w:val="24"/>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(0.02)</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74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For the six months Ended</w:t>
            </w:r>
          </w:p>
        </w:tc>
      </w:tr>
      <w:tr>
        <w:trPr>
          <w:trHeight w:val="241"/>
        </w:trPr>
        <w:tc>
          <w:tcPr>
            <w:tcW w:w="7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40" w:type="dxa"/>
            <w:vAlign w:val="bottom"/>
            <w:tcBorders>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89"/>
              </w:rPr>
              <w:t>June 30</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7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r>
      <w:tr>
        <w:trPr>
          <w:trHeight w:val="202"/>
        </w:trPr>
        <w:tc>
          <w:tcPr>
            <w:tcW w:w="762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   (1,244,183)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(943,848)</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216,945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101,328</w:t>
            </w:r>
          </w:p>
        </w:tc>
        <w:tc>
          <w:tcPr>
            <w:tcW w:w="60" w:type="dxa"/>
            <w:vAlign w:val="bottom"/>
          </w:tcPr>
          <w:p>
            <w:pPr>
              <w:spacing w:after="0"/>
              <w:rPr>
                <w:sz w:val="18"/>
                <w:szCs w:val="18"/>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291,874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307,003</w:t>
            </w:r>
          </w:p>
        </w:tc>
        <w:tc>
          <w:tcPr>
            <w:tcW w:w="6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Changes in:</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638,602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738,566</w:t>
            </w:r>
          </w:p>
        </w:tc>
        <w:tc>
          <w:tcPr>
            <w:tcW w:w="6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(191,333)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(56,649)</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534,743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(380,465)</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(751,094)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(544,575)</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(91,981)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161,016</w:t>
            </w:r>
          </w:p>
        </w:tc>
        <w:tc>
          <w:tcPr>
            <w:tcW w:w="60" w:type="dxa"/>
            <w:vAlign w:val="bottom"/>
          </w:tcPr>
          <w:p>
            <w:pPr>
              <w:spacing w:after="0"/>
              <w:rPr>
                <w:sz w:val="18"/>
                <w:szCs w:val="18"/>
                <w:color w:val="auto"/>
              </w:rPr>
            </w:pPr>
          </w:p>
        </w:tc>
      </w:tr>
      <w:tr>
        <w:trPr>
          <w:trHeight w:val="237"/>
        </w:trPr>
        <w:tc>
          <w:tcPr>
            <w:tcW w:w="7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650,331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440,247</w:t>
            </w:r>
          </w:p>
        </w:tc>
        <w:tc>
          <w:tcPr>
            <w:tcW w:w="60" w:type="dxa"/>
            <w:vAlign w:val="bottom"/>
          </w:tcPr>
          <w:p>
            <w:pPr>
              <w:spacing w:after="0"/>
              <w:rPr>
                <w:sz w:val="20"/>
                <w:szCs w:val="20"/>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(24,599)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(19,809)</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Patent rights</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(7,268)</w:t>
            </w:r>
          </w:p>
        </w:tc>
      </w:tr>
      <w:tr>
        <w:trPr>
          <w:trHeight w:val="237"/>
        </w:trPr>
        <w:tc>
          <w:tcPr>
            <w:tcW w:w="7620" w:type="dxa"/>
            <w:vAlign w:val="bottom"/>
          </w:tcPr>
          <w:p>
            <w:pPr>
              <w:ind w:left="180"/>
              <w:spacing w:after="0"/>
              <w:rPr>
                <w:sz w:val="20"/>
                <w:szCs w:val="20"/>
                <w:color w:val="auto"/>
              </w:rPr>
            </w:pPr>
            <w:r>
              <w:rPr>
                <w:rFonts w:ascii="Arial" w:cs="Arial" w:eastAsia="Arial" w:hAnsi="Arial"/>
                <w:sz w:val="18"/>
                <w:szCs w:val="18"/>
                <w:color w:val="auto"/>
              </w:rPr>
              <w:t>Web development and other intangible costs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(831,350)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(78,913)</w:t>
            </w: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(855,949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(105,990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 and stock payable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3" w:lineRule="exact"/>
        <w:rPr>
          <w:sz w:val="20"/>
          <w:szCs w:val="20"/>
          <w:color w:val="auto"/>
        </w:rPr>
      </w:pPr>
    </w:p>
    <w:p>
      <w:pPr>
        <w:ind w:right="3260"/>
        <w:spacing w:after="0" w:line="319" w:lineRule="auto"/>
        <w:rPr>
          <w:sz w:val="20"/>
          <w:szCs w:val="20"/>
          <w:color w:val="auto"/>
        </w:rPr>
      </w:pPr>
      <w:r>
        <w:rPr>
          <w:rFonts w:ascii="Arial" w:cs="Arial" w:eastAsia="Arial" w:hAnsi="Arial"/>
          <w:sz w:val="17"/>
          <w:szCs w:val="17"/>
          <w:color w:val="auto"/>
        </w:rPr>
        <w:t>NET DECREASE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(390,000)</w:t>
      </w:r>
      <w:r>
        <w:rPr>
          <w:sz w:val="20"/>
          <w:szCs w:val="20"/>
          <w:color w:val="auto"/>
        </w:rPr>
        <w:tab/>
      </w:r>
      <w:r>
        <w:rPr>
          <w:rFonts w:ascii="Arial" w:cs="Arial" w:eastAsia="Arial" w:hAnsi="Arial"/>
          <w:sz w:val="16"/>
          <w:szCs w:val="16"/>
          <w:color w:val="auto"/>
        </w:rPr>
        <w:t>(357,415)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7"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(390,000)</w:t>
      </w:r>
      <w:r>
        <w:rPr>
          <w:sz w:val="20"/>
          <w:szCs w:val="20"/>
          <w:color w:val="auto"/>
        </w:rPr>
        <w:tab/>
      </w:r>
      <w:r>
        <w:rPr>
          <w:rFonts w:ascii="Arial" w:cs="Arial" w:eastAsia="Arial" w:hAnsi="Arial"/>
          <w:sz w:val="16"/>
          <w:szCs w:val="16"/>
          <w:color w:val="auto"/>
        </w:rPr>
        <w:t>(357,415)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both"/>
        <w:ind w:left="360"/>
        <w:spacing w:after="0"/>
        <w:tabs>
          <w:tab w:leader="none" w:pos="1820" w:val="left"/>
        </w:tabs>
        <w:rPr>
          <w:sz w:val="20"/>
          <w:szCs w:val="20"/>
          <w:color w:val="auto"/>
        </w:rPr>
      </w:pPr>
      <w:r>
        <w:rPr>
          <w:rFonts w:ascii="Arial" w:cs="Arial" w:eastAsia="Arial" w:hAnsi="Arial"/>
          <w:sz w:val="18"/>
          <w:szCs w:val="18"/>
          <w:color w:val="auto"/>
        </w:rPr>
        <w:t>(1,192,045)</w:t>
      </w:r>
      <w:r>
        <w:rPr>
          <w:sz w:val="20"/>
          <w:szCs w:val="20"/>
          <w:color w:val="auto"/>
        </w:rPr>
        <w:tab/>
      </w:r>
      <w:r>
        <w:rPr>
          <w:rFonts w:ascii="Arial" w:cs="Arial" w:eastAsia="Arial" w:hAnsi="Arial"/>
          <w:sz w:val="18"/>
          <w:szCs w:val="18"/>
          <w:color w:val="auto"/>
        </w:rPr>
        <w:t>(640,782)</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7,034,647</w:t>
      </w:r>
      <w:r>
        <w:rPr>
          <w:sz w:val="20"/>
          <w:szCs w:val="20"/>
          <w:color w:val="auto"/>
        </w:rPr>
        <w:tab/>
      </w:r>
      <w:r>
        <w:rPr>
          <w:rFonts w:ascii="Arial" w:cs="Arial" w:eastAsia="Arial" w:hAnsi="Arial"/>
          <w:sz w:val="17"/>
          <w:szCs w:val="17"/>
          <w:color w:val="auto"/>
        </w:rPr>
        <w:t>8,207,565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3"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5,842,602</w:t>
        <w:tab/>
        <w:t>$</w:t>
      </w:r>
      <w:r>
        <w:rPr>
          <w:sz w:val="20"/>
          <w:szCs w:val="20"/>
          <w:color w:val="auto"/>
        </w:rPr>
        <w:tab/>
      </w:r>
      <w:r>
        <w:rPr>
          <w:rFonts w:ascii="Arial" w:cs="Arial" w:eastAsia="Arial" w:hAnsi="Arial"/>
          <w:sz w:val="16"/>
          <w:szCs w:val="16"/>
          <w:color w:val="auto"/>
        </w:rPr>
        <w:t>7,566,783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20" w:type="dxa"/>
            <w:vAlign w:val="bottom"/>
            <w:gridSpan w:val="2"/>
            <w:vMerge w:val="restart"/>
          </w:tcPr>
          <w:p>
            <w:pPr>
              <w:jc w:val="right"/>
              <w:ind w:right="425"/>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35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80" w:type="dxa"/>
            <w:vAlign w:val="bottom"/>
            <w:vMerge w:val="restart"/>
          </w:tcPr>
          <w:p>
            <w:pPr>
              <w:jc w:val="center"/>
              <w:ind w:left="27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580" w:type="dxa"/>
            <w:vAlign w:val="bottom"/>
            <w:tcBorders>
              <w:bottom w:val="single" w:sz="8" w:color="auto"/>
            </w:tcBorders>
          </w:tcPr>
          <w:p>
            <w:pPr>
              <w:jc w:val="center"/>
              <w:ind w:left="2770"/>
              <w:spacing w:after="0"/>
              <w:rPr>
                <w:sz w:val="20"/>
                <w:szCs w:val="20"/>
                <w:color w:val="auto"/>
              </w:rPr>
            </w:pPr>
            <w:r>
              <w:rPr>
                <w:rFonts w:ascii="Arial" w:cs="Arial" w:eastAsia="Arial" w:hAnsi="Arial"/>
                <w:sz w:val="18"/>
                <w:szCs w:val="18"/>
                <w:color w:val="auto"/>
                <w:w w:val="88"/>
              </w:rPr>
              <w:t>F-3</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leading digital health aggregator of pharmaceutical sponsored services in the Electronic Health Records (EHR) space. Our objective is to leverage our proprietary technology to provide on demand savings and clinical messaging within physician and patient web based platforms, including EHR, e-prescribing platforms, pharmacies and Patient Portals. We have matured as a technology solutions provider through our direct to physician solutions, which allow physicians to automatically display and distribute sample vouchers and/or co-pay coupons electronically within the ePrescription platform to pharmacies on behalf of their patients. The OptimizeRx solution is integrated into the ePrescribing or EHR applications, but can also be accessed on a mobile device as well as an application on a prescriber’s desktop.</w:t>
      </w:r>
    </w:p>
    <w:p>
      <w:pPr>
        <w:spacing w:after="0" w:line="19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consolidated financial statements for the three and six months ended June 30, 2017 and 2016, have been prepared by us without audit pursuant to the rules and regulations of the Securities and Exchange Commission (“SEC”). In the opinion of management, all adjustments necessary to present fairly our financial position, results of operations, and cash flows as of June 30, 2017 and 2016, and for the periods then ended, have been made. Those adjustments consist of normal and recurring adjustments. The consolidated balance sheet as of December 31, 2016, has been derived from the audited consolidated balance sheet as of that date.</w:t>
      </w:r>
    </w:p>
    <w:p>
      <w:pPr>
        <w:spacing w:after="0" w:line="18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2016, as filed with the SEC.</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results of operations for the three and six months ended June 30, 2017, are not necessarily indicative of the results to be expected for the full year. Certain reclassifications have been made in our consolidated financial statements for the prior periods to conform to the presentation of our consolidated financial statements for the current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Director Compensation plan calls for the issuance of 6,250 shares of common stock per quarter to each Independent Director. In connection with this plan, we issued 18,750 shares in each of the quarters ended March 31, 2017 and June 30, 2017, valued at $15,375 and $19,312, respectively. In connection with the same plan, we issued 12,500 shares in each of the quarters ended March 31, 2016 and June 30, 2016, valued at $13,125 and $14.375, respectively.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 We also redeemed 500,000 shares of common stock held by this previous CEO in June 2017 at a price of $0.78 per share for a total payment of $390,000.</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issued 50,000 shares of common stock in June 2016 related to shares that were previously reflected in common stock payable. In addition, we issued 69,519 shares of common stock during the six months ended June 30, 2016 in connection with the cashless exercise of previous option grants that were approaching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issued 100,000 shares of common stock in connection with the settlement of litigation in June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use the fair value method to account for stock-based compensation. We recorded $257,187 and $155,703 in compensation expense in the six months ended June 30, 2017 and 2016,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Also, in April 2016, we entered into a separation agreement and an 18-month consulting agreement with our previous CEO. The consulting agreement set forth the terms of the previous CEO’s continued relationship with our company. The consulting agreement began on April 1, 2016. Under the terms of the consulting agreement, he received a monthly payment of $15,000, with the potential for up to $54,000 in additional bonus payments during the term of the agreement. This agreement also calls for total payments of $12,425 related to insurance benefits. The separation agreement and consulting agreement replaced and superseded all previously disclosed payments related to his severance and board fees.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quarter ended June 30, 2017 we redeemed 500,000 shares of stock owned by the previous CEO at a price of $0.78 per share for a total of $390,000 and amended the consulting agreement to terminate on July 31, 2017 instead of the original end date of September 30,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accordance with ASC 855-10, we have analyzed our operations subsequent to June 30, 2017 through the date these financial statements were issued and have determined that we do not have any material subsequent events to disclose in these financial statements.</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July, 2017</w:t>
      </w:r>
    </w:p>
    <w:p>
      <w:pPr>
        <w:spacing w:after="0" w:line="225" w:lineRule="exact"/>
        <w:rPr>
          <w:sz w:val="20"/>
          <w:szCs w:val="20"/>
          <w:color w:val="auto"/>
        </w:rPr>
      </w:pPr>
    </w:p>
    <w:p>
      <w:pPr>
        <w:ind w:left="700" w:right="220" w:hanging="341"/>
        <w:spacing w:after="0" w:line="258"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for the first six months of 2017 were approximately $5.0 million, a 37% increase over the same period in 2016, attributable to financial and brand messaging growth from new and returning clients.</w:t>
      </w:r>
    </w:p>
    <w:p>
      <w:pPr>
        <w:spacing w:after="0" w:line="1"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sales for the second quarter ended June 30, 2017 were approximately $2.9 million, a 50% increase over the same quarter in 2016.</w:t>
      </w:r>
    </w:p>
    <w:p>
      <w:pPr>
        <w:spacing w:after="0" w:line="20" w:lineRule="exact"/>
        <w:rPr>
          <w:rFonts w:ascii="Arial" w:cs="Arial" w:eastAsia="Arial" w:hAnsi="Arial"/>
          <w:sz w:val="17"/>
          <w:szCs w:val="17"/>
          <w:color w:val="auto"/>
        </w:rPr>
      </w:pPr>
    </w:p>
    <w:p>
      <w:pPr>
        <w:ind w:left="700" w:right="100" w:hanging="341"/>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expand our clients, brands, and agencies advising the industry on this new channel and recently added another member to our sales team for greater penetration and service.</w:t>
      </w:r>
    </w:p>
    <w:p>
      <w:pPr>
        <w:ind w:left="700" w:right="180" w:hanging="341"/>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sponsored the ePrescribe/EHR conference held in Philadelphia in May 2017, which further cemented our leadership position within our client base as well as generated new business.</w:t>
      </w: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expanded our channel partners by over 20%, which included the launch of our financial messaging capability within the Allscripts Touchworks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network, as well as with other new EHRs.</w:t>
      </w:r>
    </w:p>
    <w:p>
      <w:pPr>
        <w:spacing w:after="0" w:line="9" w:lineRule="exact"/>
        <w:rPr>
          <w:sz w:val="20"/>
          <w:szCs w:val="20"/>
          <w:color w:val="auto"/>
        </w:rPr>
      </w:pPr>
    </w:p>
    <w:p>
      <w:pPr>
        <w:ind w:left="700" w:right="260" w:hanging="341"/>
        <w:spacing w:after="0" w:line="25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partnered with PARx Solutions to enable us to bring prior authorization services to our channel partners, as well as to distribute our financial messages through its solution at the time of prior authorization.</w:t>
      </w:r>
    </w:p>
    <w:p>
      <w:pPr>
        <w:ind w:left="700" w:right="20" w:hanging="341"/>
        <w:spacing w:after="0" w:line="261"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hired prominent health IT veteran Miriam Paramore, effective August 1, 2017, as President to lead the effort to scale our product expansion and continued growth.</w:t>
      </w:r>
    </w:p>
    <w:p>
      <w:pPr>
        <w:spacing w:after="0" w:line="18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financial messages will continue to increase over last year and brand messaging will continue to support growth in top-line revenue.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revenue for the three months ended June 30, 2017 was approximately $2.9 million, an increase of 50% over the approximately $1.9 million from the same period in 2016. Our total revenue for the six months ended June 30, 2017 was approximately $5.0 million, an increase of 37% over the approximately $3.7 million from the same period in 2016. These increased revenues resulted primarily from increases in our brand messaging products, as well as expanded distribution channels for our financial messaging. Additionally, the launch of new pharmaceutical brands, which now total over 100 between financial and brand messaging, also contributed to the increase. We expect continued quarter over quarter increases for the balance of the year, given our improved visibility within our expanding client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cost of sales, comprised primarily of revenue share expense, increased over the same period in 2016 as a result of the revenue increases. However, as a percentage of sales, cost of sales also increased as reflected in the table below. This increase in our cost of sales percentage is primarily the result of the launch and expansion of our brand messaging products, which overall have lower margins than our core financial messaging product.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Quarter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59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89"/>
              </w:rPr>
              <w:t>June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6"/>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r>
      <w:tr>
        <w:trPr>
          <w:trHeight w:val="418"/>
        </w:trPr>
        <w:tc>
          <w:tcPr>
            <w:tcW w:w="6720" w:type="dxa"/>
            <w:vAlign w:val="bottom"/>
            <w:gridSpan w:val="2"/>
          </w:tcPr>
          <w:p>
            <w:pPr>
              <w:spacing w:after="0"/>
              <w:rPr>
                <w:sz w:val="20"/>
                <w:szCs w:val="20"/>
                <w:color w:val="auto"/>
              </w:rPr>
            </w:pPr>
            <w:r>
              <w:rPr>
                <w:rFonts w:ascii="Arial" w:cs="Arial" w:eastAsia="Arial" w:hAnsi="Arial"/>
                <w:sz w:val="18"/>
                <w:szCs w:val="18"/>
                <w:color w:val="auto"/>
              </w:rPr>
              <w:t>Cost of Sales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56.0%</w:t>
            </w:r>
          </w:p>
        </w:tc>
        <w:tc>
          <w:tcPr>
            <w:tcW w:w="7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48.2%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44.0%</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50.6%</w:t>
            </w: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cost of sales percentage decreased from the first quarter of 2017 to the second quarter of 2017 as reflected in the table below and we expect this percentage to continue to gradually decrease in future quarters as we implement new channels in our core financial messaging product with lower revenue share percentages and as we update our existing agreements to share third party costs. We also expect our margins on our brand messaging product to increase as we diversify across additional channels and increase brand messaging revenues. Our goal is to achieve gross margins of 50% or greater.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Quarter Ended</w:t>
            </w:r>
          </w:p>
        </w:tc>
      </w:tr>
      <w:tr>
        <w:trPr>
          <w:trHeight w:val="198"/>
        </w:trPr>
        <w:tc>
          <w:tcPr>
            <w:tcW w:w="34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March 31,</w:t>
            </w:r>
          </w:p>
        </w:tc>
        <w:tc>
          <w:tcPr>
            <w:tcW w:w="11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Cost of Sales %</w:t>
            </w:r>
          </w:p>
        </w:tc>
        <w:tc>
          <w:tcPr>
            <w:tcW w:w="6680" w:type="dxa"/>
            <w:vAlign w:val="bottom"/>
            <w:gridSpan w:val="3"/>
          </w:tcPr>
          <w:p>
            <w:pPr>
              <w:jc w:val="right"/>
              <w:ind w:right="120"/>
              <w:spacing w:after="0"/>
              <w:rPr>
                <w:sz w:val="20"/>
                <w:szCs w:val="20"/>
                <w:color w:val="auto"/>
              </w:rPr>
            </w:pPr>
            <w:r>
              <w:rPr>
                <w:rFonts w:ascii="Arial" w:cs="Arial" w:eastAsia="Arial" w:hAnsi="Arial"/>
                <w:sz w:val="18"/>
                <w:szCs w:val="18"/>
                <w:color w:val="auto"/>
              </w:rPr>
              <w:t>64.0%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Gross Margin %</w:t>
            </w:r>
          </w:p>
        </w:tc>
        <w:tc>
          <w:tcPr>
            <w:tcW w:w="6680" w:type="dxa"/>
            <w:vAlign w:val="bottom"/>
            <w:gridSpan w:val="3"/>
          </w:tcPr>
          <w:p>
            <w:pPr>
              <w:jc w:val="right"/>
              <w:ind w:right="120"/>
              <w:spacing w:after="0"/>
              <w:rPr>
                <w:sz w:val="20"/>
                <w:szCs w:val="20"/>
                <w:color w:val="auto"/>
              </w:rPr>
            </w:pPr>
            <w:r>
              <w:rPr>
                <w:rFonts w:ascii="Arial" w:cs="Arial" w:eastAsia="Arial" w:hAnsi="Arial"/>
                <w:sz w:val="18"/>
                <w:szCs w:val="18"/>
                <w:color w:val="auto"/>
              </w:rPr>
              <w:t>36.0%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r>
      <w:tr>
        <w:trPr>
          <w:trHeight w:val="655"/>
        </w:trPr>
        <w:tc>
          <w:tcPr>
            <w:tcW w:w="3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Operating expenses increased slightly from approximately $1.59 million for the three months ended June 30, 2016 to approximately $1.63 million for the same period in 2017. Operating expenses increased from approximately $2.8 million for the six months ended June 30, 2016 to approximately $3.3 million for the same period in 2017. The detail by major category is reflected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882,646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773,231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1,615,674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1,330,437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162,431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90,619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291,875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51,448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165,062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183,663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344,340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22,758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38,909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52,143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100,661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42,513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208,721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73,836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37,177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78,368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144,240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149,133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51,059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216,945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101,327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88,267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72,796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270,605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147,412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71,745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49,028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135,921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92,468</w:t>
            </w:r>
          </w:p>
        </w:tc>
        <w:tc>
          <w:tcPr>
            <w:tcW w:w="0" w:type="dxa"/>
            <w:vAlign w:val="bottom"/>
          </w:tcPr>
          <w:p>
            <w:pPr>
              <w:spacing w:after="0"/>
              <w:rPr>
                <w:sz w:val="1"/>
                <w:szCs w:val="1"/>
                <w:color w:val="auto"/>
              </w:rPr>
            </w:pPr>
          </w:p>
        </w:tc>
      </w:tr>
      <w:tr>
        <w:trPr>
          <w:trHeight w:val="251"/>
        </w:trPr>
        <w:tc>
          <w:tcPr>
            <w:tcW w:w="416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58,897</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134,344</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133,662</w:t>
            </w: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1,630,853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1,432,982</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3,291,631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2,661,546</w:t>
            </w:r>
          </w:p>
        </w:tc>
        <w:tc>
          <w:tcPr>
            <w:tcW w:w="0" w:type="dxa"/>
            <w:vAlign w:val="bottom"/>
          </w:tcPr>
          <w:p>
            <w:pPr>
              <w:spacing w:after="0"/>
              <w:rPr>
                <w:sz w:val="1"/>
                <w:szCs w:val="1"/>
                <w:color w:val="auto"/>
              </w:rPr>
            </w:pPr>
          </w:p>
        </w:tc>
      </w:tr>
      <w:tr>
        <w:trPr>
          <w:trHeight w:val="431"/>
        </w:trPr>
        <w:tc>
          <w:tcPr>
            <w:tcW w:w="4160" w:type="dxa"/>
            <w:vAlign w:val="bottom"/>
          </w:tcPr>
          <w:p>
            <w:pPr>
              <w:spacing w:after="0"/>
              <w:rPr>
                <w:sz w:val="20"/>
                <w:szCs w:val="20"/>
                <w:color w:val="auto"/>
              </w:rPr>
            </w:pPr>
            <w:r>
              <w:rPr>
                <w:rFonts w:ascii="Arial" w:cs="Arial" w:eastAsia="Arial" w:hAnsi="Arial"/>
                <w:sz w:val="18"/>
                <w:szCs w:val="18"/>
                <w:color w:val="auto"/>
              </w:rPr>
              <w:t>Lawsuit settlement</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160" w:type="dxa"/>
            <w:vAlign w:val="bottom"/>
            <w:vMerge w:val="continue"/>
          </w:tcPr>
          <w:p>
            <w:pPr>
              <w:spacing w:after="0"/>
              <w:rPr>
                <w:sz w:val="24"/>
                <w:szCs w:val="24"/>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1,630,853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1,592,982</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3,291,631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2,821,546</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largest increases in operating expenses related to human resource costs, including consultants. Since the beginning of the first quarter of 2016, we have built out the team necessary to scale the business. This represents approximately 83% of the increase. The increase in development, maintenance, and integration costs reflects start-up costs related to the integration of new EHRs, as well as increased capacity of our technology systems. These investments are starting to show their value through increased revenue growth and our transition to a broader client base and scale potential. As reflected in the table below, our operating expenses are decreasing as a percentage of overall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Quarter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59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89"/>
              </w:rPr>
              <w:t>June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6"/>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r>
      <w:tr>
        <w:trPr>
          <w:trHeight w:val="432"/>
        </w:trPr>
        <w:tc>
          <w:tcPr>
            <w:tcW w:w="6720" w:type="dxa"/>
            <w:vAlign w:val="bottom"/>
            <w:gridSpan w:val="2"/>
          </w:tcPr>
          <w:p>
            <w:pPr>
              <w:jc w:val="right"/>
              <w:ind w:right="970"/>
              <w:spacing w:after="0"/>
              <w:rPr>
                <w:sz w:val="20"/>
                <w:szCs w:val="20"/>
                <w:color w:val="auto"/>
              </w:rPr>
            </w:pPr>
            <w:r>
              <w:rPr>
                <w:rFonts w:ascii="Arial" w:cs="Arial" w:eastAsia="Arial" w:hAnsi="Arial"/>
                <w:sz w:val="18"/>
                <w:szCs w:val="18"/>
                <w:color w:val="auto"/>
                <w:w w:val="89"/>
              </w:rPr>
              <w:t>Operating expense as a percentage of revenue, excluding litigation settlements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56.9%</w:t>
            </w:r>
          </w:p>
        </w:tc>
        <w:tc>
          <w:tcPr>
            <w:tcW w:w="7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72.4%</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lawsuit settlement was a one-time expense incurred in June 2016 that also has the effect of decreasing our professional fees in 2017 compared with 2016 as a result of the reduced litigation activities.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expect our overall operating expenses to continue at the 2017 level or above as we further implement our business plan and expand our operations to grow the business in a very dynamic and active marketplace; however, we expect operating expense as a percentage of revenue to continue to decrease.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net loss for the three months ended June 30, 2017 was approximately $362,000 as compared to a loss of approximately $592,000 during the same period in 2016. Our net loss for the six months ended June 30, 2017 was approximately $1,244,000 as compared to a loss of approximately $944,000 during the same period in 2016. The reasons for specific components are discussed above. Overall, the increased loss for the six months ended June 30, 2017 over 2016 is primarily explained by the increase in operating expenses intended to accelerate growth.</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2017, we had total current assets of approximately $8.5 million, compared with current liabilities of approximately $4.0 million, resulting in working capital of approximately $4.5 million and a current ratio of approximately 2.1 to 1, decreased from the working capital of approximately $6.5 million and current ratio of 2.8 to 1 at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activities provided approximately $54,000 in cash in the six months ended June 30, 2017, as opposed to the cash used of approximately</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$177,000 during the six months ended June 30, 2016. The cash provided in 2017 resulted from working capital management offset by our net loss for the period.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used approximately $856,000 in investing activities in the six months ended June 30, 2017, compared with approximately $106,000 in the same period in 2016 as set forth in the following table.</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24,599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Patent Rights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Allscripts Touchworks cost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0"/>
                <w:szCs w:val="20"/>
                <w:color w:val="auto"/>
              </w:rPr>
            </w:pPr>
            <w:r>
              <w:rPr>
                <w:rFonts w:ascii="Arial" w:cs="Arial" w:eastAsia="Arial" w:hAnsi="Arial"/>
                <w:sz w:val="18"/>
                <w:szCs w:val="18"/>
                <w:color w:val="auto"/>
              </w:rPr>
              <w:t>Software and other intangible assets</w:t>
            </w:r>
          </w:p>
        </w:tc>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181,350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78,913</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vMerge w:val="continue"/>
          </w:tcPr>
          <w:p>
            <w:pPr>
              <w:spacing w:after="0"/>
              <w:rPr>
                <w:sz w:val="21"/>
                <w:szCs w:val="21"/>
                <w:color w:val="auto"/>
              </w:rPr>
            </w:pP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855,949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105,990</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Allscripts Touchworks cost is for access to their Touchworks platform, exclusive access to their entire network for financial messaging, and a portion of their development costs. This cost is being amortized over the four-year period of exclusivity.</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used $390,000 in financing activities in the six months ended June 30, 2017, compared with $357,000 used in the same period in 2016. In both periods this related to payments to our prior CEO. In 2017, we acquired and retired 500,000 shares of common stock at a price of $0.78 per share. In 2016, we made a cash payment in lieu of issuing common shares owed him that were previously reflected in common stock payable on the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2016;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disclosed in more detail in our Form 10-K for the year ended December 31, 2016, as well as our Form 10-Q for the quarter ended March 31, 2017, such reports filed with the SEC, management previously identified material weaknesses related to inadequate segregation of duties and inadequate information technology reporting systems to insure accurate financial information is provided for accounting and financial reporting with respect to the requirements and application of both US GAAP and SEC guidelines.</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2017, management has remedied the material weaknesses as discussed below.</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hired an additional finance person in January 2017 to address the segregation of duties issue and we have also hired a Vice President of Information Technology, around the same time, to address the technology system weaknesses. These additional personnel and the processes we have put in place have remedied the material weaknesses in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above changes made in our internal controls over financial reporting, as defined in Rules 13a-15(f) and 15d-15(f) under the Exchange Act, during the fiscal quarter ended June 30, 2017, have materially affected, or are reasonably likely to materially affect, our internal controls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March 2017 and June 2017, we issued 18,750 shares of common stock to our independent directors in connection with our Director Compensation Plan.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1006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04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of 2002</w:t>
              </w:r>
            </w:hyperlink>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Certification of Chief Financial Officer pursuant to 18 U.S.C. Section 1350, as adopted pursuant to Section 302 of the Sarbanes-Oxley Act</w:t>
              </w:r>
            </w:hyperlink>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of 2002</w:t>
              </w:r>
            </w:hyperlink>
          </w:p>
        </w:tc>
        <w:tc>
          <w:tcPr>
            <w:tcW w:w="80" w:type="dxa"/>
            <w:vAlign w:val="bottom"/>
            <w:gridSpan w:val="2"/>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98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c>
          <w:tcPr>
            <w:tcW w:w="2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906 of the Sarbanes-Oxley Act of 2002</w:t>
              </w:r>
            </w:hyperlink>
          </w:p>
        </w:tc>
        <w:tc>
          <w:tcPr>
            <w:tcW w:w="7220" w:type="dxa"/>
            <w:vAlign w:val="bottom"/>
            <w:gridSpan w:val="4"/>
          </w:tcPr>
          <w:p>
            <w:pPr>
              <w:spacing w:after="0"/>
              <w:rPr>
                <w:sz w:val="17"/>
                <w:szCs w:val="17"/>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w w:val="92"/>
              </w:rPr>
              <w:t>The following materials from the Company’s Quarterly Report on Form 10-Q for the quarter ended June 30, 2017 formatted in Extensible</w:t>
            </w:r>
          </w:p>
        </w:tc>
      </w:tr>
    </w:tbl>
    <w:p>
      <w:pPr>
        <w:ind w:left="1380"/>
        <w:spacing w:after="0"/>
        <w:rPr>
          <w:sz w:val="20"/>
          <w:szCs w:val="20"/>
          <w:color w:val="auto"/>
        </w:rPr>
      </w:pPr>
      <w:r>
        <w:rPr>
          <w:rFonts w:ascii="Arial" w:cs="Arial" w:eastAsia="Arial" w:hAnsi="Arial"/>
          <w:sz w:val="18"/>
          <w:szCs w:val="18"/>
          <w:color w:val="auto"/>
        </w:rPr>
        <w:t>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607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Will Febbo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Principal Executive Officer, and Director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615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 Principal Financial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Douglas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2017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 Febbo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Principal Executive Officer, and Director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August 1, 2017</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Baker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Principal Financial Officer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August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2019-12-29T05:27:08Z</dcterms:created>
  <dcterms:modified xsi:type="dcterms:W3CDTF">2019-12-29T05:27:08Z</dcterms:modified>
</cp:coreProperties>
</file>