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WASSON GREGORY D</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ROCHESTER</w:t>
            </w:r>
          </w:p>
        </w:tc>
        <w:tc>
          <w:tcPr>
            <w:tcW w:w="940" w:type="dxa"/>
            <w:vAlign w:val="bottom"/>
          </w:tcPr>
          <w:p>
            <w:pPr>
              <w:ind w:left="120"/>
              <w:spacing w:after="0"/>
              <w:rPr>
                <w:sz w:val="20"/>
                <w:szCs w:val="20"/>
                <w:color w:val="auto"/>
              </w:rPr>
            </w:pPr>
            <w:r>
              <w:rPr>
                <w:rFonts w:ascii="Arial" w:cs="Arial" w:eastAsia="Arial" w:hAnsi="Arial"/>
                <w:sz w:val="17"/>
                <w:szCs w:val="17"/>
                <w:color w:val="0000FF"/>
              </w:rPr>
              <w:t>MI</w:t>
            </w:r>
          </w:p>
        </w:tc>
        <w:tc>
          <w:tcPr>
            <w:tcW w:w="1600" w:type="dxa"/>
            <w:vAlign w:val="bottom"/>
          </w:tcPr>
          <w:p>
            <w:pPr>
              <w:ind w:left="420"/>
              <w:spacing w:after="0"/>
              <w:rPr>
                <w:sz w:val="20"/>
                <w:szCs w:val="20"/>
                <w:color w:val="auto"/>
              </w:rPr>
            </w:pPr>
            <w:r>
              <w:rPr>
                <w:rFonts w:ascii="Arial" w:cs="Arial" w:eastAsia="Arial" w:hAnsi="Arial"/>
                <w:sz w:val="17"/>
                <w:szCs w:val="17"/>
                <w:color w:val="0000FF"/>
              </w:rPr>
              <w:t>48307</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334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09/29/2021</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334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334</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5" w:lineRule="exact"/>
        <w:rPr>
          <w:rFonts w:ascii="Arial" w:cs="Arial" w:eastAsia="Arial" w:hAnsi="Arial"/>
          <w:sz w:val="13"/>
          <w:szCs w:val="13"/>
          <w:color w:val="008000"/>
        </w:rPr>
      </w:pPr>
    </w:p>
    <w:p>
      <w:pPr>
        <w:ind w:left="40" w:right="1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to the Reporting Person of restricted stock units under the OptimizeRx Corp. 2021 Equity Incentive Plan. The restricted stock units granted vest on September 29, 2022, subject to continued service to the issuer through the vesting date. This restricted stock units granted are subject to accelerated vesting in the event that the recipient is subject to a qualified termination within a specified period of time prior to or following the closing of a change in control transaction.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Gregory Wasson</w:t>
            </w:r>
          </w:p>
        </w:tc>
        <w:tc>
          <w:tcPr>
            <w:tcW w:w="940" w:type="dxa"/>
            <w:vAlign w:val="bottom"/>
            <w:gridSpan w:val="2"/>
          </w:tcPr>
          <w:p>
            <w:pPr>
              <w:ind w:left="160"/>
              <w:spacing w:after="0"/>
              <w:rPr>
                <w:sz w:val="20"/>
                <w:szCs w:val="20"/>
                <w:color w:val="auto"/>
              </w:rPr>
            </w:pPr>
            <w:r>
              <w:rPr>
                <w:rFonts w:ascii="Arial" w:cs="Arial" w:eastAsia="Arial" w:hAnsi="Arial"/>
                <w:sz w:val="17"/>
                <w:szCs w:val="17"/>
                <w:color w:val="0000FF"/>
                <w:w w:val="89"/>
              </w:rPr>
              <w:t>10/01/2021</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82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2021-10-01T15:48:54Z</dcterms:created>
  <dcterms:modified xsi:type="dcterms:W3CDTF">2021-10-01T15:48:54Z</dcterms:modified>
</cp:coreProperties>
</file>