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9" w:lineRule="exact"/>
        <w:rPr>
          <w:sz w:val="24"/>
          <w:szCs w:val="24"/>
          <w:color w:val="auto"/>
        </w:rPr>
      </w:pPr>
    </w:p>
    <w:p>
      <w:pPr>
        <w:ind w:left="3780" w:right="2320" w:hanging="1452"/>
        <w:spacing w:after="0" w:line="484" w:lineRule="auto"/>
        <w:tabs>
          <w:tab w:leader="none" w:pos="2529"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 For the quarterly period ended September 30, 2022</w:t>
      </w:r>
    </w:p>
    <w:p>
      <w:pPr>
        <w:spacing w:after="0" w:line="29" w:lineRule="exact"/>
        <w:rPr>
          <w:rFonts w:ascii="MS PGothic" w:cs="MS PGothic" w:eastAsia="MS PGothic" w:hAnsi="MS PGothic"/>
          <w:sz w:val="18"/>
          <w:szCs w:val="18"/>
          <w:color w:val="auto"/>
        </w:rPr>
      </w:pPr>
    </w:p>
    <w:p>
      <w:pPr>
        <w:ind w:left="3520" w:right="2580" w:hanging="922"/>
        <w:spacing w:after="0" w:line="498" w:lineRule="auto"/>
        <w:tabs>
          <w:tab w:leader="none" w:pos="2807"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13 or 15(d) of the Securities Exchange Act of 1934 For the transition period from __________ to __________</w:t>
      </w:r>
    </w:p>
    <w:tbl>
      <w:tblPr>
        <w:tblLayout w:type="fixed"/>
        <w:tblInd w:w="0" w:type="dxa"/>
        <w:tblCellMar>
          <w:top w:w="0" w:type="dxa"/>
          <w:left w:w="0" w:type="dxa"/>
          <w:bottom w:w="0" w:type="dxa"/>
          <w:right w:w="0" w:type="dxa"/>
        </w:tblCellMar>
      </w:tblPr>
      <w:tr>
        <w:trPr>
          <w:trHeight w:val="199"/>
        </w:trPr>
        <w:tc>
          <w:tcPr>
            <w:tcW w:w="7680" w:type="dxa"/>
            <w:vAlign w:val="bottom"/>
            <w:gridSpan w:val="13"/>
          </w:tcPr>
          <w:p>
            <w:pPr>
              <w:jc w:val="center"/>
              <w:ind w:left="3490"/>
              <w:spacing w:after="0" w:line="199" w:lineRule="exact"/>
              <w:rPr>
                <w:sz w:val="20"/>
                <w:szCs w:val="20"/>
                <w:color w:val="auto"/>
              </w:rPr>
            </w:pPr>
            <w:r>
              <w:rPr>
                <w:rFonts w:ascii="Times New Roman" w:cs="Times New Roman" w:eastAsia="Times New Roman" w:hAnsi="Times New Roman"/>
                <w:sz w:val="18"/>
                <w:szCs w:val="18"/>
                <w:color w:val="auto"/>
                <w:w w:val="99"/>
              </w:rPr>
              <w:t xml:space="preserve">Commission File Number: </w:t>
            </w:r>
            <w:r>
              <w:rPr>
                <w:rFonts w:ascii="Times New Roman" w:cs="Times New Roman" w:eastAsia="Times New Roman" w:hAnsi="Times New Roman"/>
                <w:sz w:val="18"/>
                <w:szCs w:val="18"/>
                <w:b w:val="1"/>
                <w:bCs w:val="1"/>
                <w:color w:val="auto"/>
                <w:w w:val="99"/>
              </w:rPr>
              <w:t>001-38543</w:t>
            </w:r>
          </w:p>
        </w:tc>
        <w:tc>
          <w:tcPr>
            <w:tcW w:w="3560" w:type="dxa"/>
            <w:vAlign w:val="bottom"/>
          </w:tcPr>
          <w:p>
            <w:pPr>
              <w:spacing w:after="0"/>
              <w:rPr>
                <w:sz w:val="17"/>
                <w:szCs w:val="17"/>
                <w:color w:val="auto"/>
              </w:rPr>
            </w:pPr>
          </w:p>
        </w:tc>
      </w:tr>
      <w:tr>
        <w:trPr>
          <w:trHeight w:val="20"/>
        </w:trPr>
        <w:tc>
          <w:tcPr>
            <w:tcW w:w="4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r>
      <w:tr>
        <w:trPr>
          <w:trHeight w:val="412"/>
        </w:trPr>
        <w:tc>
          <w:tcPr>
            <w:tcW w:w="4660" w:type="dxa"/>
            <w:vAlign w:val="bottom"/>
          </w:tcPr>
          <w:p>
            <w:pPr>
              <w:spacing w:after="0"/>
              <w:rPr>
                <w:sz w:val="24"/>
                <w:szCs w:val="24"/>
                <w:color w:val="auto"/>
              </w:rPr>
            </w:pPr>
          </w:p>
        </w:tc>
        <w:tc>
          <w:tcPr>
            <w:tcW w:w="1940" w:type="dxa"/>
            <w:vAlign w:val="bottom"/>
            <w:tcBorders>
              <w:bottom w:val="single" w:sz="8" w:color="auto"/>
            </w:tcBorders>
            <w:gridSpan w:val="10"/>
          </w:tcPr>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tc>
        <w:tc>
          <w:tcPr>
            <w:tcW w:w="1080" w:type="dxa"/>
            <w:vAlign w:val="bottom"/>
            <w:gridSpan w:val="2"/>
          </w:tcPr>
          <w:p>
            <w:pPr>
              <w:spacing w:after="0"/>
              <w:rPr>
                <w:sz w:val="24"/>
                <w:szCs w:val="24"/>
                <w:color w:val="auto"/>
              </w:rPr>
            </w:pPr>
          </w:p>
        </w:tc>
        <w:tc>
          <w:tcPr>
            <w:tcW w:w="3560" w:type="dxa"/>
            <w:vAlign w:val="bottom"/>
          </w:tcPr>
          <w:p>
            <w:pPr>
              <w:spacing w:after="0"/>
              <w:rPr>
                <w:sz w:val="24"/>
                <w:szCs w:val="24"/>
                <w:color w:val="auto"/>
              </w:rPr>
            </w:pPr>
          </w:p>
        </w:tc>
      </w:tr>
      <w:tr>
        <w:trPr>
          <w:trHeight w:val="237"/>
        </w:trPr>
        <w:tc>
          <w:tcPr>
            <w:tcW w:w="7680" w:type="dxa"/>
            <w:vAlign w:val="bottom"/>
            <w:gridSpan w:val="13"/>
          </w:tcPr>
          <w:p>
            <w:pPr>
              <w:jc w:val="center"/>
              <w:ind w:left="347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560" w:type="dxa"/>
            <w:vAlign w:val="bottom"/>
          </w:tcPr>
          <w:p>
            <w:pPr>
              <w:spacing w:after="0"/>
              <w:rPr>
                <w:sz w:val="20"/>
                <w:szCs w:val="20"/>
                <w:color w:val="auto"/>
              </w:rPr>
            </w:pPr>
          </w:p>
        </w:tc>
      </w:tr>
      <w:tr>
        <w:trPr>
          <w:trHeight w:val="439"/>
        </w:trPr>
        <w:tc>
          <w:tcPr>
            <w:tcW w:w="7680" w:type="dxa"/>
            <w:vAlign w:val="bottom"/>
            <w:gridSpan w:val="13"/>
          </w:tcPr>
          <w:p>
            <w:pPr>
              <w:jc w:val="center"/>
              <w:ind w:right="214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3560" w:type="dxa"/>
            <w:vAlign w:val="bottom"/>
          </w:tcPr>
          <w:p>
            <w:pPr>
              <w:jc w:val="center"/>
              <w:ind w:right="1850"/>
              <w:spacing w:after="0"/>
              <w:rPr>
                <w:sz w:val="20"/>
                <w:szCs w:val="20"/>
                <w:color w:val="auto"/>
              </w:rPr>
            </w:pPr>
            <w:r>
              <w:rPr>
                <w:rFonts w:ascii="Times New Roman" w:cs="Times New Roman" w:eastAsia="Times New Roman" w:hAnsi="Times New Roman"/>
                <w:sz w:val="18"/>
                <w:szCs w:val="18"/>
                <w:b w:val="1"/>
                <w:bCs w:val="1"/>
                <w:color w:val="auto"/>
                <w:w w:val="98"/>
              </w:rPr>
              <w:t>26-1265381</w:t>
            </w:r>
          </w:p>
        </w:tc>
      </w:tr>
      <w:tr>
        <w:trPr>
          <w:trHeight w:val="198"/>
        </w:trPr>
        <w:tc>
          <w:tcPr>
            <w:tcW w:w="5520" w:type="dxa"/>
            <w:vAlign w:val="bottom"/>
            <w:tcBorders>
              <w:top w:val="single" w:sz="8" w:color="auto"/>
            </w:tcBorders>
            <w:gridSpan w:val="4"/>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3560" w:type="dxa"/>
            <w:vAlign w:val="bottom"/>
            <w:tcBorders>
              <w:top w:val="single" w:sz="8" w:color="auto"/>
            </w:tcBorders>
          </w:tcPr>
          <w:p>
            <w:pPr>
              <w:jc w:val="center"/>
              <w:ind w:right="185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7680" w:type="dxa"/>
            <w:vAlign w:val="bottom"/>
            <w:gridSpan w:val="13"/>
          </w:tcPr>
          <w:p>
            <w:pPr>
              <w:jc w:val="center"/>
              <w:ind w:right="216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560" w:type="dxa"/>
            <w:vAlign w:val="bottom"/>
          </w:tcPr>
          <w:p>
            <w:pPr>
              <w:jc w:val="center"/>
              <w:ind w:right="18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7680" w:type="dxa"/>
            <w:vAlign w:val="bottom"/>
            <w:gridSpan w:val="13"/>
          </w:tcPr>
          <w:p>
            <w:pPr>
              <w:jc w:val="center"/>
              <w:ind w:left="3470"/>
              <w:spacing w:after="0"/>
              <w:rPr>
                <w:sz w:val="20"/>
                <w:szCs w:val="20"/>
                <w:color w:val="auto"/>
              </w:rPr>
            </w:pPr>
            <w:r>
              <w:rPr>
                <w:rFonts w:ascii="Times New Roman" w:cs="Times New Roman" w:eastAsia="Times New Roman" w:hAnsi="Times New Roman"/>
                <w:sz w:val="18"/>
                <w:szCs w:val="18"/>
                <w:b w:val="1"/>
                <w:bCs w:val="1"/>
                <w:color w:val="auto"/>
                <w:w w:val="98"/>
              </w:rPr>
              <w:t>400 Water Street</w:t>
            </w:r>
            <w:r>
              <w:rPr>
                <w:rFonts w:ascii="Times New Roman" w:cs="Times New Roman" w:eastAsia="Times New Roman" w:hAnsi="Times New Roman"/>
                <w:sz w:val="18"/>
                <w:szCs w:val="18"/>
                <w:color w:val="auto"/>
                <w:w w:val="98"/>
              </w:rPr>
              <w:t>,</w:t>
            </w:r>
            <w:r>
              <w:rPr>
                <w:rFonts w:ascii="Times New Roman" w:cs="Times New Roman" w:eastAsia="Times New Roman" w:hAnsi="Times New Roman"/>
                <w:sz w:val="18"/>
                <w:szCs w:val="18"/>
                <w:b w:val="1"/>
                <w:bCs w:val="1"/>
                <w:color w:val="auto"/>
                <w:w w:val="98"/>
              </w:rPr>
              <w:t xml:space="preserve"> Suite 200</w:t>
            </w:r>
          </w:p>
        </w:tc>
        <w:tc>
          <w:tcPr>
            <w:tcW w:w="3560" w:type="dxa"/>
            <w:vAlign w:val="bottom"/>
          </w:tcPr>
          <w:p>
            <w:pPr>
              <w:spacing w:after="0"/>
              <w:rPr>
                <w:sz w:val="24"/>
                <w:szCs w:val="24"/>
                <w:color w:val="auto"/>
              </w:rPr>
            </w:pPr>
          </w:p>
        </w:tc>
      </w:tr>
      <w:tr>
        <w:trPr>
          <w:trHeight w:val="198"/>
        </w:trPr>
        <w:tc>
          <w:tcPr>
            <w:tcW w:w="4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80" w:type="dxa"/>
            <w:vAlign w:val="bottom"/>
            <w:gridSpan w:val="11"/>
          </w:tcPr>
          <w:p>
            <w:pPr>
              <w:jc w:val="center"/>
              <w:ind w:right="1240"/>
              <w:spacing w:after="0" w:line="198" w:lineRule="exact"/>
              <w:rPr>
                <w:sz w:val="20"/>
                <w:szCs w:val="20"/>
                <w:color w:val="auto"/>
              </w:rPr>
            </w:pPr>
            <w:r>
              <w:rPr>
                <w:rFonts w:ascii="Times New Roman" w:cs="Times New Roman" w:eastAsia="Times New Roman" w:hAnsi="Times New Roman"/>
                <w:sz w:val="18"/>
                <w:szCs w:val="18"/>
                <w:b w:val="1"/>
                <w:bCs w:val="1"/>
                <w:color w:val="auto"/>
                <w:w w:val="99"/>
              </w:rPr>
              <w:t>Rochester, MI, 48307</w:t>
            </w:r>
          </w:p>
        </w:tc>
        <w:tc>
          <w:tcPr>
            <w:tcW w:w="3560" w:type="dxa"/>
            <w:vAlign w:val="bottom"/>
          </w:tcPr>
          <w:p>
            <w:pPr>
              <w:spacing w:after="0"/>
              <w:rPr>
                <w:sz w:val="17"/>
                <w:szCs w:val="17"/>
                <w:color w:val="auto"/>
              </w:rPr>
            </w:pPr>
          </w:p>
        </w:tc>
      </w:tr>
      <w:tr>
        <w:trPr>
          <w:trHeight w:val="20"/>
        </w:trPr>
        <w:tc>
          <w:tcPr>
            <w:tcW w:w="4800" w:type="dxa"/>
            <w:vAlign w:val="bottom"/>
            <w:gridSpan w:val="2"/>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r>
      <w:tr>
        <w:trPr>
          <w:trHeight w:val="237"/>
        </w:trPr>
        <w:tc>
          <w:tcPr>
            <w:tcW w:w="7680" w:type="dxa"/>
            <w:vAlign w:val="bottom"/>
            <w:gridSpan w:val="13"/>
          </w:tcPr>
          <w:p>
            <w:pPr>
              <w:jc w:val="center"/>
              <w:ind w:left="349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560" w:type="dxa"/>
            <w:vAlign w:val="bottom"/>
          </w:tcPr>
          <w:p>
            <w:pPr>
              <w:spacing w:after="0"/>
              <w:rPr>
                <w:sz w:val="20"/>
                <w:szCs w:val="20"/>
                <w:color w:val="auto"/>
              </w:rPr>
            </w:pPr>
          </w:p>
        </w:tc>
      </w:tr>
      <w:tr>
        <w:trPr>
          <w:trHeight w:val="392"/>
        </w:trPr>
        <w:tc>
          <w:tcPr>
            <w:tcW w:w="6140" w:type="dxa"/>
            <w:vAlign w:val="bottom"/>
            <w:gridSpan w:val="8"/>
          </w:tcPr>
          <w:p>
            <w:pPr>
              <w:jc w:val="center"/>
              <w:ind w:left="5030"/>
              <w:spacing w:after="0"/>
              <w:rPr>
                <w:sz w:val="20"/>
                <w:szCs w:val="20"/>
                <w:color w:val="auto"/>
              </w:rPr>
            </w:pPr>
            <w:r>
              <w:rPr>
                <w:rFonts w:ascii="Times New Roman" w:cs="Times New Roman" w:eastAsia="Times New Roman" w:hAnsi="Times New Roman"/>
                <w:sz w:val="18"/>
                <w:szCs w:val="18"/>
                <w:b w:val="1"/>
                <w:bCs w:val="1"/>
                <w:color w:val="auto"/>
                <w:w w:val="99"/>
              </w:rPr>
              <w:t>248-651-6568</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20"/>
        </w:trPr>
        <w:tc>
          <w:tcPr>
            <w:tcW w:w="5120" w:type="dxa"/>
            <w:vAlign w:val="bottom"/>
            <w:gridSpan w:val="3"/>
          </w:tcPr>
          <w:p>
            <w:pPr>
              <w:spacing w:after="0" w:line="20" w:lineRule="exact"/>
              <w:rPr>
                <w:sz w:val="1"/>
                <w:szCs w:val="1"/>
                <w:color w:val="auto"/>
              </w:rPr>
            </w:pPr>
          </w:p>
        </w:tc>
        <w:tc>
          <w:tcPr>
            <w:tcW w:w="1020" w:type="dxa"/>
            <w:vAlign w:val="bottom"/>
            <w:gridSpan w:val="5"/>
            <w:shd w:val="clear" w:color="auto" w:fill="000000"/>
          </w:tcPr>
          <w:p>
            <w:pPr>
              <w:spacing w:after="0" w:line="20" w:lineRule="exact"/>
              <w:rPr>
                <w:sz w:val="1"/>
                <w:szCs w:val="1"/>
                <w:color w:val="auto"/>
              </w:rPr>
            </w:pPr>
          </w:p>
        </w:tc>
        <w:tc>
          <w:tcPr>
            <w:tcW w:w="1540" w:type="dxa"/>
            <w:vAlign w:val="bottom"/>
            <w:gridSpan w:val="5"/>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r>
      <w:tr>
        <w:trPr>
          <w:trHeight w:val="236"/>
        </w:trPr>
        <w:tc>
          <w:tcPr>
            <w:tcW w:w="7680" w:type="dxa"/>
            <w:vAlign w:val="bottom"/>
            <w:gridSpan w:val="13"/>
          </w:tcPr>
          <w:p>
            <w:pPr>
              <w:jc w:val="center"/>
              <w:ind w:left="347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560" w:type="dxa"/>
            <w:vAlign w:val="bottom"/>
          </w:tcPr>
          <w:p>
            <w:pPr>
              <w:spacing w:after="0"/>
              <w:rPr>
                <w:sz w:val="20"/>
                <w:szCs w:val="20"/>
                <w:color w:val="auto"/>
              </w:rPr>
            </w:pPr>
          </w:p>
        </w:tc>
      </w:tr>
    </w:tbl>
    <w:p>
      <w:pPr>
        <w:spacing w:after="0" w:line="200" w:lineRule="exact"/>
        <w:rPr>
          <w:sz w:val="24"/>
          <w:szCs w:val="24"/>
          <w:color w:val="auto"/>
        </w:rPr>
      </w:pPr>
    </w:p>
    <w:p>
      <w:pPr>
        <w:spacing w:after="0" w:line="214" w:lineRule="exact"/>
        <w:rPr>
          <w:sz w:val="24"/>
          <w:szCs w:val="24"/>
          <w:color w:val="auto"/>
        </w:rPr>
      </w:pPr>
    </w:p>
    <w:p>
      <w:pPr>
        <w:ind w:left="2680"/>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under Section 12(b) of the Exchange Act:</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4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w:t>
            </w:r>
          </w:p>
        </w:tc>
        <w:tc>
          <w:tcPr>
            <w:tcW w:w="120" w:type="dxa"/>
            <w:vAlign w:val="bottom"/>
            <w:tcBorders>
              <w:top w:val="single" w:sz="8" w:color="CCEEFF"/>
            </w:tcBorders>
            <w:shd w:val="clear" w:color="auto" w:fill="CCEEFF"/>
          </w:tcPr>
          <w:p>
            <w:pPr>
              <w:spacing w:after="0"/>
              <w:rPr>
                <w:sz w:val="18"/>
                <w:szCs w:val="18"/>
                <w:color w:val="auto"/>
              </w:rPr>
            </w:pPr>
          </w:p>
        </w:tc>
        <w:tc>
          <w:tcPr>
            <w:tcW w:w="33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OPRX</w:t>
            </w:r>
          </w:p>
        </w:tc>
        <w:tc>
          <w:tcPr>
            <w:tcW w:w="120" w:type="dxa"/>
            <w:vAlign w:val="bottom"/>
            <w:tcBorders>
              <w:top w:val="single" w:sz="8" w:color="CCEEFF"/>
            </w:tcBorders>
            <w:shd w:val="clear" w:color="auto" w:fill="CCEEFF"/>
          </w:tcPr>
          <w:p>
            <w:pPr>
              <w:spacing w:after="0"/>
              <w:rPr>
                <w:sz w:val="18"/>
                <w:szCs w:val="18"/>
                <w:color w:val="auto"/>
              </w:rPr>
            </w:pPr>
          </w:p>
        </w:tc>
        <w:tc>
          <w:tcPr>
            <w:tcW w:w="4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98"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513" w:right="339" w:bottom="1440" w:gutter="0" w:footer="0" w:header="0"/>
        </w:sectPr>
      </w:pPr>
    </w:p>
    <w:p>
      <w:pPr>
        <w:spacing w:after="0" w:line="147" w:lineRule="exact"/>
        <w:rPr>
          <w:sz w:val="24"/>
          <w:szCs w:val="24"/>
          <w:color w:val="auto"/>
        </w:rPr>
      </w:pPr>
    </w:p>
    <w:p>
      <w:pPr>
        <w:ind w:left="1140"/>
        <w:spacing w:after="0" w:line="207" w:lineRule="exact"/>
        <w:tabs>
          <w:tab w:leader="none" w:pos="146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Large accelerated filer</w:t>
      </w:r>
    </w:p>
    <w:p>
      <w:pPr>
        <w:spacing w:after="0" w:line="58" w:lineRule="exact"/>
        <w:rPr>
          <w:sz w:val="24"/>
          <w:szCs w:val="24"/>
          <w:color w:val="auto"/>
        </w:rPr>
      </w:pPr>
    </w:p>
    <w:p>
      <w:pPr>
        <w:ind w:left="1140"/>
        <w:spacing w:after="0" w:line="207" w:lineRule="exact"/>
        <w:tabs>
          <w:tab w:leader="none" w:pos="146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line="207" w:lineRule="exact"/>
        <w:tabs>
          <w:tab w:leader="none" w:pos="30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Accelerated filer</w:t>
      </w:r>
    </w:p>
    <w:p>
      <w:pPr>
        <w:spacing w:after="0" w:line="58" w:lineRule="exact"/>
        <w:rPr>
          <w:sz w:val="24"/>
          <w:szCs w:val="24"/>
          <w:color w:val="auto"/>
        </w:rPr>
      </w:pPr>
    </w:p>
    <w:p>
      <w:pPr>
        <w:spacing w:after="0" w:line="207" w:lineRule="exact"/>
        <w:tabs>
          <w:tab w:leader="none" w:pos="30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Smaller reporting company</w:t>
      </w:r>
    </w:p>
    <w:p>
      <w:pPr>
        <w:spacing w:after="0" w:line="9" w:lineRule="exact"/>
        <w:rPr>
          <w:sz w:val="24"/>
          <w:szCs w:val="24"/>
          <w:color w:val="auto"/>
        </w:rPr>
      </w:pPr>
    </w:p>
    <w:p>
      <w:pPr>
        <w:spacing w:after="0" w:line="207" w:lineRule="exact"/>
        <w:tabs>
          <w:tab w:leader="none" w:pos="30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Emerging growth company</w:t>
      </w:r>
    </w:p>
    <w:p>
      <w:pPr>
        <w:spacing w:after="0" w:line="200" w:lineRule="exact"/>
        <w:rPr>
          <w:sz w:val="24"/>
          <w:szCs w:val="24"/>
          <w:color w:val="auto"/>
        </w:rPr>
      </w:pPr>
    </w:p>
    <w:p>
      <w:pPr>
        <w:sectPr>
          <w:pgSz w:w="11900" w:h="16838" w:orient="portrait"/>
          <w:cols w:equalWidth="0" w:num="2">
            <w:col w:w="5600" w:space="720"/>
            <w:col w:w="4920"/>
          </w:cols>
          <w:pgMar w:left="320" w:top="513" w:right="339" w:bottom="1440" w:gutter="0" w:footer="0" w:header="0"/>
          <w:type w:val="continuous"/>
        </w:sectPr>
      </w:pPr>
    </w:p>
    <w:p>
      <w:pPr>
        <w:spacing w:after="0" w:line="5"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54"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State the number of shares outstanding of each of the issuer’s classes of common stock, as of the latest practicable date: 17,152,717 common shares as of November 3,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431165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80" w:type="dxa"/>
            <w:vAlign w:val="bottom"/>
            <w:gridSpan w:val="5"/>
          </w:tcPr>
          <w:p>
            <w:pPr>
              <w:ind w:left="6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120" w:type="dxa"/>
            <w:vAlign w:val="bottom"/>
          </w:tcPr>
          <w:p>
            <w:pPr>
              <w:spacing w:after="0"/>
              <w:rPr>
                <w:sz w:val="20"/>
                <w:szCs w:val="20"/>
                <w:color w:val="auto"/>
              </w:rPr>
            </w:pPr>
          </w:p>
        </w:tc>
      </w:tr>
      <w:tr>
        <w:trPr>
          <w:trHeight w:val="453"/>
        </w:trPr>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1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Page</w:t>
            </w:r>
          </w:p>
        </w:tc>
      </w:tr>
      <w:tr>
        <w:trPr>
          <w:trHeight w:val="216"/>
        </w:trPr>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96"/>
        </w:trPr>
        <w:tc>
          <w:tcPr>
            <w:tcW w:w="9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20" w:type="dxa"/>
            <w:vAlign w:val="bottom"/>
            <w:gridSpan w:val="7"/>
            <w:shd w:val="clear" w:color="auto" w:fill="CCEEFF"/>
          </w:tcPr>
          <w:p>
            <w:pPr>
              <w:jc w:val="center"/>
              <w:ind w:right="2380"/>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PART I – FINANCIAL INFORMATION</w:t>
            </w:r>
          </w:p>
        </w:tc>
        <w:tc>
          <w:tcPr>
            <w:tcW w:w="1120" w:type="dxa"/>
            <w:vAlign w:val="bottom"/>
            <w:shd w:val="clear" w:color="auto" w:fill="CCEEFF"/>
          </w:tcPr>
          <w:p>
            <w:pPr>
              <w:spacing w:after="0"/>
              <w:rPr>
                <w:sz w:val="17"/>
                <w:szCs w:val="17"/>
                <w:color w:val="auto"/>
              </w:rPr>
            </w:pPr>
          </w:p>
        </w:tc>
      </w:tr>
      <w:tr>
        <w:trPr>
          <w:trHeight w:val="216"/>
        </w:trPr>
        <w:tc>
          <w:tcPr>
            <w:tcW w:w="9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17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7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238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Financial Statements (unaudited)</w:t>
            </w:r>
          </w:p>
        </w:tc>
        <w:tc>
          <w:tcPr>
            <w:tcW w:w="6820" w:type="dxa"/>
            <w:vAlign w:val="bottom"/>
            <w:tcBorders>
              <w:bottom w:val="single" w:sz="8" w:color="CCEEFF"/>
            </w:tcBorders>
            <w:gridSpan w:val="7"/>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176"/>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20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14</w:t>
            </w:r>
          </w:p>
        </w:tc>
      </w:tr>
      <w:tr>
        <w:trPr>
          <w:trHeight w:val="21"/>
        </w:trPr>
        <w:tc>
          <w:tcPr>
            <w:tcW w:w="9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17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20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w:t>
            </w:r>
          </w:p>
        </w:tc>
      </w:tr>
      <w:tr>
        <w:trPr>
          <w:trHeight w:val="175"/>
        </w:trPr>
        <w:tc>
          <w:tcPr>
            <w:tcW w:w="9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4340" w:type="dxa"/>
            <w:vAlign w:val="bottom"/>
            <w:tcBorders>
              <w:top w:val="single" w:sz="8" w:color="0000EE"/>
            </w:tcBorders>
            <w:gridSpan w:val="11"/>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4860" w:type="dxa"/>
            <w:vAlign w:val="bottom"/>
            <w:tcBorders>
              <w:top w:val="single" w:sz="8" w:color="CCEEFF"/>
            </w:tcBorders>
            <w:gridSpan w:val="4"/>
          </w:tcPr>
          <w:p>
            <w:pPr>
              <w:spacing w:after="0"/>
              <w:rPr>
                <w:sz w:val="15"/>
                <w:szCs w:val="15"/>
                <w:color w:val="auto"/>
              </w:rPr>
            </w:pPr>
          </w:p>
        </w:tc>
        <w:tc>
          <w:tcPr>
            <w:tcW w:w="112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21</w:t>
            </w:r>
          </w:p>
        </w:tc>
      </w:tr>
      <w:tr>
        <w:trPr>
          <w:trHeight w:val="21"/>
        </w:trPr>
        <w:tc>
          <w:tcPr>
            <w:tcW w:w="9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16"/>
        </w:trPr>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176"/>
        </w:trPr>
        <w:tc>
          <w:tcPr>
            <w:tcW w:w="9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80" w:type="dxa"/>
            <w:vAlign w:val="bottom"/>
            <w:gridSpan w:val="5"/>
          </w:tcPr>
          <w:p>
            <w:pPr>
              <w:jc w:val="center"/>
              <w:ind w:right="3140"/>
              <w:spacing w:after="0" w:line="176" w:lineRule="exact"/>
              <w:rPr>
                <w:sz w:val="20"/>
                <w:szCs w:val="20"/>
                <w:color w:val="auto"/>
              </w:rPr>
            </w:pPr>
            <w:r>
              <w:rPr>
                <w:rFonts w:ascii="Times New Roman" w:cs="Times New Roman" w:eastAsia="Times New Roman" w:hAnsi="Times New Roman"/>
                <w:sz w:val="18"/>
                <w:szCs w:val="18"/>
                <w:b w:val="1"/>
                <w:bCs w:val="1"/>
                <w:color w:val="0000EE"/>
                <w:w w:val="98"/>
              </w:rPr>
              <w:t>PART II — OTHER INFORMATION</w:t>
            </w:r>
          </w:p>
        </w:tc>
        <w:tc>
          <w:tcPr>
            <w:tcW w:w="1120" w:type="dxa"/>
            <w:vAlign w:val="bottom"/>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17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16"/>
        </w:trPr>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176"/>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20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22</w:t>
            </w:r>
          </w:p>
        </w:tc>
      </w:tr>
      <w:tr>
        <w:trPr>
          <w:trHeight w:val="21"/>
        </w:trPr>
        <w:tc>
          <w:tcPr>
            <w:tcW w:w="9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8300" w:type="dxa"/>
            <w:vAlign w:val="bottom"/>
            <w:tcBorders>
              <w:bottom w:val="single" w:sz="8" w:color="CCEEFF"/>
            </w:tcBorders>
            <w:gridSpan w:val="13"/>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22</w:t>
            </w:r>
          </w:p>
        </w:tc>
      </w:tr>
      <w:tr>
        <w:trPr>
          <w:trHeight w:val="175"/>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20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24</w:t>
            </w:r>
          </w:p>
        </w:tc>
      </w:tr>
      <w:tr>
        <w:trPr>
          <w:trHeight w:val="21"/>
        </w:trPr>
        <w:tc>
          <w:tcPr>
            <w:tcW w:w="9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232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Defaults Upon Senior Securities</w:t>
            </w:r>
          </w:p>
        </w:tc>
        <w:tc>
          <w:tcPr>
            <w:tcW w:w="6880" w:type="dxa"/>
            <w:vAlign w:val="bottom"/>
            <w:tcBorders>
              <w:bottom w:val="single" w:sz="8" w:color="CCEEFF"/>
            </w:tcBorders>
            <w:gridSpan w:val="8"/>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24</w:t>
            </w:r>
          </w:p>
        </w:tc>
      </w:tr>
      <w:tr>
        <w:trPr>
          <w:trHeight w:val="176"/>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20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24</w:t>
            </w:r>
          </w:p>
        </w:tc>
      </w:tr>
      <w:tr>
        <w:trPr>
          <w:trHeight w:val="20"/>
        </w:trPr>
        <w:tc>
          <w:tcPr>
            <w:tcW w:w="9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920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24</w:t>
            </w:r>
          </w:p>
        </w:tc>
      </w:tr>
      <w:tr>
        <w:trPr>
          <w:trHeight w:val="175"/>
        </w:trPr>
        <w:tc>
          <w:tcPr>
            <w:tcW w:w="9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top w:val="single" w:sz="8" w:color="0000EE"/>
              <w:bottom w:val="single" w:sz="8" w:color="0000EE"/>
            </w:tcBorders>
          </w:tcPr>
          <w:p>
            <w:pPr>
              <w:spacing w:after="0" w:line="176" w:lineRule="exact"/>
              <w:rPr>
                <w:sz w:val="20"/>
                <w:szCs w:val="20"/>
                <w:color w:val="auto"/>
              </w:rPr>
            </w:pPr>
            <w:r>
              <w:rPr>
                <w:rFonts w:ascii="Times New Roman" w:cs="Times New Roman" w:eastAsia="Times New Roman" w:hAnsi="Times New Roman"/>
                <w:sz w:val="18"/>
                <w:szCs w:val="18"/>
                <w:color w:val="0000EE"/>
                <w:w w:val="96"/>
              </w:rPr>
              <w:t>Exhibits</w:t>
            </w:r>
          </w:p>
        </w:tc>
        <w:tc>
          <w:tcPr>
            <w:tcW w:w="700" w:type="dxa"/>
            <w:vAlign w:val="bottom"/>
            <w:tcBorders>
              <w:top w:val="single" w:sz="8" w:color="0000EE"/>
            </w:tcBorders>
            <w:gridSpan w:val="2"/>
          </w:tcPr>
          <w:p>
            <w:pPr>
              <w:spacing w:after="0"/>
              <w:rPr>
                <w:sz w:val="15"/>
                <w:szCs w:val="15"/>
                <w:color w:val="auto"/>
              </w:rPr>
            </w:pPr>
          </w:p>
        </w:tc>
        <w:tc>
          <w:tcPr>
            <w:tcW w:w="7900" w:type="dxa"/>
            <w:vAlign w:val="bottom"/>
            <w:tcBorders>
              <w:top w:val="single" w:sz="8" w:color="CCEEFF"/>
            </w:tcBorders>
            <w:gridSpan w:val="12"/>
          </w:tcPr>
          <w:p>
            <w:pPr>
              <w:spacing w:after="0"/>
              <w:rPr>
                <w:sz w:val="15"/>
                <w:szCs w:val="15"/>
                <w:color w:val="auto"/>
              </w:rPr>
            </w:pPr>
          </w:p>
        </w:tc>
        <w:tc>
          <w:tcPr>
            <w:tcW w:w="112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24</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condensed consolidated financial statements included in this Form 10-Q are as follows:</w:t>
      </w:r>
    </w:p>
    <w:p>
      <w:pPr>
        <w:spacing w:after="0" w:line="225" w:lineRule="exact"/>
        <w:rPr>
          <w:sz w:val="20"/>
          <w:szCs w:val="20"/>
          <w:color w:val="auto"/>
        </w:rPr>
      </w:pPr>
    </w:p>
    <w:p>
      <w:pPr>
        <w:ind w:left="900" w:hanging="491"/>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Condensed Consolidated Balance Sheets as of September 30, 2022 (unaudited) and December 31, 2021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900" w:hanging="491"/>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Condensed Consolidated Statements of Operations for the three and nine months ended September 30, 2022 and 2021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74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900" w:hanging="491"/>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Condensed Consolidated Statements of Changes in Stockholders’ Equity for the three and nine months ended September 30, 2022 and 2021</w:t>
      </w:r>
    </w:p>
    <w:p>
      <w:pPr>
        <w:spacing w:after="0" w:line="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u w:val="single" w:color="auto"/>
          <w:color w:val="0000EE"/>
        </w:rPr>
        <w:t>(unaudited);</w:t>
      </w:r>
    </w:p>
    <w:p>
      <w:pPr>
        <w:spacing w:after="0" w:line="9" w:lineRule="exact"/>
        <w:rPr>
          <w:sz w:val="20"/>
          <w:szCs w:val="20"/>
          <w:color w:val="auto"/>
        </w:rPr>
      </w:pPr>
    </w:p>
    <w:p>
      <w:pPr>
        <w:ind w:left="900" w:hanging="491"/>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Condensed Consolidated Statements of Cash Flows for the nine months ended September 30, 2022 and 2021 (unaudited);</w:t>
      </w:r>
    </w:p>
    <w:p>
      <w:pPr>
        <w:spacing w:after="0" w:line="9" w:lineRule="exact"/>
        <w:rPr>
          <w:rFonts w:ascii="Times New Roman" w:cs="Times New Roman" w:eastAsia="Times New Roman" w:hAnsi="Times New Roman"/>
          <w:sz w:val="18"/>
          <w:szCs w:val="18"/>
          <w:color w:val="auto"/>
        </w:rPr>
      </w:pPr>
    </w:p>
    <w:p>
      <w:pPr>
        <w:ind w:left="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w:t>
      </w:r>
      <w:r>
        <w:rPr>
          <w:rFonts w:ascii="Times New Roman" w:cs="Times New Roman" w:eastAsia="Times New Roman" w:hAnsi="Times New Roman"/>
          <w:sz w:val="18"/>
          <w:szCs w:val="18"/>
          <w:u w:val="single" w:color="auto"/>
          <w:color w:val="0000EE"/>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September 30,</w:t>
            </w:r>
          </w:p>
        </w:tc>
        <w:tc>
          <w:tcPr>
            <w:tcW w:w="12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December 31,</w:t>
            </w:r>
          </w:p>
        </w:tc>
      </w:tr>
      <w:tr>
        <w:trPr>
          <w:trHeight w:val="241"/>
        </w:trPr>
        <w:tc>
          <w:tcPr>
            <w:tcW w:w="86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8680" w:type="dxa"/>
            <w:vAlign w:val="bottom"/>
          </w:tcPr>
          <w:p>
            <w:pPr>
              <w:ind w:left="39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41,329,020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84,681,770</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 term investments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37,468,889</w:t>
            </w:r>
          </w:p>
        </w:tc>
        <w:tc>
          <w:tcPr>
            <w:tcW w:w="16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17,813,708</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24,800,585</w:t>
            </w: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2,722,987</w:t>
            </w:r>
          </w:p>
        </w:tc>
        <w:tc>
          <w:tcPr>
            <w:tcW w:w="16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5,630,655</w:t>
            </w:r>
          </w:p>
        </w:tc>
        <w:tc>
          <w:tcPr>
            <w:tcW w:w="80" w:type="dxa"/>
            <w:vAlign w:val="bottom"/>
          </w:tcPr>
          <w:p>
            <w:pPr>
              <w:spacing w:after="0"/>
              <w:rPr>
                <w:sz w:val="20"/>
                <w:szCs w:val="20"/>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99,334,604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115,113,010</w:t>
            </w:r>
          </w:p>
        </w:tc>
        <w:tc>
          <w:tcPr>
            <w:tcW w:w="100" w:type="dxa"/>
            <w:vAlign w:val="bottom"/>
            <w:tcBorders>
              <w:top w:val="single" w:sz="8" w:color="CCEEFF"/>
              <w:bottom w:val="single" w:sz="8" w:color="CCEEFF"/>
            </w:tcBorders>
            <w:gridSpan w:val="2"/>
            <w:shd w:val="clear" w:color="auto" w:fill="CCEEFF"/>
          </w:tcPr>
          <w:p>
            <w:pPr>
              <w:spacing w:after="0"/>
              <w:rPr>
                <w:sz w:val="20"/>
                <w:szCs w:val="20"/>
                <w:color w:val="auto"/>
              </w:rPr>
            </w:pPr>
          </w:p>
        </w:tc>
      </w:tr>
      <w:tr>
        <w:trPr>
          <w:trHeight w:val="210"/>
        </w:trPr>
        <w:tc>
          <w:tcPr>
            <w:tcW w:w="86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144,084</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143,818</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22,673,820</w:t>
            </w:r>
          </w:p>
        </w:tc>
        <w:tc>
          <w:tcPr>
            <w:tcW w:w="16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14,740,031</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13,452,893</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10,646,654</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 of use assets, net</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255,161</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328,820</w:t>
            </w:r>
          </w:p>
        </w:tc>
        <w:tc>
          <w:tcPr>
            <w:tcW w:w="80" w:type="dxa"/>
            <w:vAlign w:val="bottom"/>
          </w:tcPr>
          <w:p>
            <w:pPr>
              <w:spacing w:after="0"/>
              <w:rPr>
                <w:sz w:val="18"/>
                <w:szCs w:val="18"/>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Security deposits and other assets</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12,859</w:t>
            </w:r>
          </w:p>
        </w:tc>
        <w:tc>
          <w:tcPr>
            <w:tcW w:w="160" w:type="dxa"/>
            <w:vAlign w:val="bottom"/>
            <w:shd w:val="clear" w:color="auto" w:fill="CCEEFF"/>
          </w:tcPr>
          <w:p>
            <w:pPr>
              <w:spacing w:after="0"/>
              <w:rPr>
                <w:sz w:val="21"/>
                <w:szCs w:val="21"/>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12,859</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Other Assets</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36,394,733</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25,728,364</w:t>
            </w:r>
          </w:p>
        </w:tc>
        <w:tc>
          <w:tcPr>
            <w:tcW w:w="100" w:type="dxa"/>
            <w:vAlign w:val="bottom"/>
            <w:tcBorders>
              <w:top w:val="single" w:sz="8" w:color="CCEEFF"/>
              <w:bottom w:val="single" w:sz="8" w:color="CCEEFF"/>
            </w:tcBorders>
            <w:gridSpan w:val="2"/>
          </w:tcPr>
          <w:p>
            <w:pPr>
              <w:spacing w:after="0"/>
              <w:rPr>
                <w:sz w:val="18"/>
                <w:szCs w:val="18"/>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135,873,421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140,985,192</w:t>
            </w:r>
          </w:p>
        </w:tc>
        <w:tc>
          <w:tcPr>
            <w:tcW w:w="80" w:type="dxa"/>
            <w:vAlign w:val="bottom"/>
            <w:shd w:val="clear" w:color="auto" w:fill="CCEEFF"/>
          </w:tcPr>
          <w:p>
            <w:pPr>
              <w:spacing w:after="0"/>
              <w:rPr>
                <w:sz w:val="21"/>
                <w:szCs w:val="2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234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 trade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1,000,625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606,808</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1,699,558</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2,902,836</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 share payable</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2,673,622</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4,378,216</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lease obligations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87,448</w:t>
            </w:r>
          </w:p>
        </w:tc>
        <w:tc>
          <w:tcPr>
            <w:tcW w:w="16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90,982</w:t>
            </w: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673,214</w:t>
            </w: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1,389,907</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6,134,467</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9,368,749</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Non-Current Liabilities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liabilities, net of current portion</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166,751</w:t>
            </w:r>
          </w:p>
        </w:tc>
        <w:tc>
          <w:tcPr>
            <w:tcW w:w="16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236,726</w:t>
            </w:r>
          </w:p>
        </w:tc>
        <w:tc>
          <w:tcPr>
            <w:tcW w:w="80" w:type="dxa"/>
            <w:vAlign w:val="bottom"/>
          </w:tcPr>
          <w:p>
            <w:pPr>
              <w:spacing w:after="0"/>
              <w:rPr>
                <w:sz w:val="20"/>
                <w:szCs w:val="20"/>
                <w:color w:val="auto"/>
              </w:rPr>
            </w:pPr>
          </w:p>
        </w:tc>
      </w:tr>
      <w:tr>
        <w:trPr>
          <w:trHeight w:val="236"/>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6,301,218</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9,605,475</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8680" w:type="dxa"/>
            <w:vAlign w:val="bottom"/>
          </w:tcPr>
          <w:p>
            <w:pPr>
              <w:ind w:left="180"/>
              <w:spacing w:after="0" w:line="203" w:lineRule="exact"/>
              <w:rPr>
                <w:sz w:val="20"/>
                <w:szCs w:val="20"/>
                <w:color w:val="auto"/>
              </w:rPr>
            </w:pPr>
            <w:r>
              <w:rPr>
                <w:rFonts w:ascii="Times New Roman" w:cs="Times New Roman" w:eastAsia="Times New Roman" w:hAnsi="Times New Roman"/>
                <w:sz w:val="18"/>
                <w:szCs w:val="18"/>
                <w:color w:val="auto"/>
              </w:rPr>
              <w:t>Commitments and contingencies (See note 10)</w:t>
            </w: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tcPr>
          <w:p>
            <w:pPr>
              <w:spacing w:after="0"/>
              <w:rPr>
                <w:sz w:val="17"/>
                <w:szCs w:val="17"/>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8"/>
        </w:trPr>
        <w:tc>
          <w:tcPr>
            <w:tcW w:w="8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stock,$0.001 par value, 10,000,000 shares authorized, none issued and outstanding at September 30, 2022</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and December 31, 2021</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6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$0.001 par value, 166,666,667 shares authorized, 18,261,239 issued at September 31, 2022 and</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17,860,975 shares issued and outstanding at December 31, 2021.</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18,261</w:t>
            </w:r>
          </w:p>
        </w:tc>
        <w:tc>
          <w:tcPr>
            <w:tcW w:w="16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17,861</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Treasury stock</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(706)</w:t>
            </w:r>
          </w:p>
        </w:tc>
        <w:tc>
          <w:tcPr>
            <w:tcW w:w="16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paid-in-capital</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175,920,910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166,615,514</w:t>
            </w:r>
          </w:p>
        </w:tc>
        <w:tc>
          <w:tcPr>
            <w:tcW w:w="80" w:type="dxa"/>
            <w:vAlign w:val="bottom"/>
            <w:shd w:val="clear" w:color="auto" w:fill="CCEEFF"/>
          </w:tcPr>
          <w:p>
            <w:pPr>
              <w:spacing w:after="0"/>
              <w:rPr>
                <w:sz w:val="18"/>
                <w:szCs w:val="18"/>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(46,366,262)</w:t>
            </w:r>
          </w:p>
        </w:tc>
        <w:tc>
          <w:tcPr>
            <w:tcW w:w="160" w:type="dxa"/>
            <w:vAlign w:val="bottom"/>
          </w:tcPr>
          <w:p>
            <w:pPr>
              <w:spacing w:after="0"/>
              <w:rPr>
                <w:sz w:val="20"/>
                <w:szCs w:val="20"/>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(35,253,658)</w:t>
            </w: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129,572,203</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131,379,717</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135,873,421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140,985,192</w:t>
            </w:r>
          </w:p>
        </w:tc>
        <w:tc>
          <w:tcPr>
            <w:tcW w:w="80" w:type="dxa"/>
            <w:vAlign w:val="bottom"/>
          </w:tcPr>
          <w:p>
            <w:pPr>
              <w:spacing w:after="0"/>
              <w:rPr>
                <w:sz w:val="20"/>
                <w:szCs w:val="20"/>
                <w:color w:val="auto"/>
              </w:rPr>
            </w:pPr>
          </w:p>
        </w:tc>
      </w:tr>
      <w:tr>
        <w:trPr>
          <w:trHeight w:val="20"/>
        </w:trPr>
        <w:tc>
          <w:tcPr>
            <w:tcW w:w="8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20" w:type="dxa"/>
            <w:vAlign w:val="bottom"/>
            <w:gridSpan w:val="5"/>
          </w:tcPr>
          <w:p>
            <w:pPr>
              <w:jc w:val="right"/>
              <w:ind w:right="560"/>
              <w:spacing w:after="0"/>
              <w:rPr>
                <w:sz w:val="20"/>
                <w:szCs w:val="20"/>
                <w:color w:val="auto"/>
              </w:rPr>
            </w:pPr>
            <w:r>
              <w:rPr>
                <w:rFonts w:ascii="Times New Roman" w:cs="Times New Roman" w:eastAsia="Times New Roman" w:hAnsi="Times New Roman"/>
                <w:sz w:val="18"/>
                <w:szCs w:val="18"/>
                <w:color w:val="auto"/>
              </w:rPr>
              <w:t>For Three Months Ended</w:t>
            </w:r>
          </w:p>
        </w:tc>
        <w:tc>
          <w:tcPr>
            <w:tcW w:w="160" w:type="dxa"/>
            <w:vAlign w:val="bottom"/>
          </w:tcPr>
          <w:p>
            <w:pPr>
              <w:spacing w:after="0"/>
              <w:rPr>
                <w:sz w:val="18"/>
                <w:szCs w:val="18"/>
                <w:color w:val="auto"/>
              </w:rPr>
            </w:pPr>
          </w:p>
        </w:tc>
        <w:tc>
          <w:tcPr>
            <w:tcW w:w="2380" w:type="dxa"/>
            <w:vAlign w:val="bottom"/>
            <w:gridSpan w:val="5"/>
          </w:tcPr>
          <w:p>
            <w:pPr>
              <w:jc w:val="right"/>
              <w:ind w:right="381"/>
              <w:spacing w:after="0"/>
              <w:rPr>
                <w:sz w:val="20"/>
                <w:szCs w:val="20"/>
                <w:color w:val="auto"/>
              </w:rPr>
            </w:pPr>
            <w:r>
              <w:rPr>
                <w:rFonts w:ascii="Times New Roman" w:cs="Times New Roman" w:eastAsia="Times New Roman" w:hAnsi="Times New Roman"/>
                <w:sz w:val="18"/>
                <w:szCs w:val="18"/>
                <w:color w:val="auto"/>
              </w:rPr>
              <w:t>For Nine Months Ended</w:t>
            </w:r>
          </w:p>
        </w:tc>
        <w:tc>
          <w:tcPr>
            <w:tcW w:w="0" w:type="dxa"/>
            <w:vAlign w:val="bottom"/>
          </w:tcPr>
          <w:p>
            <w:pPr>
              <w:spacing w:after="0"/>
              <w:rPr>
                <w:sz w:val="1"/>
                <w:szCs w:val="1"/>
                <w:color w:val="auto"/>
              </w:rPr>
            </w:pPr>
          </w:p>
        </w:tc>
      </w:tr>
      <w:tr>
        <w:trPr>
          <w:trHeight w:val="241"/>
        </w:trPr>
        <w:tc>
          <w:tcPr>
            <w:tcW w:w="5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20" w:type="dxa"/>
            <w:vAlign w:val="bottom"/>
            <w:gridSpan w:val="5"/>
          </w:tcPr>
          <w:p>
            <w:pPr>
              <w:jc w:val="right"/>
              <w:ind w:right="940"/>
              <w:spacing w:after="0"/>
              <w:rPr>
                <w:sz w:val="20"/>
                <w:szCs w:val="20"/>
                <w:color w:val="auto"/>
              </w:rPr>
            </w:pPr>
            <w:r>
              <w:rPr>
                <w:rFonts w:ascii="Times New Roman" w:cs="Times New Roman" w:eastAsia="Times New Roman" w:hAnsi="Times New Roman"/>
                <w:sz w:val="18"/>
                <w:szCs w:val="18"/>
                <w:color w:val="auto"/>
              </w:rPr>
              <w:t>September 30,</w:t>
            </w:r>
          </w:p>
        </w:tc>
        <w:tc>
          <w:tcPr>
            <w:tcW w:w="160" w:type="dxa"/>
            <w:vAlign w:val="bottom"/>
          </w:tcPr>
          <w:p>
            <w:pPr>
              <w:spacing w:after="0"/>
              <w:rPr>
                <w:sz w:val="20"/>
                <w:szCs w:val="20"/>
                <w:color w:val="auto"/>
              </w:rPr>
            </w:pPr>
          </w:p>
        </w:tc>
        <w:tc>
          <w:tcPr>
            <w:tcW w:w="2380" w:type="dxa"/>
            <w:vAlign w:val="bottom"/>
            <w:gridSpan w:val="5"/>
          </w:tcPr>
          <w:p>
            <w:pPr>
              <w:jc w:val="right"/>
              <w:ind w:right="721"/>
              <w:spacing w:after="0"/>
              <w:rPr>
                <w:sz w:val="20"/>
                <w:szCs w:val="20"/>
                <w:color w:val="auto"/>
              </w:rPr>
            </w:pPr>
            <w:r>
              <w:rPr>
                <w:rFonts w:ascii="Times New Roman" w:cs="Times New Roman" w:eastAsia="Times New Roman" w:hAnsi="Times New Roman"/>
                <w:sz w:val="18"/>
                <w:szCs w:val="18"/>
                <w:color w:val="auto"/>
              </w:rPr>
              <w:t>September 30,</w:t>
            </w: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2022</w:t>
            </w:r>
          </w:p>
        </w:tc>
        <w:tc>
          <w:tcPr>
            <w:tcW w:w="26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c>
          <w:tcPr>
            <w:tcW w:w="2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15,085,504</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16,124,951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42,795,699</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40,979,801</w:t>
            </w: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00" w:type="dxa"/>
            <w:vAlign w:val="bottom"/>
          </w:tcPr>
          <w:p>
            <w:pPr>
              <w:spacing w:after="0"/>
              <w:rPr>
                <w:sz w:val="20"/>
                <w:szCs w:val="20"/>
                <w:color w:val="auto"/>
              </w:rPr>
            </w:pPr>
          </w:p>
        </w:tc>
        <w:tc>
          <w:tcPr>
            <w:tcW w:w="11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5,664,733</w:t>
            </w: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7,047,832</w:t>
            </w:r>
          </w:p>
        </w:tc>
        <w:tc>
          <w:tcPr>
            <w:tcW w:w="160" w:type="dxa"/>
            <w:vAlign w:val="bottom"/>
          </w:tcPr>
          <w:p>
            <w:pPr>
              <w:spacing w:after="0"/>
              <w:rPr>
                <w:sz w:val="20"/>
                <w:szCs w:val="20"/>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16,283,307</w:t>
            </w:r>
          </w:p>
        </w:tc>
        <w:tc>
          <w:tcPr>
            <w:tcW w:w="200" w:type="dxa"/>
            <w:vAlign w:val="bottom"/>
          </w:tcPr>
          <w:p>
            <w:pPr>
              <w:spacing w:after="0"/>
              <w:rPr>
                <w:sz w:val="20"/>
                <w:szCs w:val="20"/>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17,733,400</w:t>
            </w: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9,420,771</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9,077,119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26,512,392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23,246,401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Salaries, wages, &amp; benefits</w:t>
            </w:r>
          </w:p>
        </w:tc>
        <w:tc>
          <w:tcPr>
            <w:tcW w:w="200" w:type="dxa"/>
            <w:vAlign w:val="bottom"/>
          </w:tcPr>
          <w:p>
            <w:pPr>
              <w:spacing w:after="0"/>
              <w:rPr>
                <w:sz w:val="18"/>
                <w:szCs w:val="18"/>
                <w:color w:val="auto"/>
              </w:rPr>
            </w:pPr>
          </w:p>
        </w:tc>
        <w:tc>
          <w:tcPr>
            <w:tcW w:w="11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5,088,955</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4,619,320</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15,376,370</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12,106,933</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4,277,241</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1,008,007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11,476,662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2,612,198</w:t>
            </w:r>
          </w:p>
        </w:tc>
        <w:tc>
          <w:tcPr>
            <w:tcW w:w="0" w:type="dxa"/>
            <w:vAlign w:val="bottom"/>
          </w:tcPr>
          <w:p>
            <w:pPr>
              <w:spacing w:after="0"/>
              <w:rPr>
                <w:sz w:val="1"/>
                <w:szCs w:val="1"/>
                <w:color w:val="auto"/>
              </w:rPr>
            </w:pPr>
          </w:p>
        </w:tc>
      </w:tr>
      <w:tr>
        <w:trPr>
          <w:trHeight w:val="237"/>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general and administrative expenses</w:t>
            </w:r>
          </w:p>
        </w:tc>
        <w:tc>
          <w:tcPr>
            <w:tcW w:w="200" w:type="dxa"/>
            <w:vAlign w:val="bottom"/>
          </w:tcPr>
          <w:p>
            <w:pPr>
              <w:spacing w:after="0"/>
              <w:rPr>
                <w:sz w:val="20"/>
                <w:szCs w:val="20"/>
                <w:color w:val="auto"/>
              </w:rPr>
            </w:pPr>
          </w:p>
        </w:tc>
        <w:tc>
          <w:tcPr>
            <w:tcW w:w="11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3,811,334</w:t>
            </w: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3,411,602</w:t>
            </w:r>
          </w:p>
        </w:tc>
        <w:tc>
          <w:tcPr>
            <w:tcW w:w="160" w:type="dxa"/>
            <w:vAlign w:val="bottom"/>
          </w:tcPr>
          <w:p>
            <w:pPr>
              <w:spacing w:after="0"/>
              <w:rPr>
                <w:sz w:val="20"/>
                <w:szCs w:val="20"/>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11,085,750</w:t>
            </w:r>
          </w:p>
        </w:tc>
        <w:tc>
          <w:tcPr>
            <w:tcW w:w="200" w:type="dxa"/>
            <w:vAlign w:val="bottom"/>
          </w:tcPr>
          <w:p>
            <w:pPr>
              <w:spacing w:after="0"/>
              <w:rPr>
                <w:sz w:val="20"/>
                <w:szCs w:val="20"/>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8,787,250</w:t>
            </w:r>
          </w:p>
        </w:tc>
        <w:tc>
          <w:tcPr>
            <w:tcW w:w="0" w:type="dxa"/>
            <w:vAlign w:val="bottom"/>
          </w:tcPr>
          <w:p>
            <w:pPr>
              <w:spacing w:after="0"/>
              <w:rPr>
                <w:sz w:val="1"/>
                <w:szCs w:val="1"/>
                <w:color w:val="auto"/>
              </w:rPr>
            </w:pPr>
          </w:p>
        </w:tc>
      </w:tr>
      <w:tr>
        <w:trPr>
          <w:trHeight w:val="236"/>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13,177,530</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9,038,929</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37,938,782</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23,506,381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980" w:type="dxa"/>
            <w:vAlign w:val="bottom"/>
          </w:tcPr>
          <w:p>
            <w:pPr>
              <w:ind w:left="340"/>
              <w:spacing w:after="0" w:line="203" w:lineRule="exact"/>
              <w:rPr>
                <w:sz w:val="20"/>
                <w:szCs w:val="20"/>
                <w:color w:val="auto"/>
              </w:rPr>
            </w:pPr>
            <w:r>
              <w:rPr>
                <w:rFonts w:ascii="Times New Roman" w:cs="Times New Roman" w:eastAsia="Times New Roman" w:hAnsi="Times New Roman"/>
                <w:sz w:val="18"/>
                <w:szCs w:val="18"/>
                <w:color w:val="auto"/>
              </w:rPr>
              <w:t>Income (Loss) from operations</w:t>
            </w:r>
          </w:p>
        </w:tc>
        <w:tc>
          <w:tcPr>
            <w:tcW w:w="20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(3,756,759)</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38,190</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(11,426,390)</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(259,980)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tcPr>
          <w:p>
            <w:pPr>
              <w:spacing w:after="0"/>
              <w:rPr>
                <w:sz w:val="20"/>
                <w:szCs w:val="20"/>
                <w:color w:val="auto"/>
              </w:rPr>
            </w:pPr>
          </w:p>
        </w:tc>
        <w:tc>
          <w:tcPr>
            <w:tcW w:w="11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289,967</w:t>
            </w: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1,704</w:t>
            </w:r>
          </w:p>
        </w:tc>
        <w:tc>
          <w:tcPr>
            <w:tcW w:w="160" w:type="dxa"/>
            <w:vAlign w:val="bottom"/>
          </w:tcPr>
          <w:p>
            <w:pPr>
              <w:spacing w:after="0"/>
              <w:rPr>
                <w:sz w:val="20"/>
                <w:szCs w:val="20"/>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313,786</w:t>
            </w:r>
          </w:p>
        </w:tc>
        <w:tc>
          <w:tcPr>
            <w:tcW w:w="200" w:type="dxa"/>
            <w:vAlign w:val="bottom"/>
          </w:tcPr>
          <w:p>
            <w:pPr>
              <w:spacing w:after="0"/>
              <w:rPr>
                <w:sz w:val="20"/>
                <w:szCs w:val="20"/>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14,597</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provision for income taxes</w:t>
            </w: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(3,466,792)</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39,894</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(11,112,604)</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(245,383)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200" w:type="dxa"/>
            <w:vAlign w:val="bottom"/>
          </w:tcPr>
          <w:p>
            <w:pPr>
              <w:spacing w:after="0"/>
              <w:rPr>
                <w:sz w:val="19"/>
                <w:szCs w:val="19"/>
                <w:color w:val="auto"/>
              </w:rPr>
            </w:pPr>
          </w:p>
        </w:tc>
        <w:tc>
          <w:tcPr>
            <w:tcW w:w="11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vMerge w:val="restart"/>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shd w:val="clear" w:color="auto" w:fill="CCEEFF"/>
          </w:tcPr>
          <w:p>
            <w:pPr>
              <w:spacing w:after="0"/>
              <w:rPr>
                <w:sz w:val="21"/>
                <w:szCs w:val="21"/>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(3,466,792</w:t>
            </w:r>
          </w:p>
        </w:tc>
        <w:tc>
          <w:tcPr>
            <w:tcW w:w="260" w:type="dxa"/>
            <w:vAlign w:val="bottom"/>
            <w:vMerge w:val="continue"/>
            <w:shd w:val="clear" w:color="auto" w:fill="CCEEFF"/>
          </w:tcPr>
          <w:p>
            <w:pPr>
              <w:spacing w:after="0"/>
              <w:rPr>
                <w:sz w:val="21"/>
                <w:szCs w:val="21"/>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39,894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(11,112,604</w:t>
            </w:r>
          </w:p>
        </w:tc>
        <w:tc>
          <w:tcPr>
            <w:tcW w:w="220" w:type="dxa"/>
            <w:vAlign w:val="bottom"/>
            <w:vMerge w:val="continue"/>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(245,383</w:t>
            </w:r>
          </w:p>
        </w:tc>
        <w:tc>
          <w:tcPr>
            <w:tcW w:w="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Weighted average number of shares outstanding – basic</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5980" w:type="dxa"/>
            <w:vAlign w:val="bottom"/>
            <w:tcBorders>
              <w:bottom w:val="single" w:sz="8" w:color="CCEEFF"/>
            </w:tcBorders>
            <w:vMerge w:val="continue"/>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17,981,184</w:t>
            </w:r>
          </w:p>
        </w:tc>
        <w:tc>
          <w:tcPr>
            <w:tcW w:w="26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17,639,346</w:t>
            </w:r>
          </w:p>
        </w:tc>
        <w:tc>
          <w:tcPr>
            <w:tcW w:w="2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17,994,288</w:t>
            </w:r>
          </w:p>
        </w:tc>
        <w:tc>
          <w:tcPr>
            <w:tcW w:w="2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17,028,762</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Weighted average number of shares outstanding – diluted</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17,981,184</w:t>
            </w:r>
          </w:p>
        </w:tc>
        <w:tc>
          <w:tcPr>
            <w:tcW w:w="2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18,198,412</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17,994,288</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17,028,762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Income (loss) per share – basic</w:t>
            </w: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vMerge w:val="restart"/>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64"/>
        </w:trPr>
        <w:tc>
          <w:tcPr>
            <w:tcW w:w="5980" w:type="dxa"/>
            <w:vAlign w:val="bottom"/>
            <w:tcBorders>
              <w:bottom w:val="single" w:sz="8" w:color="CCEEFF"/>
            </w:tcBorders>
            <w:vMerge w:val="continue"/>
          </w:tcPr>
          <w:p>
            <w:pPr>
              <w:spacing w:after="0"/>
              <w:rPr>
                <w:sz w:val="22"/>
                <w:szCs w:val="22"/>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260" w:type="dxa"/>
            <w:vAlign w:val="bottom"/>
            <w:tcBorders>
              <w:bottom w:val="single" w:sz="8" w:color="CCEEFF"/>
            </w:tcBorders>
            <w:vMerge w:val="continue"/>
          </w:tcPr>
          <w:p>
            <w:pPr>
              <w:spacing w:after="0"/>
              <w:rPr>
                <w:sz w:val="22"/>
                <w:szCs w:val="22"/>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220" w:type="dxa"/>
            <w:vAlign w:val="bottom"/>
            <w:tcBorders>
              <w:bottom w:val="single" w:sz="8" w:color="CCEEFF"/>
            </w:tcBorders>
            <w:vMerge w:val="continue"/>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Borders>
              <w:bottom w:val="single" w:sz="8" w:color="CCEEFF"/>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Income (loss) per share – diluted</w:t>
            </w: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26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AND NINE MONTHS ENDED SEPTEMBER 30,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60" w:type="dxa"/>
            <w:vAlign w:val="bottom"/>
          </w:tcPr>
          <w:p>
            <w:pPr>
              <w:spacing w:after="0"/>
              <w:rPr>
                <w:sz w:val="18"/>
                <w:szCs w:val="18"/>
                <w:color w:val="auto"/>
              </w:rPr>
            </w:pPr>
          </w:p>
        </w:tc>
        <w:tc>
          <w:tcPr>
            <w:tcW w:w="2220" w:type="dxa"/>
            <w:vAlign w:val="bottom"/>
            <w:gridSpan w:val="6"/>
            <w:vMerge w:val="restart"/>
          </w:tcPr>
          <w:p>
            <w:pPr>
              <w:ind w:left="440"/>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tcPr>
          <w:p>
            <w:pPr>
              <w:spacing w:after="0"/>
              <w:rPr>
                <w:sz w:val="18"/>
                <w:szCs w:val="18"/>
                <w:color w:val="auto"/>
              </w:rPr>
            </w:pPr>
          </w:p>
        </w:tc>
        <w:tc>
          <w:tcPr>
            <w:tcW w:w="2020" w:type="dxa"/>
            <w:vAlign w:val="bottom"/>
            <w:gridSpan w:val="5"/>
            <w:vMerge w:val="restart"/>
          </w:tcPr>
          <w:p>
            <w:pPr>
              <w:jc w:val="right"/>
              <w:ind w:right="600"/>
              <w:spacing w:after="0"/>
              <w:rPr>
                <w:sz w:val="20"/>
                <w:szCs w:val="20"/>
                <w:color w:val="auto"/>
              </w:rPr>
            </w:pPr>
            <w:r>
              <w:rPr>
                <w:rFonts w:ascii="Times New Roman" w:cs="Times New Roman" w:eastAsia="Times New Roman" w:hAnsi="Times New Roman"/>
                <w:sz w:val="18"/>
                <w:szCs w:val="18"/>
                <w:color w:val="auto"/>
              </w:rPr>
              <w:t>Treasury Stock</w:t>
            </w:r>
          </w:p>
        </w:tc>
        <w:tc>
          <w:tcPr>
            <w:tcW w:w="6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Additional</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260" w:type="dxa"/>
            <w:vAlign w:val="bottom"/>
          </w:tcPr>
          <w:p>
            <w:pPr>
              <w:spacing w:after="0"/>
              <w:rPr>
                <w:sz w:val="19"/>
                <w:szCs w:val="19"/>
                <w:color w:val="auto"/>
              </w:rPr>
            </w:pPr>
          </w:p>
        </w:tc>
        <w:tc>
          <w:tcPr>
            <w:tcW w:w="2220" w:type="dxa"/>
            <w:vAlign w:val="bottom"/>
            <w:gridSpan w:val="6"/>
            <w:vMerge w:val="continue"/>
          </w:tcPr>
          <w:p>
            <w:pPr>
              <w:spacing w:after="0"/>
              <w:rPr>
                <w:sz w:val="19"/>
                <w:szCs w:val="19"/>
                <w:color w:val="auto"/>
              </w:rPr>
            </w:pPr>
          </w:p>
        </w:tc>
        <w:tc>
          <w:tcPr>
            <w:tcW w:w="120" w:type="dxa"/>
            <w:vAlign w:val="bottom"/>
          </w:tcPr>
          <w:p>
            <w:pPr>
              <w:spacing w:after="0"/>
              <w:rPr>
                <w:sz w:val="19"/>
                <w:szCs w:val="19"/>
                <w:color w:val="auto"/>
              </w:rPr>
            </w:pPr>
          </w:p>
        </w:tc>
        <w:tc>
          <w:tcPr>
            <w:tcW w:w="2020" w:type="dxa"/>
            <w:vAlign w:val="bottom"/>
            <w:gridSpan w:val="5"/>
            <w:vMerge w:val="continue"/>
          </w:tcPr>
          <w:p>
            <w:pPr>
              <w:spacing w:after="0"/>
              <w:rPr>
                <w:sz w:val="19"/>
                <w:szCs w:val="19"/>
                <w:color w:val="auto"/>
              </w:rPr>
            </w:pPr>
          </w:p>
        </w:tc>
        <w:tc>
          <w:tcPr>
            <w:tcW w:w="60" w:type="dxa"/>
            <w:vAlign w:val="bottom"/>
          </w:tcPr>
          <w:p>
            <w:pPr>
              <w:spacing w:after="0"/>
              <w:rPr>
                <w:sz w:val="19"/>
                <w:szCs w:val="19"/>
                <w:color w:val="auto"/>
              </w:rPr>
            </w:pPr>
          </w:p>
        </w:tc>
        <w:tc>
          <w:tcPr>
            <w:tcW w:w="12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Paid in</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Accumulated</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60" w:type="dxa"/>
            <w:vAlign w:val="bottom"/>
          </w:tcPr>
          <w:p>
            <w:pPr>
              <w:spacing w:after="0"/>
              <w:rPr>
                <w:sz w:val="20"/>
                <w:szCs w:val="20"/>
                <w:color w:val="auto"/>
              </w:rPr>
            </w:pPr>
          </w:p>
        </w:tc>
        <w:tc>
          <w:tcPr>
            <w:tcW w:w="1020" w:type="dxa"/>
            <w:vAlign w:val="bottom"/>
            <w:tcBorders>
              <w:top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color w:val="auto"/>
              </w:rPr>
              <w:t>Shares</w:t>
            </w: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98"/>
              </w:rPr>
              <w:t>Amount</w:t>
            </w:r>
          </w:p>
        </w:tc>
        <w:tc>
          <w:tcPr>
            <w:tcW w:w="2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Shares</w:t>
            </w:r>
          </w:p>
        </w:tc>
        <w:tc>
          <w:tcPr>
            <w:tcW w:w="1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98"/>
              </w:rPr>
              <w:t>Amount</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Capital</w:t>
            </w:r>
          </w:p>
        </w:tc>
        <w:tc>
          <w:tcPr>
            <w:tcW w:w="12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Deficit</w:t>
            </w: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January 1, 2022</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17,860,975</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17,861</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$ 166,615,514</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5"/>
              </w:rPr>
              <w:t>$ (35,253,658)</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$ 131,379,717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issued for stock options exercised</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28,006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258,100</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2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Shares issued for restricted stock units</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13,627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(14)</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3,174,098</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3,174,098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(3,761,098)</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(3,761,098)</w:t>
            </w:r>
          </w:p>
        </w:tc>
        <w:tc>
          <w:tcPr>
            <w:tcW w:w="0" w:type="dxa"/>
            <w:vAlign w:val="bottom"/>
          </w:tcPr>
          <w:p>
            <w:pPr>
              <w:spacing w:after="0"/>
              <w:rPr>
                <w:sz w:val="1"/>
                <w:szCs w:val="1"/>
                <w:color w:val="auto"/>
              </w:rPr>
            </w:pPr>
          </w:p>
        </w:tc>
      </w:tr>
      <w:tr>
        <w:trPr>
          <w:trHeight w:val="216"/>
        </w:trPr>
        <w:tc>
          <w:tcPr>
            <w:tcW w:w="32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Balance March 31, 2022</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17,902,608</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17,903</w:t>
            </w:r>
          </w:p>
        </w:tc>
        <w:tc>
          <w:tcPr>
            <w:tcW w:w="12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170,047,698</w:t>
            </w:r>
          </w:p>
        </w:tc>
        <w:tc>
          <w:tcPr>
            <w:tcW w:w="1200" w:type="dxa"/>
            <w:vAlign w:val="bottom"/>
            <w:gridSpan w:val="2"/>
          </w:tcPr>
          <w:p>
            <w:pPr>
              <w:jc w:val="right"/>
              <w:ind w:right="160"/>
              <w:spacing w:after="0" w:line="256" w:lineRule="exact"/>
              <w:rPr>
                <w:sz w:val="20"/>
                <w:szCs w:val="20"/>
                <w:color w:val="auto"/>
              </w:rPr>
            </w:pPr>
            <w:r>
              <w:rPr>
                <w:rFonts w:ascii="Times New Roman" w:cs="Times New Roman" w:eastAsia="Times New Roman" w:hAnsi="Times New Roman"/>
                <w:sz w:val="16"/>
                <w:szCs w:val="16"/>
                <w:color w:val="auto"/>
              </w:rPr>
              <w:t>$ (39,014,756</w:t>
            </w:r>
            <w:r>
              <w:rPr>
                <w:rFonts w:ascii="Times New Roman" w:cs="Times New Roman" w:eastAsia="Times New Roman" w:hAnsi="Times New Roman"/>
                <w:sz w:val="29"/>
                <w:szCs w:val="29"/>
                <w:color w:val="auto"/>
                <w:vertAlign w:val="superscript"/>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 xml:space="preserve"> 131,050,845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Shares issued for stock options exercised</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43,701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572,303</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572,347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issued for acquisition</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240,741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241</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9,374,214</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9,374,455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(12,868)</w:t>
            </w:r>
          </w:p>
        </w:tc>
        <w:tc>
          <w:tcPr>
            <w:tcW w:w="1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w:t>
            </w:r>
          </w:p>
        </w:tc>
        <w:tc>
          <w:tcPr>
            <w:tcW w:w="13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(321,041)</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(321,054)</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4,025,323</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4,025,323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(3,884,714)</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(3,884,714)</w:t>
            </w:r>
          </w:p>
        </w:tc>
        <w:tc>
          <w:tcPr>
            <w:tcW w:w="0" w:type="dxa"/>
            <w:vAlign w:val="bottom"/>
          </w:tcPr>
          <w:p>
            <w:pPr>
              <w:spacing w:after="0"/>
              <w:rPr>
                <w:sz w:val="1"/>
                <w:szCs w:val="1"/>
                <w:color w:val="auto"/>
              </w:rPr>
            </w:pPr>
          </w:p>
        </w:tc>
      </w:tr>
      <w:tr>
        <w:trPr>
          <w:trHeight w:val="216"/>
        </w:trPr>
        <w:tc>
          <w:tcPr>
            <w:tcW w:w="32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Balance June 30, 2022</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18,187,050</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18,188</w:t>
            </w:r>
          </w:p>
        </w:tc>
        <w:tc>
          <w:tcPr>
            <w:tcW w:w="1120" w:type="dxa"/>
            <w:vAlign w:val="bottom"/>
            <w:gridSpan w:val="3"/>
          </w:tcPr>
          <w:p>
            <w:pPr>
              <w:jc w:val="right"/>
              <w:ind w:right="160"/>
              <w:spacing w:after="0" w:line="256" w:lineRule="exact"/>
              <w:rPr>
                <w:sz w:val="20"/>
                <w:szCs w:val="20"/>
                <w:color w:val="auto"/>
              </w:rPr>
            </w:pPr>
            <w:r>
              <w:rPr>
                <w:rFonts w:ascii="Times New Roman" w:cs="Times New Roman" w:eastAsia="Times New Roman" w:hAnsi="Times New Roman"/>
                <w:sz w:val="16"/>
                <w:szCs w:val="16"/>
                <w:color w:val="auto"/>
              </w:rPr>
              <w:t>(12,868</w:t>
            </w:r>
            <w:r>
              <w:rPr>
                <w:rFonts w:ascii="Times New Roman" w:cs="Times New Roman" w:eastAsia="Times New Roman" w:hAnsi="Times New Roman"/>
                <w:sz w:val="29"/>
                <w:szCs w:val="29"/>
                <w:color w:val="auto"/>
                <w:vertAlign w:val="superscript"/>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80"/>
              <w:spacing w:after="0" w:line="256" w:lineRule="exact"/>
              <w:rPr>
                <w:sz w:val="20"/>
                <w:szCs w:val="20"/>
                <w:color w:val="auto"/>
              </w:rPr>
            </w:pPr>
            <w:r>
              <w:rPr>
                <w:rFonts w:ascii="Times New Roman" w:cs="Times New Roman" w:eastAsia="Times New Roman" w:hAnsi="Times New Roman"/>
                <w:sz w:val="16"/>
                <w:szCs w:val="16"/>
                <w:color w:val="auto"/>
              </w:rPr>
              <w:t>(13</w:t>
            </w:r>
            <w:r>
              <w:rPr>
                <w:rFonts w:ascii="Times New Roman" w:cs="Times New Roman" w:eastAsia="Times New Roman" w:hAnsi="Times New Roman"/>
                <w:sz w:val="29"/>
                <w:szCs w:val="29"/>
                <w:color w:val="auto"/>
                <w:vertAlign w:val="superscript"/>
              </w:rPr>
              <w:t>)</w:t>
            </w:r>
          </w:p>
        </w:tc>
        <w:tc>
          <w:tcPr>
            <w:tcW w:w="13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183,698,497</w:t>
            </w:r>
          </w:p>
        </w:tc>
        <w:tc>
          <w:tcPr>
            <w:tcW w:w="1200" w:type="dxa"/>
            <w:vAlign w:val="bottom"/>
            <w:gridSpan w:val="2"/>
          </w:tcPr>
          <w:p>
            <w:pPr>
              <w:jc w:val="right"/>
              <w:ind w:right="160"/>
              <w:spacing w:after="0" w:line="256" w:lineRule="exact"/>
              <w:rPr>
                <w:sz w:val="20"/>
                <w:szCs w:val="20"/>
                <w:color w:val="auto"/>
              </w:rPr>
            </w:pPr>
            <w:r>
              <w:rPr>
                <w:rFonts w:ascii="Times New Roman" w:cs="Times New Roman" w:eastAsia="Times New Roman" w:hAnsi="Times New Roman"/>
                <w:sz w:val="16"/>
                <w:szCs w:val="16"/>
                <w:color w:val="auto"/>
              </w:rPr>
              <w:t>$ (42,899,470</w:t>
            </w:r>
            <w:r>
              <w:rPr>
                <w:rFonts w:ascii="Times New Roman" w:cs="Times New Roman" w:eastAsia="Times New Roman" w:hAnsi="Times New Roman"/>
                <w:sz w:val="29"/>
                <w:szCs w:val="29"/>
                <w:color w:val="auto"/>
                <w:vertAlign w:val="superscript"/>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 xml:space="preserve"> 140,817,202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Shares issued for stock options exercised</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68,751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219,561</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219,629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2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issued for restricted stock units</w:t>
            </w: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5,438</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(34,565)</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(34,560)</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(693,246)</w:t>
            </w:r>
          </w:p>
        </w:tc>
        <w:tc>
          <w:tcPr>
            <w:tcW w:w="1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(693)</w:t>
            </w:r>
          </w:p>
        </w:tc>
        <w:tc>
          <w:tcPr>
            <w:tcW w:w="13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(12,239,824)</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(12,240,517)</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4,277,241</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4,277,241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(3,466,792)</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(3,466,792)</w:t>
            </w:r>
          </w:p>
        </w:tc>
        <w:tc>
          <w:tcPr>
            <w:tcW w:w="0" w:type="dxa"/>
            <w:vAlign w:val="bottom"/>
          </w:tcPr>
          <w:p>
            <w:pPr>
              <w:spacing w:after="0"/>
              <w:rPr>
                <w:sz w:val="1"/>
                <w:szCs w:val="1"/>
                <w:color w:val="auto"/>
              </w:rPr>
            </w:pPr>
          </w:p>
        </w:tc>
      </w:tr>
      <w:tr>
        <w:trPr>
          <w:trHeight w:val="216"/>
        </w:trPr>
        <w:tc>
          <w:tcPr>
            <w:tcW w:w="32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Balance September 30, 2022</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18,261,239</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18,261</w:t>
            </w:r>
          </w:p>
        </w:tc>
        <w:tc>
          <w:tcPr>
            <w:tcW w:w="1120" w:type="dxa"/>
            <w:vAlign w:val="bottom"/>
            <w:gridSpan w:val="3"/>
          </w:tcPr>
          <w:p>
            <w:pPr>
              <w:jc w:val="right"/>
              <w:ind w:right="160"/>
              <w:spacing w:after="0" w:line="256" w:lineRule="exact"/>
              <w:rPr>
                <w:sz w:val="20"/>
                <w:szCs w:val="20"/>
                <w:color w:val="auto"/>
              </w:rPr>
            </w:pPr>
            <w:r>
              <w:rPr>
                <w:rFonts w:ascii="Times New Roman" w:cs="Times New Roman" w:eastAsia="Times New Roman" w:hAnsi="Times New Roman"/>
                <w:sz w:val="16"/>
                <w:szCs w:val="16"/>
                <w:color w:val="auto"/>
              </w:rPr>
              <w:t>(706,114</w:t>
            </w:r>
            <w:r>
              <w:rPr>
                <w:rFonts w:ascii="Times New Roman" w:cs="Times New Roman" w:eastAsia="Times New Roman" w:hAnsi="Times New Roman"/>
                <w:sz w:val="29"/>
                <w:szCs w:val="29"/>
                <w:color w:val="auto"/>
                <w:vertAlign w:val="superscript"/>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80"/>
              <w:spacing w:after="0" w:line="256" w:lineRule="exact"/>
              <w:rPr>
                <w:sz w:val="20"/>
                <w:szCs w:val="20"/>
                <w:color w:val="auto"/>
              </w:rPr>
            </w:pPr>
            <w:r>
              <w:rPr>
                <w:rFonts w:ascii="Times New Roman" w:cs="Times New Roman" w:eastAsia="Times New Roman" w:hAnsi="Times New Roman"/>
                <w:sz w:val="16"/>
                <w:szCs w:val="16"/>
                <w:color w:val="auto"/>
              </w:rPr>
              <w:t>(706</w:t>
            </w:r>
            <w:r>
              <w:rPr>
                <w:rFonts w:ascii="Times New Roman" w:cs="Times New Roman" w:eastAsia="Times New Roman" w:hAnsi="Times New Roman"/>
                <w:sz w:val="29"/>
                <w:szCs w:val="29"/>
                <w:color w:val="auto"/>
                <w:vertAlign w:val="superscript"/>
              </w:rPr>
              <w:t>)</w:t>
            </w:r>
          </w:p>
        </w:tc>
        <w:tc>
          <w:tcPr>
            <w:tcW w:w="13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175,920,910</w:t>
            </w:r>
          </w:p>
        </w:tc>
        <w:tc>
          <w:tcPr>
            <w:tcW w:w="1200" w:type="dxa"/>
            <w:vAlign w:val="bottom"/>
            <w:gridSpan w:val="2"/>
          </w:tcPr>
          <w:p>
            <w:pPr>
              <w:jc w:val="right"/>
              <w:ind w:right="160"/>
              <w:spacing w:after="0" w:line="256" w:lineRule="exact"/>
              <w:rPr>
                <w:sz w:val="20"/>
                <w:szCs w:val="20"/>
                <w:color w:val="auto"/>
              </w:rPr>
            </w:pPr>
            <w:r>
              <w:rPr>
                <w:rFonts w:ascii="Times New Roman" w:cs="Times New Roman" w:eastAsia="Times New Roman" w:hAnsi="Times New Roman"/>
                <w:sz w:val="16"/>
                <w:szCs w:val="16"/>
                <w:color w:val="auto"/>
              </w:rPr>
              <w:t>$ (46,366,262</w:t>
            </w:r>
            <w:r>
              <w:rPr>
                <w:rFonts w:ascii="Times New Roman" w:cs="Times New Roman" w:eastAsia="Times New Roman" w:hAnsi="Times New Roman"/>
                <w:sz w:val="29"/>
                <w:szCs w:val="29"/>
                <w:color w:val="auto"/>
                <w:vertAlign w:val="superscript"/>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 xml:space="preserve"> 129,572,203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AND NINE MONTHS ENDED SEPTEMBER 30, 2021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rPr>
              <w:t>Additional</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5"/>
        </w:trPr>
        <w:tc>
          <w:tcPr>
            <w:tcW w:w="4620" w:type="dxa"/>
            <w:vAlign w:val="bottom"/>
          </w:tcPr>
          <w:p>
            <w:pPr>
              <w:spacing w:after="0"/>
              <w:rPr>
                <w:sz w:val="22"/>
                <w:szCs w:val="22"/>
                <w:color w:val="auto"/>
              </w:rPr>
            </w:pPr>
          </w:p>
        </w:tc>
        <w:tc>
          <w:tcPr>
            <w:tcW w:w="2760" w:type="dxa"/>
            <w:vAlign w:val="bottom"/>
            <w:gridSpan w:val="7"/>
          </w:tcPr>
          <w:p>
            <w:pPr>
              <w:ind w:left="760"/>
              <w:spacing w:after="0"/>
              <w:rPr>
                <w:sz w:val="20"/>
                <w:szCs w:val="20"/>
                <w:color w:val="auto"/>
              </w:rPr>
            </w:pPr>
            <w:r>
              <w:rPr>
                <w:rFonts w:ascii="Times New Roman" w:cs="Times New Roman" w:eastAsia="Times New Roman" w:hAnsi="Times New Roman"/>
                <w:sz w:val="18"/>
                <w:szCs w:val="18"/>
                <w:color w:val="auto"/>
              </w:rPr>
              <w:t>Common Stock</w:t>
            </w:r>
          </w:p>
        </w:tc>
        <w:tc>
          <w:tcPr>
            <w:tcW w:w="140" w:type="dxa"/>
            <w:vAlign w:val="bottom"/>
          </w:tcPr>
          <w:p>
            <w:pPr>
              <w:spacing w:after="0"/>
              <w:rPr>
                <w:sz w:val="22"/>
                <w:szCs w:val="22"/>
                <w:color w:val="auto"/>
              </w:rPr>
            </w:pPr>
          </w:p>
        </w:tc>
        <w:tc>
          <w:tcPr>
            <w:tcW w:w="11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8"/>
              </w:rPr>
              <w:t>Paid in</w:t>
            </w:r>
          </w:p>
        </w:tc>
        <w:tc>
          <w:tcPr>
            <w:tcW w:w="120" w:type="dxa"/>
            <w:vAlign w:val="bottom"/>
          </w:tcPr>
          <w:p>
            <w:pPr>
              <w:spacing w:after="0"/>
              <w:rPr>
                <w:sz w:val="22"/>
                <w:szCs w:val="22"/>
                <w:color w:val="auto"/>
              </w:rPr>
            </w:pPr>
          </w:p>
        </w:tc>
        <w:tc>
          <w:tcPr>
            <w:tcW w:w="12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9"/>
              </w:rPr>
              <w:t>Accumulated</w:t>
            </w: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37"/>
        </w:trPr>
        <w:tc>
          <w:tcPr>
            <w:tcW w:w="4620" w:type="dxa"/>
            <w:vAlign w:val="bottom"/>
          </w:tcPr>
          <w:p>
            <w:pPr>
              <w:spacing w:after="0"/>
              <w:rPr>
                <w:sz w:val="20"/>
                <w:szCs w:val="20"/>
                <w:color w:val="auto"/>
              </w:rPr>
            </w:pPr>
          </w:p>
        </w:tc>
        <w:tc>
          <w:tcPr>
            <w:tcW w:w="1380" w:type="dxa"/>
            <w:vAlign w:val="bottom"/>
            <w:tcBorders>
              <w:top w:val="single" w:sz="8" w:color="auto"/>
            </w:tcBorders>
            <w:gridSpan w:val="3"/>
          </w:tcPr>
          <w:p>
            <w:pPr>
              <w:ind w:left="400"/>
              <w:spacing w:after="0"/>
              <w:rPr>
                <w:sz w:val="20"/>
                <w:szCs w:val="20"/>
                <w:color w:val="auto"/>
              </w:rPr>
            </w:pPr>
            <w:r>
              <w:rPr>
                <w:rFonts w:ascii="Times New Roman" w:cs="Times New Roman" w:eastAsia="Times New Roman" w:hAnsi="Times New Roman"/>
                <w:sz w:val="18"/>
                <w:szCs w:val="18"/>
                <w:color w:val="auto"/>
              </w:rPr>
              <w:t>Shares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Amount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9"/>
              </w:rPr>
              <w:t>Capital</w:t>
            </w:r>
          </w:p>
        </w:tc>
        <w:tc>
          <w:tcPr>
            <w:tcW w:w="120" w:type="dxa"/>
            <w:vAlign w:val="bottom"/>
          </w:tcPr>
          <w:p>
            <w:pPr>
              <w:spacing w:after="0"/>
              <w:rPr>
                <w:sz w:val="20"/>
                <w:szCs w:val="20"/>
                <w:color w:val="auto"/>
              </w:rPr>
            </w:pPr>
          </w:p>
        </w:tc>
        <w:tc>
          <w:tcPr>
            <w:tcW w:w="12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Deficit</w:t>
            </w:r>
          </w:p>
        </w:tc>
        <w:tc>
          <w:tcPr>
            <w:tcW w:w="160" w:type="dxa"/>
            <w:vAlign w:val="bottom"/>
          </w:tcPr>
          <w:p>
            <w:pPr>
              <w:spacing w:after="0"/>
              <w:rPr>
                <w:sz w:val="20"/>
                <w:szCs w:val="20"/>
                <w:color w:val="auto"/>
              </w:rPr>
            </w:pP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Total</w:t>
            </w:r>
          </w:p>
        </w:tc>
      </w:tr>
      <w:tr>
        <w:trPr>
          <w:trHeight w:val="216"/>
        </w:trPr>
        <w:tc>
          <w:tcPr>
            <w:tcW w:w="46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January 1, 2021</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15,223,340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15,223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85,590,428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(35,631,737)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49,973,914</w:t>
            </w: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of common shares, net of offering costs</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1,523,750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1,524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70,670,012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70,671,536</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Shares issued as board compensation</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2,695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124,991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124,994</w:t>
            </w: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issued for stock options exercised</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510,803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1,119,500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1,120,011</w:t>
            </w: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3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582,159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582,159</w:t>
            </w:r>
          </w:p>
        </w:tc>
        <w:tc>
          <w:tcPr>
            <w:tcW w:w="100" w:type="dxa"/>
            <w:vAlign w:val="bottom"/>
          </w:tcPr>
          <w:p>
            <w:pPr>
              <w:spacing w:after="0"/>
              <w:rPr>
                <w:sz w:val="18"/>
                <w:szCs w:val="18"/>
                <w:color w:val="auto"/>
              </w:rPr>
            </w:pPr>
          </w:p>
        </w:tc>
      </w:tr>
      <w:tr>
        <w:trPr>
          <w:trHeight w:val="23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3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1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1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(637,377)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(637,377)</w:t>
            </w:r>
          </w:p>
        </w:tc>
      </w:tr>
      <w:tr>
        <w:trPr>
          <w:trHeight w:val="216"/>
        </w:trPr>
        <w:tc>
          <w:tcPr>
            <w:tcW w:w="46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4"/>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March 31, 2021</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17,260,588</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17,261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158,087,090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60"/>
              <w:spacing w:after="0" w:line="256" w:lineRule="exact"/>
              <w:rPr>
                <w:sz w:val="20"/>
                <w:szCs w:val="20"/>
                <w:color w:val="auto"/>
              </w:rPr>
            </w:pPr>
            <w:r>
              <w:rPr>
                <w:rFonts w:ascii="Times New Roman" w:cs="Times New Roman" w:eastAsia="Times New Roman" w:hAnsi="Times New Roman"/>
                <w:sz w:val="16"/>
                <w:szCs w:val="16"/>
                <w:color w:val="auto"/>
              </w:rPr>
              <w:t>(36,269,114</w:t>
            </w:r>
            <w:r>
              <w:rPr>
                <w:rFonts w:ascii="Times New Roman" w:cs="Times New Roman" w:eastAsia="Times New Roman" w:hAnsi="Times New Roman"/>
                <w:sz w:val="29"/>
                <w:szCs w:val="29"/>
                <w:color w:val="auto"/>
                <w:vertAlign w:val="superscript"/>
              </w:rPr>
              <w:t>)</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121,835,237</w:t>
            </w:r>
          </w:p>
        </w:tc>
        <w:tc>
          <w:tcPr>
            <w:tcW w:w="100" w:type="dxa"/>
            <w:vAlign w:val="bottom"/>
            <w:shd w:val="clear" w:color="auto" w:fill="CCEEFF"/>
          </w:tcPr>
          <w:p>
            <w:pPr>
              <w:spacing w:after="0"/>
              <w:rPr>
                <w:sz w:val="22"/>
                <w:szCs w:val="22"/>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issued as board compensation</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2,035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125,089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125,091</w:t>
            </w: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Shares issued for stock options exercised</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232,806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1,590,535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1,590,767</w:t>
            </w: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3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771,947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771,947</w:t>
            </w:r>
          </w:p>
        </w:tc>
        <w:tc>
          <w:tcPr>
            <w:tcW w:w="100" w:type="dxa"/>
            <w:vAlign w:val="bottom"/>
            <w:shd w:val="clear" w:color="auto" w:fill="CCEEFF"/>
          </w:tcPr>
          <w:p>
            <w:pPr>
              <w:spacing w:after="0"/>
              <w:rPr>
                <w:sz w:val="18"/>
                <w:szCs w:val="18"/>
                <w:color w:val="auto"/>
              </w:rPr>
            </w:pPr>
          </w:p>
        </w:tc>
      </w:tr>
      <w:tr>
        <w:trPr>
          <w:trHeight w:val="237"/>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3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352,100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352,100</w:t>
            </w:r>
          </w:p>
        </w:tc>
        <w:tc>
          <w:tcPr>
            <w:tcW w:w="100" w:type="dxa"/>
            <w:vAlign w:val="bottom"/>
          </w:tcPr>
          <w:p>
            <w:pPr>
              <w:spacing w:after="0"/>
              <w:rPr>
                <w:sz w:val="20"/>
                <w:szCs w:val="20"/>
                <w:color w:val="auto"/>
              </w:rPr>
            </w:pPr>
          </w:p>
        </w:tc>
      </w:tr>
      <w:tr>
        <w:trPr>
          <w:trHeight w:val="216"/>
        </w:trPr>
        <w:tc>
          <w:tcPr>
            <w:tcW w:w="46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30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Balance June 30, 2021</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17,495,429</w:t>
            </w:r>
          </w:p>
        </w:tc>
        <w:tc>
          <w:tcPr>
            <w:tcW w:w="12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17,495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160,574,661</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60"/>
              <w:spacing w:after="0" w:line="256" w:lineRule="exact"/>
              <w:rPr>
                <w:sz w:val="20"/>
                <w:szCs w:val="20"/>
                <w:color w:val="auto"/>
              </w:rPr>
            </w:pPr>
            <w:r>
              <w:rPr>
                <w:rFonts w:ascii="Times New Roman" w:cs="Times New Roman" w:eastAsia="Times New Roman" w:hAnsi="Times New Roman"/>
                <w:sz w:val="16"/>
                <w:szCs w:val="16"/>
                <w:color w:val="auto"/>
              </w:rPr>
              <w:t>(35,917,014</w:t>
            </w:r>
            <w:r>
              <w:rPr>
                <w:rFonts w:ascii="Times New Roman" w:cs="Times New Roman" w:eastAsia="Times New Roman" w:hAnsi="Times New Roman"/>
                <w:sz w:val="29"/>
                <w:szCs w:val="29"/>
                <w:color w:val="auto"/>
                <w:vertAlign w:val="superscript"/>
              </w:rPr>
              <w:t>)</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124,675,142</w:t>
            </w:r>
          </w:p>
        </w:tc>
        <w:tc>
          <w:tcPr>
            <w:tcW w:w="100" w:type="dxa"/>
            <w:vAlign w:val="bottom"/>
          </w:tcPr>
          <w:p>
            <w:pPr>
              <w:spacing w:after="0"/>
              <w:rPr>
                <w:sz w:val="24"/>
                <w:szCs w:val="24"/>
                <w:color w:val="auto"/>
              </w:rPr>
            </w:pPr>
          </w:p>
        </w:tc>
      </w:tr>
      <w:tr>
        <w:trPr>
          <w:trHeight w:val="216"/>
        </w:trPr>
        <w:tc>
          <w:tcPr>
            <w:tcW w:w="46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Shares issued for stock options exercised</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232,340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1,094,464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1,094,697</w:t>
            </w: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3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1,008,007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1,008,007</w:t>
            </w:r>
          </w:p>
        </w:tc>
        <w:tc>
          <w:tcPr>
            <w:tcW w:w="100" w:type="dxa"/>
            <w:vAlign w:val="bottom"/>
            <w:shd w:val="clear" w:color="auto" w:fill="CCEEFF"/>
          </w:tcPr>
          <w:p>
            <w:pPr>
              <w:spacing w:after="0"/>
              <w:rPr>
                <w:sz w:val="18"/>
                <w:szCs w:val="18"/>
                <w:color w:val="auto"/>
              </w:rPr>
            </w:pPr>
          </w:p>
        </w:tc>
      </w:tr>
      <w:tr>
        <w:trPr>
          <w:trHeight w:val="237"/>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3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39,894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39,894</w:t>
            </w:r>
          </w:p>
        </w:tc>
      </w:tr>
      <w:tr>
        <w:trPr>
          <w:trHeight w:val="216"/>
        </w:trPr>
        <w:tc>
          <w:tcPr>
            <w:tcW w:w="46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6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Balance September 30, 2021</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17,727,769</w:t>
            </w:r>
          </w:p>
        </w:tc>
        <w:tc>
          <w:tcPr>
            <w:tcW w:w="120" w:type="dxa"/>
            <w:vAlign w:val="bottom"/>
          </w:tcPr>
          <w:p>
            <w:pPr>
              <w:spacing w:after="0"/>
              <w:rPr>
                <w:sz w:val="22"/>
                <w:szCs w:val="22"/>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17,728</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162,677,132</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60"/>
              <w:spacing w:after="0" w:line="256" w:lineRule="exact"/>
              <w:rPr>
                <w:sz w:val="20"/>
                <w:szCs w:val="20"/>
                <w:color w:val="auto"/>
              </w:rPr>
            </w:pPr>
            <w:r>
              <w:rPr>
                <w:rFonts w:ascii="Times New Roman" w:cs="Times New Roman" w:eastAsia="Times New Roman" w:hAnsi="Times New Roman"/>
                <w:sz w:val="16"/>
                <w:szCs w:val="16"/>
                <w:color w:val="auto"/>
              </w:rPr>
              <w:t>(35,877,120</w:t>
            </w:r>
            <w:r>
              <w:rPr>
                <w:rFonts w:ascii="Times New Roman" w:cs="Times New Roman" w:eastAsia="Times New Roman" w:hAnsi="Times New Roman"/>
                <w:sz w:val="29"/>
                <w:szCs w:val="29"/>
                <w:color w:val="auto"/>
                <w:vertAlign w:val="superscript"/>
              </w:rPr>
              <w:t>)</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126,817,740</w:t>
            </w:r>
          </w:p>
        </w:tc>
        <w:tc>
          <w:tcPr>
            <w:tcW w:w="100" w:type="dxa"/>
            <w:vAlign w:val="bottom"/>
          </w:tcPr>
          <w:p>
            <w:pPr>
              <w:spacing w:after="0"/>
              <w:rPr>
                <w:sz w:val="22"/>
                <w:szCs w:val="22"/>
                <w:color w:val="auto"/>
              </w:rPr>
            </w:pPr>
          </w:p>
        </w:tc>
      </w:tr>
      <w:tr>
        <w:trPr>
          <w:trHeight w:val="20"/>
        </w:trPr>
        <w:tc>
          <w:tcPr>
            <w:tcW w:w="46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color w:val="auto"/>
        </w:rPr>
        <w:t>For Nine Months Ended</w:t>
      </w:r>
    </w:p>
    <w:p>
      <w:pPr>
        <w:spacing w:after="0" w:line="27"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  (11,112,604)</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(245,383)</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1,565,484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1,580,173</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11,476,662</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2,362,113</w:t>
            </w: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 issued for board service</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250,085</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Provision for loss on accounts receivable</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132,727</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60,000</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6,854,150</w:t>
            </w: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(2,921,824)</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2,199,333</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1,891,900</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393,817</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153,395</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 share payable</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(1,704,593)</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(1,078,777)</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(1,237,839)</w:t>
            </w: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(53,710)</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leases, net</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(716,693)</w:t>
            </w:r>
          </w:p>
        </w:tc>
        <w:tc>
          <w:tcPr>
            <w:tcW w:w="220" w:type="dxa"/>
            <w:vAlign w:val="bottom"/>
          </w:tcPr>
          <w:p>
            <w:pPr>
              <w:spacing w:after="0"/>
              <w:rPr>
                <w:sz w:val="20"/>
                <w:szCs w:val="20"/>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62,610</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7,850,594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2,060,582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USED IN INVESTING ACTIVITIES: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(64,667)</w:t>
            </w: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(62,565)</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EvinceMed acquisition</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(2,000,000)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short term investments</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(37,468,889)</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intangible assets, including intellectual property rights</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(158,321)</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(324,413)</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CASH USED IN INVESTING ACTIVITIES</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(39,691,877</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(386,978</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8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873" w:right="339" w:bottom="1440" w:gutter="0" w:footer="0" w:header="0"/>
        </w:sectPr>
      </w:pPr>
    </w:p>
    <w:p>
      <w:pPr>
        <w:ind w:left="180" w:right="2800" w:hanging="161"/>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CASH FLOWS PROVIDED BY FINANCING ACTIVITIES: </w:t>
      </w:r>
      <w:r>
        <w:rPr>
          <w:rFonts w:ascii="Times New Roman" w:cs="Times New Roman" w:eastAsia="Times New Roman" w:hAnsi="Times New Roman"/>
          <w:sz w:val="18"/>
          <w:szCs w:val="18"/>
          <w:color w:val="auto"/>
        </w:rPr>
        <w:t>Proceeds from public offering of common stock, net of offering costs Repurchase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Proceeds from exercise of stock options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Payment of contingent consideration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0" w:lineRule="exact"/>
        <w:rPr>
          <w:sz w:val="20"/>
          <w:szCs w:val="20"/>
          <w:color w:val="auto"/>
        </w:rPr>
      </w:pPr>
    </w:p>
    <w:p>
      <w:pPr>
        <w:ind w:right="2600"/>
        <w:spacing w:after="0" w:line="281" w:lineRule="auto"/>
        <w:rPr>
          <w:sz w:val="20"/>
          <w:szCs w:val="20"/>
          <w:color w:val="auto"/>
        </w:rPr>
      </w:pPr>
      <w:r>
        <w:rPr>
          <w:rFonts w:ascii="Times New Roman" w:cs="Times New Roman" w:eastAsia="Times New Roman" w:hAnsi="Times New Roman"/>
          <w:sz w:val="17"/>
          <w:szCs w:val="17"/>
          <w:color w:val="auto"/>
        </w:rPr>
        <w:t>NET (DECREASE) INCREASE IN CASH AND CASH EQUIVALENTS CASH AND CASH EQUIVALENTS -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1625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CASH AND CASH EQUIVALENTS - END OF PERIOD</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—70,671,536</w:t>
      </w:r>
    </w:p>
    <w:p>
      <w:pPr>
        <w:spacing w:after="0" w:line="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(12,561,571)—</w:t>
      </w:r>
    </w:p>
    <w:p>
      <w:pPr>
        <w:spacing w:after="0" w:line="9" w:lineRule="exact"/>
        <w:rPr>
          <w:sz w:val="20"/>
          <w:szCs w:val="20"/>
          <w:color w:val="auto"/>
        </w:rPr>
      </w:pPr>
    </w:p>
    <w:p>
      <w:pPr>
        <w:ind w:left="400"/>
        <w:spacing w:after="0"/>
        <w:tabs>
          <w:tab w:leader="none" w:pos="1720" w:val="left"/>
        </w:tabs>
        <w:rPr>
          <w:sz w:val="20"/>
          <w:szCs w:val="20"/>
          <w:color w:val="auto"/>
        </w:rPr>
      </w:pPr>
      <w:r>
        <w:rPr>
          <w:rFonts w:ascii="Times New Roman" w:cs="Times New Roman" w:eastAsia="Times New Roman" w:hAnsi="Times New Roman"/>
          <w:sz w:val="18"/>
          <w:szCs w:val="18"/>
          <w:color w:val="auto"/>
        </w:rPr>
        <w:t>1,050,104</w:t>
      </w:r>
      <w:r>
        <w:rPr>
          <w:sz w:val="20"/>
          <w:szCs w:val="20"/>
          <w:color w:val="auto"/>
        </w:rPr>
        <w:tab/>
      </w:r>
      <w:r>
        <w:rPr>
          <w:rFonts w:ascii="Times New Roman" w:cs="Times New Roman" w:eastAsia="Times New Roman" w:hAnsi="Times New Roman"/>
          <w:sz w:val="18"/>
          <w:szCs w:val="18"/>
          <w:color w:val="auto"/>
        </w:rPr>
        <w:t>3,805,475</w:t>
      </w:r>
    </w:p>
    <w:p>
      <w:pPr>
        <w:spacing w:after="0" w:line="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—(1,610,813)</w:t>
      </w:r>
    </w:p>
    <w:p>
      <w:pPr>
        <w:spacing w:after="0" w:line="2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(11,511,467)72,866,198</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(43,352,750)74,539,802</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84,681,77010,516,776</w:t>
      </w:r>
    </w:p>
    <w:p>
      <w:pPr>
        <w:spacing w:after="0" w:line="58" w:lineRule="exact"/>
        <w:rPr>
          <w:sz w:val="20"/>
          <w:szCs w:val="20"/>
          <w:color w:val="auto"/>
        </w:rPr>
      </w:pPr>
    </w:p>
    <w:p>
      <w:pPr>
        <w:spacing w:after="0"/>
        <w:tabs>
          <w:tab w:leader="none" w:pos="300" w:val="left"/>
          <w:tab w:leader="none" w:pos="1320" w:val="left"/>
          <w:tab w:leader="none" w:pos="1620" w:val="left"/>
        </w:tabs>
        <w:rPr>
          <w:sz w:val="20"/>
          <w:szCs w:val="20"/>
          <w:color w:val="auto"/>
        </w:rPr>
      </w:pPr>
      <w:r>
        <w:rPr>
          <w:rFonts w:ascii="Times New Roman" w:cs="Times New Roman" w:eastAsia="Times New Roman" w:hAnsi="Times New Roman"/>
          <w:sz w:val="18"/>
          <w:szCs w:val="18"/>
          <w:color w:val="auto"/>
        </w:rPr>
        <w:t>$</w:t>
        <w:tab/>
        <w:t>41,329,020</w:t>
        <w:tab/>
        <w:t>$</w:t>
        <w:tab/>
        <w:t>85,056,578</w:t>
      </w:r>
    </w:p>
    <w:p>
      <w:pPr>
        <w:spacing w:after="0" w:line="27" w:lineRule="exact"/>
        <w:rPr>
          <w:sz w:val="20"/>
          <w:szCs w:val="20"/>
          <w:color w:val="auto"/>
        </w:rPr>
      </w:pPr>
    </w:p>
    <w:p>
      <w:pPr>
        <w:sectPr>
          <w:pgSz w:w="11900" w:h="16838" w:orient="portrait"/>
          <w:cols w:equalWidth="0" w:num="2">
            <w:col w:w="7960" w:space="720"/>
            <w:col w:w="2560"/>
          </w:cols>
          <w:pgMar w:left="320" w:top="873" w:right="339" w:bottom="1440" w:gutter="0" w:footer="0" w:header="0"/>
          <w:type w:val="continuous"/>
        </w:sectPr>
      </w:pPr>
    </w:p>
    <w:tbl>
      <w:tblPr>
        <w:tblLayout w:type="fixed"/>
        <w:tblInd w:w="0" w:type="dxa"/>
        <w:tblCellMar>
          <w:top w:w="0" w:type="dxa"/>
          <w:left w:w="0" w:type="dxa"/>
          <w:bottom w:w="0" w:type="dxa"/>
          <w:right w:w="0" w:type="dxa"/>
        </w:tblCellMar>
      </w:tblPr>
      <w:tr>
        <w:trPr>
          <w:trHeight w:val="263"/>
        </w:trPr>
        <w:tc>
          <w:tcPr>
            <w:tcW w:w="868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520" w:type="dxa"/>
            <w:vAlign w:val="bottom"/>
            <w:tcBorders>
              <w:top w:val="single" w:sz="8" w:color="auto"/>
            </w:tcBorders>
            <w:shd w:val="clear" w:color="auto" w:fill="CCEEFF"/>
          </w:tcPr>
          <w:p>
            <w:pPr>
              <w:spacing w:after="0"/>
              <w:rPr>
                <w:sz w:val="22"/>
                <w:szCs w:val="22"/>
                <w:color w:val="auto"/>
              </w:rPr>
            </w:pPr>
          </w:p>
        </w:tc>
        <w:tc>
          <w:tcPr>
            <w:tcW w:w="6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 interest</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Reduction of EvinceMed purchase price for amounts previously paid</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8680" w:type="dxa"/>
            <w:vAlign w:val="bottom"/>
            <w:tcBorders>
              <w:bottom w:val="single" w:sz="8" w:color="CCEEFF"/>
            </w:tcBorders>
            <w:vMerge w:val="continue"/>
          </w:tcPr>
          <w:p>
            <w:pPr>
              <w:spacing w:after="0"/>
              <w:rPr>
                <w:sz w:val="22"/>
                <w:szCs w:val="22"/>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708,334</w:t>
            </w:r>
          </w:p>
        </w:tc>
        <w:tc>
          <w:tcPr>
            <w:tcW w:w="2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ind w:left="180"/>
              <w:spacing w:after="0" w:line="194" w:lineRule="exact"/>
              <w:rPr>
                <w:sz w:val="20"/>
                <w:szCs w:val="20"/>
                <w:color w:val="auto"/>
              </w:rPr>
            </w:pPr>
            <w:r>
              <w:rPr>
                <w:rFonts w:ascii="Times New Roman" w:cs="Times New Roman" w:eastAsia="Times New Roman" w:hAnsi="Times New Roman"/>
                <w:sz w:val="18"/>
                <w:szCs w:val="18"/>
                <w:color w:val="auto"/>
              </w:rPr>
              <w:t>Shares issued in connection with acquisition</w:t>
            </w: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9,374,455</w:t>
            </w:r>
          </w:p>
        </w:tc>
        <w:tc>
          <w:tcPr>
            <w:tcW w:w="2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8680" w:type="dxa"/>
            <w:vAlign w:val="bottom"/>
            <w:vMerge w:val="continue"/>
          </w:tcPr>
          <w:p>
            <w:pPr>
              <w:spacing w:after="0"/>
              <w:rPr>
                <w:sz w:val="20"/>
                <w:szCs w:val="20"/>
                <w:color w:val="auto"/>
              </w:rPr>
            </w:pPr>
          </w:p>
        </w:tc>
        <w:tc>
          <w:tcPr>
            <w:tcW w:w="24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52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 – NATURE OF BUSINESS AND BASIS OF PRESENTATION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OptimizeRx Corporation and its wholly owned subsidiaries (collectively, the “Company”, “we”, “our”, or “us”).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 digital health technology company enabling care-focused engagement between life sciences organizations, healthcare providers, and patients at critical junctures throughout the patient care journey. Connecting over 60% of U.S. healthcare providers and millions of their patients through an intelligent technology platform embedded within a proprietary point-of-care network, OptimizeRx helps patients start and stay on their medications.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condensed consolidated financial statements for the three and nine months ended September 30, 2022 and 2021 have been prepared by us without audit pursuant to the rules and regulations of the U.S. Securities and Exchange Commission (“SEC”). In the opinion of management, all adjustments necessary to present fairly our financial position at September 30, 2022, and our results of operations, changes in stockholders’ equity, and cash flows for the nine months ended September 30, 2022 and 2021, have been made. Those adjustments consist of normal and recurring adjustments. The condensed consolidated balance sheet as of December 31, 2021, has been derived from the audited condensed consolidated balance sheet as of that date.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information and note disclosures, including a detailed discussion about the Company’s significant accounting policies, normally included in our annual financial statements prepared in accordance with generally accepted accounting principles have been condensed or omitted. These condensed consolidated financial statements should be read in conjunction with a reading of the financial statements and notes thereto included in our Annual Report on Form 10-K for the fiscal year ended December 31, 2021, as filed with the U.S. Securities and Exchange Commission on February 28, 2022.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results of operations for the nine months ended September 30, 2022, are not necessarily indicative of the results to be expected for the full year.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2 – NEW ACCOUNTING STANDARDS</w:t>
      </w:r>
    </w:p>
    <w:p>
      <w:pPr>
        <w:spacing w:after="0" w:line="22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December 2019, the FASB issued ASU No. 2019-12, </w:t>
      </w:r>
      <w:r>
        <w:rPr>
          <w:rFonts w:ascii="Times New Roman" w:cs="Times New Roman" w:eastAsia="Times New Roman" w:hAnsi="Times New Roman"/>
          <w:sz w:val="18"/>
          <w:szCs w:val="18"/>
          <w:i w:val="1"/>
          <w:iCs w:val="1"/>
          <w:color w:val="auto"/>
        </w:rPr>
        <w:t>Income Taxes (Topic 740): Simplifying the Accounting for Income Taxes</w:t>
      </w:r>
      <w:r>
        <w:rPr>
          <w:rFonts w:ascii="Times New Roman" w:cs="Times New Roman" w:eastAsia="Times New Roman" w:hAnsi="Times New Roman"/>
          <w:sz w:val="18"/>
          <w:szCs w:val="18"/>
          <w:color w:val="auto"/>
        </w:rPr>
        <w:t>. ASU 2019-12 is intended to improve consistent application and simplify the accounting for income taxes. ASU 2019-12 removes certain exceptions to the general principles in Topic 740 and clarifies and amends existing guidance. ASU 2019-12 is effective for annual and interim reporting periods beginning after December 15, 2020, with early adoption permitted. The Company adopted this standard effective January 1, 2021. The adoption of this standard did not have a material effect on our financial position, results of operations, or cash flows.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 Yet Adopted</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ASU Topic 2021-08, </w:t>
      </w:r>
      <w:r>
        <w:rPr>
          <w:rFonts w:ascii="Times New Roman" w:cs="Times New Roman" w:eastAsia="Times New Roman" w:hAnsi="Times New Roman"/>
          <w:sz w:val="18"/>
          <w:szCs w:val="18"/>
          <w:i w:val="1"/>
          <w:iCs w:val="1"/>
          <w:color w:val="auto"/>
        </w:rPr>
        <w:t>Business Combinations (Topic 805), Accounting for Contract Assets and Contract Liabilities from Contracts with Customers</w:t>
      </w:r>
      <w:r>
        <w:rPr>
          <w:rFonts w:ascii="Times New Roman" w:cs="Times New Roman" w:eastAsia="Times New Roman" w:hAnsi="Times New Roman"/>
          <w:sz w:val="18"/>
          <w:szCs w:val="18"/>
          <w:color w:val="auto"/>
        </w:rPr>
        <w:t>, which requires contract assets and contract liabilities acquired in a business combination to be recognized and measured by the acquirer on the acquisition date in accordance with ASC 606, Revenue from Contracts with Customers, as if it had originated the contracts. The standard is effective for the Company’s fiscal year beginning January 1, 2023, with early adoption permitted. The Company is currently evaluating the effect of this pronouncement on its Consolidated Financial Statements, but it is not expected to have a material impact.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3 - ACQUISITIONS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April 14, 2022, we completed the acquisition of substantially all of the assets of EvinceMed Corp., a privately held leading provider of delivering end-to-end automation for specialty pharmaceutical transactions. We completed the acquisition to expand the breadth of the solutions we offer our customers, particularly where specialty medications are involved, The acquisition included the full Market Access Management Platform for supporting pharma manufacturers, hub providers and pharmacies to improve patient access, speed to therapy and activation of affordability programs. With the EvinceMed platform, OptimizeRx is able to help patients get access to the drugs they need by simplifying the prescribing process for specialty medications, automating manual steps to determine drug eligibility and affordability, and introducing electronic enrollment and medical documentation across the OptimizeRx network of electronic health record (EHR) systems, ePrescribing platforms, and account-based marketing technologies.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consideration was comprised of $2.0 million in cash, the issuance of 240,741 shares of common stock valued at $9,374,455, and $708,334 of amounts previously paid. The total purchase price was $12,082,788.54. Of the 240,741 shares of common stock, 185,185 were issued at closing and 55,556 were issued but held back to secure potential adjustments to the purchase price that may result from the indemnification obligations of EvinceMed and the EvinceMed shareholder indemnitors. The holdback amount will be released twelve months from the closing, subject to any adjustments for the payment by EvinceMed and the shareholder indemnitors for its and their indemnification obligations. The purchase price was allocated to acquired technology totaling $4,149,000 with an estimated useful life of 8 years and the remaining $7,933,789 was allocated to goodwill. Goodwill represents the processes and synergies expected by integrating those processes with our own. The full amount of goodwill will be deductible for tax purposes using a 15 year life. The increase in goodwill for the period is fully accounted for by this acquisition. We determined pro forma data was immaterial for financial reporting purposes. The initial accounting is provisional and subject to change based on the completion of formal valuations.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Acquisition costs of approximately $22,318 were expensed as incurred.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4 - CASH, CASH EQUIVALENTS AND SHORT-TERM INVESTMENTS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Cash equivalents include items almost as liquid as cash with maturity periods of three months or less when purchased, and short-term investments include items with maturity dates between three months and one year when purchased. We account for marketable securities in accordance with ASC 320, “Investments - Debt Securities”, which require that certain debt securities be classified into one of three categories: held-to-maturity, available-for-sale, or trading securities, and depending upon the classification, value the security at amortized cost or fair market value. At September 30, 2022, we have recorded $37.5 million of held-to-maturity United States’ Treasury Bills at amortized cost basis, that has a fair market value of $37.5 million. Our held-to-maturity United States’ Treasury Bills have maturity dates between December 2022 and January 2023. We had no marketable securities at December 31, 2021.</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5 – REVENUES</w:t>
      </w: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Under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we record revenue when earned, rather than when billed. From time to time, we may record revenue based on our revenue recognition policies in advance of being able to invoice the customer, or we may invoice the customer prior to being able to recognize the revenue. Included in accounts receivable are unbilled amounts of $3,510,698 and $2,110,865 at September 30, 2022, and December 31, 2021, respectively. Amounts billed in advance of revenue recognition are presented as deferred revenue on the condensed consolidated balance sheets.</w:t>
      </w:r>
    </w:p>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several signed contracts with customers for the distribution of messaging, or other services, which include payment in advance. The payments are not recorded as revenue until the revenue is earned under our revenue recognition policy. Deferred revenue was $673,214 and $1,389,907 as of September 30, 2022 and December 31, 2021, respectively. The contracts are all short term in nature and all revenue is expected to be recognized within 12 months, or less. Following is a summary of activity for the deferred revenue account for the nine months ended September 30.</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January 1</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1,389,907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285,795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Revenue recognized</w:t>
            </w: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(6,013,181)</w:t>
            </w:r>
          </w:p>
        </w:tc>
        <w:tc>
          <w:tcPr>
            <w:tcW w:w="22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(3,361,479)</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 collected</w:t>
            </w: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5,916,318</w:t>
            </w:r>
          </w:p>
        </w:tc>
        <w:tc>
          <w:tcPr>
            <w:tcW w:w="2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3,523,824</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Balance March 31</w:t>
            </w:r>
          </w:p>
        </w:tc>
        <w:tc>
          <w:tcPr>
            <w:tcW w:w="22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1,293,044</w:t>
            </w:r>
          </w:p>
        </w:tc>
        <w:tc>
          <w:tcPr>
            <w:tcW w:w="2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448,140</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recognized</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(7,373,802)</w:t>
            </w: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(1,962,240)</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Amount collected</w:t>
            </w:r>
          </w:p>
        </w:tc>
        <w:tc>
          <w:tcPr>
            <w:tcW w:w="2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7,122,677</w:t>
            </w:r>
          </w:p>
        </w:tc>
        <w:tc>
          <w:tcPr>
            <w:tcW w:w="22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1,833,709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June 30</w:t>
            </w: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1,041,919</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319,609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Revenue recognized</w:t>
            </w: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(9,611,912)</w:t>
            </w:r>
          </w:p>
        </w:tc>
        <w:tc>
          <w:tcPr>
            <w:tcW w:w="22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(9,689,285)</w:t>
            </w: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 collected</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9,243,207</w:t>
            </w: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9,718,081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Balance September 30</w:t>
            </w: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673,214</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348,405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majority of our revenue is earned from life sciences companies, such as pharmaceutical and biotech companies, or medical device makers. A small portion of our revenue is earned from other sources, such as associations and technology companies. A break down is set forth in the table below.</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2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color w:val="auto"/>
              </w:rPr>
              <w:t>Three Months Ended</w:t>
            </w:r>
          </w:p>
        </w:tc>
        <w:tc>
          <w:tcPr>
            <w:tcW w:w="200" w:type="dxa"/>
            <w:vAlign w:val="bottom"/>
          </w:tcPr>
          <w:p>
            <w:pPr>
              <w:spacing w:after="0"/>
              <w:rPr>
                <w:sz w:val="18"/>
                <w:szCs w:val="18"/>
                <w:color w:val="auto"/>
              </w:rPr>
            </w:pPr>
          </w:p>
        </w:tc>
        <w:tc>
          <w:tcPr>
            <w:tcW w:w="234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color w:val="auto"/>
                <w:w w:val="99"/>
              </w:rPr>
              <w:t>Nine Months Ended</w:t>
            </w:r>
          </w:p>
        </w:tc>
        <w:tc>
          <w:tcPr>
            <w:tcW w:w="0" w:type="dxa"/>
            <w:vAlign w:val="bottom"/>
          </w:tcPr>
          <w:p>
            <w:pPr>
              <w:spacing w:after="0"/>
              <w:rPr>
                <w:sz w:val="1"/>
                <w:szCs w:val="1"/>
                <w:color w:val="auto"/>
              </w:rPr>
            </w:pPr>
          </w:p>
        </w:tc>
      </w:tr>
      <w:tr>
        <w:trPr>
          <w:trHeight w:val="241"/>
        </w:trPr>
        <w:tc>
          <w:tcPr>
            <w:tcW w:w="5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20" w:type="dxa"/>
            <w:vAlign w:val="bottom"/>
            <w:gridSpan w:val="5"/>
          </w:tcPr>
          <w:p>
            <w:pPr>
              <w:jc w:val="right"/>
              <w:ind w:right="940"/>
              <w:spacing w:after="0"/>
              <w:rPr>
                <w:sz w:val="20"/>
                <w:szCs w:val="20"/>
                <w:color w:val="auto"/>
              </w:rPr>
            </w:pPr>
            <w:r>
              <w:rPr>
                <w:rFonts w:ascii="Times New Roman" w:cs="Times New Roman" w:eastAsia="Times New Roman" w:hAnsi="Times New Roman"/>
                <w:sz w:val="18"/>
                <w:szCs w:val="18"/>
                <w:color w:val="auto"/>
              </w:rPr>
              <w:t>September 30,</w:t>
            </w:r>
          </w:p>
        </w:tc>
        <w:tc>
          <w:tcPr>
            <w:tcW w:w="200" w:type="dxa"/>
            <w:vAlign w:val="bottom"/>
          </w:tcPr>
          <w:p>
            <w:pPr>
              <w:spacing w:after="0"/>
              <w:rPr>
                <w:sz w:val="20"/>
                <w:szCs w:val="20"/>
                <w:color w:val="auto"/>
              </w:rPr>
            </w:pPr>
          </w:p>
        </w:tc>
        <w:tc>
          <w:tcPr>
            <w:tcW w:w="234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color w:val="auto"/>
                <w:w w:val="99"/>
              </w:rPr>
              <w:t>September 30,</w:t>
            </w: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2022</w:t>
            </w:r>
          </w:p>
        </w:tc>
        <w:tc>
          <w:tcPr>
            <w:tcW w:w="26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c>
          <w:tcPr>
            <w:tcW w:w="2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Revenue from:</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Life Science Companies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14,287,807</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15,949,517</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40,807,166</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40,059,551</w:t>
            </w:r>
          </w:p>
        </w:tc>
        <w:tc>
          <w:tcPr>
            <w:tcW w:w="0" w:type="dxa"/>
            <w:vAlign w:val="bottom"/>
          </w:tcPr>
          <w:p>
            <w:pPr>
              <w:spacing w:after="0"/>
              <w:rPr>
                <w:sz w:val="1"/>
                <w:szCs w:val="1"/>
                <w:color w:val="auto"/>
              </w:rPr>
            </w:pPr>
          </w:p>
        </w:tc>
      </w:tr>
      <w:tr>
        <w:trPr>
          <w:trHeight w:val="229"/>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797,697</w:t>
            </w: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175,434</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1,988,533</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920,250</w:t>
            </w: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shd w:val="clear" w:color="auto" w:fill="CCEEFF"/>
          </w:tcPr>
          <w:p>
            <w:pPr>
              <w:spacing w:after="0"/>
              <w:rPr>
                <w:sz w:val="21"/>
                <w:szCs w:val="21"/>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15,085,504</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16,124,951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42,795,699</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40,979,801</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6 – LEASES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operating leases for office space in two multitenant facilities with lease terms greater than 12 months, which are recorded as assets and liabilities on our condensed consolidated balance sheets. These leases include our corporate headquarters, located in Rochester, Michigan, and a technical facility in Zagreb, Croatia. We also had a lease on office space in Cranbury, New Jersey, which expired in January 2022. We did not renew the New Jersey lease. For leases that contain renewal options, we have only assumed renewal for the headquarters lease. Lease-related assets, or right-of-use assets, are recognized at the lease commencement date at amounts equal to the respective lease liabilities, adjusted for prepaid lease payments, initial direct costs, and lease incentives received. Lease-related liabilities are recognized at the present value of the remaining contractual fixed lease payments, discounted using our incremental borrowing rate. Amortization of the right of use assets is recognized as non-cash lease expense on a straight-line basis over the lease term, while variable lease payments are expensed as incurred. Short term lease costs include month to month leases and occasional rent for transient meeting and office spaces in shared office space facilities.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the three and nine months ended September 30, 2022, the Company’s lease cost consists of the following components, each of which is included in operating expenses within the Company’s condensed consolidated statements of operations:</w:t>
      </w:r>
    </w:p>
    <w:p>
      <w:pPr>
        <w:sectPr>
          <w:pgSz w:w="11900" w:h="16838" w:orient="portrait"/>
          <w:cols w:equalWidth="0" w:num="1">
            <w:col w:w="11240"/>
          </w:cols>
          <w:pgMar w:left="320" w:top="8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lease cost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Short-term lease cost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lease cost</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left="65"/>
        <w:spacing w:after="0"/>
        <w:rPr>
          <w:sz w:val="20"/>
          <w:szCs w:val="20"/>
          <w:color w:val="auto"/>
        </w:rPr>
      </w:pPr>
      <w:r>
        <w:rPr>
          <w:rFonts w:ascii="Times New Roman" w:cs="Times New Roman" w:eastAsia="Times New Roman" w:hAnsi="Times New Roman"/>
          <w:sz w:val="18"/>
          <w:szCs w:val="18"/>
          <w:color w:val="auto"/>
        </w:rPr>
        <w:t>Three Months</w:t>
      </w:r>
    </w:p>
    <w:p>
      <w:pPr>
        <w:spacing w:after="0" w:line="27" w:lineRule="exact"/>
        <w:rPr>
          <w:sz w:val="20"/>
          <w:szCs w:val="20"/>
          <w:color w:val="auto"/>
        </w:rPr>
      </w:pPr>
    </w:p>
    <w:p>
      <w:pPr>
        <w:ind w:left="345"/>
        <w:spacing w:after="0"/>
        <w:rPr>
          <w:sz w:val="20"/>
          <w:szCs w:val="20"/>
          <w:color w:val="auto"/>
        </w:rPr>
      </w:pPr>
      <w:r>
        <w:rPr>
          <w:rFonts w:ascii="Times New Roman" w:cs="Times New Roman" w:eastAsia="Times New Roman" w:hAnsi="Times New Roman"/>
          <w:sz w:val="18"/>
          <w:szCs w:val="18"/>
          <w:color w:val="auto"/>
        </w:rPr>
        <w:t>Ended</w:t>
      </w:r>
    </w:p>
    <w:p>
      <w:pPr>
        <w:spacing w:after="0" w:line="9" w:lineRule="exact"/>
        <w:rPr>
          <w:sz w:val="20"/>
          <w:szCs w:val="20"/>
          <w:color w:val="auto"/>
        </w:rPr>
      </w:pPr>
    </w:p>
    <w:p>
      <w:pPr>
        <w:ind w:left="25"/>
        <w:spacing w:after="0"/>
        <w:rPr>
          <w:sz w:val="20"/>
          <w:szCs w:val="20"/>
          <w:color w:val="auto"/>
        </w:rPr>
      </w:pPr>
      <w:r>
        <w:rPr>
          <w:rFonts w:ascii="Times New Roman" w:cs="Times New Roman" w:eastAsia="Times New Roman" w:hAnsi="Times New Roman"/>
          <w:sz w:val="18"/>
          <w:szCs w:val="18"/>
          <w:color w:val="auto"/>
        </w:rPr>
        <w:t>September 30,</w:t>
      </w:r>
    </w:p>
    <w:p>
      <w:pPr>
        <w:spacing w:after="0" w:line="9" w:lineRule="exact"/>
        <w:rPr>
          <w:sz w:val="20"/>
          <w:szCs w:val="20"/>
          <w:color w:val="auto"/>
        </w:rPr>
      </w:pPr>
    </w:p>
    <w:p>
      <w:pPr>
        <w:ind w:left="385"/>
        <w:spacing w:after="0"/>
        <w:rPr>
          <w:sz w:val="20"/>
          <w:szCs w:val="20"/>
          <w:color w:val="auto"/>
        </w:rPr>
      </w:pPr>
      <w:r>
        <w:rPr>
          <w:rFonts w:ascii="Times New Roman" w:cs="Times New Roman" w:eastAsia="Times New Roman" w:hAnsi="Times New Roman"/>
          <w:sz w:val="18"/>
          <w:szCs w:val="18"/>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2009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14" w:lineRule="exact"/>
        <w:rPr>
          <w:sz w:val="20"/>
          <w:szCs w:val="20"/>
          <w:color w:val="auto"/>
        </w:rPr>
      </w:pPr>
    </w:p>
    <w:p>
      <w:pPr>
        <w:ind w:left="645" w:hanging="645"/>
        <w:spacing w:after="0"/>
        <w:tabs>
          <w:tab w:leader="none" w:pos="64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23,043</w:t>
      </w:r>
    </w:p>
    <w:p>
      <w:pPr>
        <w:spacing w:after="0" w:line="38" w:lineRule="exact"/>
        <w:rPr>
          <w:rFonts w:ascii="Times New Roman" w:cs="Times New Roman" w:eastAsia="Times New Roman" w:hAnsi="Times New Roman"/>
          <w:sz w:val="17"/>
          <w:szCs w:val="17"/>
          <w:color w:val="auto"/>
        </w:rPr>
      </w:pPr>
    </w:p>
    <w:p>
      <w:pPr>
        <w:ind w:left="645"/>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14,653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-5502910</wp:posOffset>
            </wp:positionH>
            <wp:positionV relativeFrom="paragraph">
              <wp:posOffset>-260350</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-5502910</wp:posOffset>
            </wp:positionH>
            <wp:positionV relativeFrom="paragraph">
              <wp:posOffset>21590</wp:posOffset>
            </wp:positionV>
            <wp:extent cx="7132320" cy="1885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50" w:lineRule="exact"/>
        <w:rPr>
          <w:sz w:val="20"/>
          <w:szCs w:val="20"/>
          <w:color w:val="auto"/>
        </w:rPr>
      </w:pPr>
    </w:p>
    <w:p>
      <w:pPr>
        <w:ind w:left="645" w:hanging="645"/>
        <w:spacing w:after="0"/>
        <w:tabs>
          <w:tab w:leader="none" w:pos="64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37,696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50165</wp:posOffset>
            </wp:positionV>
            <wp:extent cx="72009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left="75"/>
        <w:spacing w:after="0"/>
        <w:rPr>
          <w:sz w:val="20"/>
          <w:szCs w:val="20"/>
          <w:color w:val="auto"/>
        </w:rPr>
      </w:pPr>
      <w:r>
        <w:rPr>
          <w:rFonts w:ascii="Times New Roman" w:cs="Times New Roman" w:eastAsia="Times New Roman" w:hAnsi="Times New Roman"/>
          <w:sz w:val="18"/>
          <w:szCs w:val="18"/>
          <w:color w:val="auto"/>
        </w:rPr>
        <w:t>Nine Months</w:t>
      </w:r>
    </w:p>
    <w:p>
      <w:pPr>
        <w:spacing w:after="0" w:line="27" w:lineRule="exact"/>
        <w:rPr>
          <w:sz w:val="20"/>
          <w:szCs w:val="20"/>
          <w:color w:val="auto"/>
        </w:rPr>
      </w:pPr>
    </w:p>
    <w:p>
      <w:pPr>
        <w:ind w:left="315"/>
        <w:spacing w:after="0"/>
        <w:rPr>
          <w:sz w:val="20"/>
          <w:szCs w:val="20"/>
          <w:color w:val="auto"/>
        </w:rPr>
      </w:pPr>
      <w:r>
        <w:rPr>
          <w:rFonts w:ascii="Times New Roman" w:cs="Times New Roman" w:eastAsia="Times New Roman" w:hAnsi="Times New Roman"/>
          <w:sz w:val="18"/>
          <w:szCs w:val="18"/>
          <w:color w:val="auto"/>
        </w:rPr>
        <w:t>Ended</w:t>
      </w:r>
    </w:p>
    <w:p>
      <w:pPr>
        <w:spacing w:after="0" w:line="9" w:lineRule="exact"/>
        <w:rPr>
          <w:sz w:val="20"/>
          <w:szCs w:val="20"/>
          <w:color w:val="auto"/>
        </w:rPr>
      </w:pPr>
    </w:p>
    <w:p>
      <w:pPr>
        <w:ind w:left="15"/>
        <w:spacing w:after="0"/>
        <w:rPr>
          <w:sz w:val="20"/>
          <w:szCs w:val="20"/>
          <w:color w:val="auto"/>
        </w:rPr>
      </w:pPr>
      <w:r>
        <w:rPr>
          <w:rFonts w:ascii="Times New Roman" w:cs="Times New Roman" w:eastAsia="Times New Roman" w:hAnsi="Times New Roman"/>
          <w:sz w:val="18"/>
          <w:szCs w:val="18"/>
          <w:color w:val="auto"/>
        </w:rPr>
        <w:t>September 30,</w:t>
      </w:r>
    </w:p>
    <w:p>
      <w:pPr>
        <w:spacing w:after="0" w:line="9" w:lineRule="exact"/>
        <w:rPr>
          <w:sz w:val="20"/>
          <w:szCs w:val="20"/>
          <w:color w:val="auto"/>
        </w:rPr>
      </w:pPr>
    </w:p>
    <w:p>
      <w:pPr>
        <w:ind w:left="375"/>
        <w:spacing w:after="0"/>
        <w:rPr>
          <w:sz w:val="20"/>
          <w:szCs w:val="20"/>
          <w:color w:val="auto"/>
        </w:rPr>
      </w:pPr>
      <w:r>
        <w:rPr>
          <w:rFonts w:ascii="Times New Roman" w:cs="Times New Roman" w:eastAsia="Times New Roman" w:hAnsi="Times New Roman"/>
          <w:sz w:val="18"/>
          <w:szCs w:val="18"/>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0294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14" w:lineRule="exact"/>
        <w:rPr>
          <w:sz w:val="20"/>
          <w:szCs w:val="20"/>
          <w:color w:val="auto"/>
        </w:rPr>
      </w:pPr>
    </w:p>
    <w:p>
      <w:pPr>
        <w:ind w:left="615" w:hanging="615"/>
        <w:spacing w:after="0"/>
        <w:tabs>
          <w:tab w:leader="none" w:pos="6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72,208</w:t>
      </w:r>
    </w:p>
    <w:p>
      <w:pPr>
        <w:spacing w:after="0" w:line="27" w:lineRule="exact"/>
        <w:rPr>
          <w:rFonts w:ascii="Times New Roman" w:cs="Times New Roman" w:eastAsia="Times New Roman" w:hAnsi="Times New Roman"/>
          <w:sz w:val="18"/>
          <w:szCs w:val="18"/>
          <w:color w:val="auto"/>
        </w:rPr>
      </w:pPr>
    </w:p>
    <w:p>
      <w:pPr>
        <w:ind w:left="61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36,552</w:t>
      </w:r>
    </w:p>
    <w:p>
      <w:pPr>
        <w:spacing w:after="0" w:line="58" w:lineRule="exact"/>
        <w:rPr>
          <w:sz w:val="20"/>
          <w:szCs w:val="20"/>
          <w:color w:val="auto"/>
        </w:rPr>
      </w:pPr>
    </w:p>
    <w:p>
      <w:pPr>
        <w:ind w:left="515" w:hanging="515"/>
        <w:spacing w:after="0"/>
        <w:tabs>
          <w:tab w:leader="none" w:pos="5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108,760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0294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7955" w:space="720"/>
            <w:col w:w="1125" w:space="225"/>
            <w:col w:w="1215"/>
          </w:cols>
          <w:pgMar w:left="320" w:top="873" w:right="339" w:bottom="1440" w:gutter="0" w:footer="0" w:header="0"/>
          <w:type w:val="continuous"/>
        </w:sectPr>
      </w:pP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table below presents the future minimum lease payments to be made under operating leases as of September 30, 2022:</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 of September 30, 2022</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9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24,187</w:t>
            </w: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96,747</w:t>
            </w:r>
          </w:p>
        </w:tc>
      </w:tr>
      <w:tr>
        <w:trPr>
          <w:trHeight w:val="216"/>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79,965</w:t>
            </w:r>
          </w:p>
        </w:tc>
      </w:tr>
      <w:tr>
        <w:trPr>
          <w:trHeight w:val="236"/>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70,224</w:t>
            </w:r>
          </w:p>
        </w:tc>
      </w:tr>
      <w:tr>
        <w:trPr>
          <w:trHeight w:val="216"/>
        </w:trPr>
        <w:tc>
          <w:tcPr>
            <w:tcW w:w="100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271,123</w:t>
            </w: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100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Less: discount</w:t>
            </w: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16,924</w:t>
            </w:r>
          </w:p>
        </w:tc>
        <w:tc>
          <w:tcPr>
            <w:tcW w:w="100" w:type="dxa"/>
            <w:vAlign w:val="bottom"/>
            <w:tcBorders>
              <w:bottom w:val="single" w:sz="8" w:color="CCEEFF"/>
            </w:tcBorders>
          </w:tcPr>
          <w:p>
            <w:pPr>
              <w:spacing w:after="0"/>
              <w:rPr>
                <w:sz w:val="20"/>
                <w:szCs w:val="20"/>
                <w:color w:val="auto"/>
              </w:rPr>
            </w:pPr>
          </w:p>
        </w:tc>
      </w:tr>
      <w:tr>
        <w:trPr>
          <w:trHeight w:val="250"/>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254,199</w:t>
            </w:r>
          </w:p>
        </w:tc>
      </w:tr>
      <w:tr>
        <w:trPr>
          <w:trHeight w:val="20"/>
        </w:trPr>
        <w:tc>
          <w:tcPr>
            <w:tcW w:w="9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weighted average remaining lease term at September 30, 2022 for operating leases is 3.0 years and the weighted average discount rate used in calculating the operating lease asset and liability is 4.5%. Cash paid for amounts included in the measurement of lease liabilities was $66,244 and $93,596 for the nine months ended September 30, 2022 and 2021, respectively. For the nine months ended September 30, 2022 and 2021, payments on lease obligations were $75,719 and $107,136, respectively, and amortization on the right of use assets was $77,011 and $90,471, respectively.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7 – STOCKHOLDERS’ EQUITY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quarters ended September 30, 2022, June 30, 2022, and March 31, 2022 we issued 68,751, 43,701 and 28,006 shares of our common stock, respectively, and received proceeds of $219,629, $572,347, and $258,128, respectively, in connection with the exercise of stock options under our 2013 equity incentive plan.</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quarters ended September 30, 2021, June 30, 2021 and March 31, 2021, we issued 232,340, 232,806 and 510,803 shares of our common stock, respectively, and received proceeds of $1,094,697, $1,590,767, and $1,120,011 respectively, in connection with the exercise of stock options under our 2013 equity incentive plan. Of the shares issued in the quarter ended March 31, 2021, a total of 368,329 shares were issued in a cashless transaction related to 394,739 expiring options using the net settled method whereby 26,410 options were used to pay the purchase price. The remaining 116,064 shares issued in connection with the exercise of options were all issued for cash. No shares were issued in the quarter ended June 30, 2021 in cashless transactions. Of the shares issued in the quarter ended September 30, 2021, a total of 73,501 shares were issued in a cashless transaction related to 78,334 expiring options using the net settled method whereby 4,833 options were used to pay the purchase price. The remaining 158,839 shares issued in connection with the exercise of options were all issued for cash.</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quarter ended June 30, 2022, the Board authorized a share repurchase program, under which the Company may repurchase up to $20.0 million of its outstanding common stock. Through September 30, 2022, we repurchased 706,114 shares of our common stock for a total of $12,561,571. These shares were recorded as Treasury Shares using the par value method.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quarter ended March 31, 2021, in an underwritten primary offering, we issued 1,523,750 shares of our common stock for gross proceeds of $75,425,625. In connection with this transaction, we incurred equity issuance costs of $4,754,089 related to payments to the underwriter, advisors and legal fees associated with the transaction, resulting in net proceeds to the Company of $70,671,536.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8 – STOCK BASED COMPENSATION</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use the fair value method to account for stock-based compensation, including both options and restricted stock units. We recorded $3,624,065 and $1,711,075 in compensation expense in the nine months ended September 30, 2022 and 2021, respectively, related to options issued under our equity compensation plans. This includes expense related to options issued in prior years for which the requisite service period for those options includes the current period as well as options issued in the current period. During the three months ended June 30, 2022, we granted certain performance based options, the expense for which will be recorded over time once the achievement of the performance is deemed probable. There was no expense related to these options recorded during the period. The fair value of these instruments was calculated using the Black-Scholes option pricing model. There is $11,677,040 of remaining expense related to unvested options to be recognized in the future over a weighted average period of 2.15 years. The total intrinsic value of outstanding options at September 30, 2022 was $645,740.</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recorded $7,852,597 and $901,123 in compensation expense related to restricted stock units in the nine months ended September 30, 2022 and 2021, respectively. These units vest over time, based on market conditions, or when certain performance requirements are met. We issued 19,065 shares during the nine months ended September 30, 2022 for restricted stock units vested. Of the $7,852,597 recorded in compensation expense, $4,560,189 is related to market-based equity grants. There was no expense recorded in relation to the performance based grants. The expense related to the market-based grants was calculated using a Monte Carlo simulation. There is $18,441,496 of remaining expense related to unvested restricted stock units to be recognized in the future over a weighted average period of 2.02 years.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previous director’s compensation plan called for the issuance of fully-vested shares of common stock each quarter to each independent director. In 2021, we issued 2,695 shares valued at $124,994 in the quarter ended March 31, 2021 and 2,035 shares valued at $125,091 in the quarter ended June 30, 2021. Our current non-employee director’s compensation program calls for the grant of restricted stock units with a one year vesting period. Therefore, no grants of fully-vested shares were issued to our non-employee directors during the nine months ended September 30, 2022. We granted 1,670 units to our directors on September 30, 2021 which were vested and issued on September 29, 2022. There were 3,285 and 23,185 restricted stock units granted to the board of directors in the quarters ended March 31, 2022 and June 30, 2022, respectively, for a total value of $750,130 which will vest 12 months from the grant dates.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9 – EARNINGS (LOSS) PER SHARE</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Basic earnings per share (“EPS”) is computed by dividing net income (loss) by the weighted average number of common shares outstanding during the period.</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number of shares related to options and restricted stock units included in diluted EPS is based on the “Treasury Stock Method” prescribed in ASC 260-10, Earnings per Share. This method assumes the theoretical repurchase of shares using proceeds of the respective stock options exercised, and for restricted stock units, the amount of compensation cost attributed to future services which have not yet been recognized, and the amount of current and deferred tax benefit, if any, that would be credited to additional paid in capital upon the vesting of the restricted stock units, at a price equal to the issuer’s average stock price during the related earnings period. Accordingly, the number of shares includable in the calculation of EPS in respect of the stock options and restricted stock units is dependent on this average stock price and will increase as the average stock price increases.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share.</w:t>
            </w: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5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color w:val="auto"/>
              </w:rPr>
              <w:t>Three Months Ended</w:t>
            </w:r>
          </w:p>
        </w:tc>
        <w:tc>
          <w:tcPr>
            <w:tcW w:w="180" w:type="dxa"/>
            <w:vAlign w:val="bottom"/>
          </w:tcPr>
          <w:p>
            <w:pPr>
              <w:spacing w:after="0"/>
              <w:rPr>
                <w:sz w:val="24"/>
                <w:szCs w:val="24"/>
                <w:color w:val="auto"/>
              </w:rPr>
            </w:pPr>
          </w:p>
        </w:tc>
        <w:tc>
          <w:tcPr>
            <w:tcW w:w="2360" w:type="dxa"/>
            <w:vAlign w:val="bottom"/>
            <w:gridSpan w:val="5"/>
          </w:tcPr>
          <w:p>
            <w:pPr>
              <w:jc w:val="right"/>
              <w:ind w:right="521"/>
              <w:spacing w:after="0"/>
              <w:rPr>
                <w:sz w:val="20"/>
                <w:szCs w:val="20"/>
                <w:color w:val="auto"/>
              </w:rPr>
            </w:pPr>
            <w:r>
              <w:rPr>
                <w:rFonts w:ascii="Times New Roman" w:cs="Times New Roman" w:eastAsia="Times New Roman" w:hAnsi="Times New Roman"/>
                <w:sz w:val="18"/>
                <w:szCs w:val="18"/>
                <w:color w:val="auto"/>
              </w:rPr>
              <w:t>Nine Months Ended</w:t>
            </w:r>
          </w:p>
        </w:tc>
        <w:tc>
          <w:tcPr>
            <w:tcW w:w="0" w:type="dxa"/>
            <w:vAlign w:val="bottom"/>
          </w:tcPr>
          <w:p>
            <w:pPr>
              <w:spacing w:after="0"/>
              <w:rPr>
                <w:sz w:val="1"/>
                <w:szCs w:val="1"/>
                <w:color w:val="auto"/>
              </w:rPr>
            </w:pPr>
          </w:p>
        </w:tc>
      </w:tr>
      <w:tr>
        <w:trPr>
          <w:trHeight w:val="241"/>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jc w:val="right"/>
              <w:ind w:right="940"/>
              <w:spacing w:after="0"/>
              <w:rPr>
                <w:sz w:val="20"/>
                <w:szCs w:val="20"/>
                <w:color w:val="auto"/>
              </w:rPr>
            </w:pPr>
            <w:r>
              <w:rPr>
                <w:rFonts w:ascii="Times New Roman" w:cs="Times New Roman" w:eastAsia="Times New Roman" w:hAnsi="Times New Roman"/>
                <w:sz w:val="18"/>
                <w:szCs w:val="18"/>
                <w:color w:val="auto"/>
              </w:rPr>
              <w:t>September 30,</w:t>
            </w:r>
          </w:p>
        </w:tc>
        <w:tc>
          <w:tcPr>
            <w:tcW w:w="180" w:type="dxa"/>
            <w:vAlign w:val="bottom"/>
          </w:tcPr>
          <w:p>
            <w:pPr>
              <w:spacing w:after="0"/>
              <w:rPr>
                <w:sz w:val="20"/>
                <w:szCs w:val="20"/>
                <w:color w:val="auto"/>
              </w:rPr>
            </w:pPr>
          </w:p>
        </w:tc>
        <w:tc>
          <w:tcPr>
            <w:tcW w:w="2360" w:type="dxa"/>
            <w:vAlign w:val="bottom"/>
            <w:gridSpan w:val="5"/>
          </w:tcPr>
          <w:p>
            <w:pPr>
              <w:jc w:val="right"/>
              <w:ind w:right="721"/>
              <w:spacing w:after="0"/>
              <w:rPr>
                <w:sz w:val="20"/>
                <w:szCs w:val="20"/>
                <w:color w:val="auto"/>
              </w:rPr>
            </w:pPr>
            <w:r>
              <w:rPr>
                <w:rFonts w:ascii="Times New Roman" w:cs="Times New Roman" w:eastAsia="Times New Roman" w:hAnsi="Times New Roman"/>
                <w:sz w:val="18"/>
                <w:szCs w:val="18"/>
                <w:color w:val="auto"/>
              </w:rPr>
              <w:t>September 30,</w:t>
            </w: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color w:val="auto"/>
              </w:rPr>
              <w:t>2022</w:t>
            </w:r>
          </w:p>
        </w:tc>
        <w:tc>
          <w:tcPr>
            <w:tcW w:w="26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c>
          <w:tcPr>
            <w:tcW w:w="2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3"/>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Numerator</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21"/>
              <w:spacing w:after="0" w:line="256" w:lineRule="exact"/>
              <w:rPr>
                <w:sz w:val="20"/>
                <w:szCs w:val="20"/>
                <w:color w:val="auto"/>
              </w:rPr>
            </w:pPr>
            <w:r>
              <w:rPr>
                <w:rFonts w:ascii="Times New Roman" w:cs="Times New Roman" w:eastAsia="Times New Roman" w:hAnsi="Times New Roman"/>
                <w:sz w:val="16"/>
                <w:szCs w:val="16"/>
                <w:color w:val="auto"/>
              </w:rPr>
              <w:t>(3,466,792</w:t>
            </w:r>
            <w:r>
              <w:rPr>
                <w:rFonts w:ascii="Times New Roman" w:cs="Times New Roman" w:eastAsia="Times New Roman" w:hAnsi="Times New Roman"/>
                <w:sz w:val="29"/>
                <w:szCs w:val="29"/>
                <w:color w:val="auto"/>
                <w:vertAlign w:val="superscript"/>
              </w:rPr>
              <w:t>)</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39,894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81"/>
              <w:spacing w:after="0" w:line="256" w:lineRule="exact"/>
              <w:rPr>
                <w:sz w:val="20"/>
                <w:szCs w:val="20"/>
                <w:color w:val="auto"/>
              </w:rPr>
            </w:pPr>
            <w:r>
              <w:rPr>
                <w:rFonts w:ascii="Times New Roman" w:cs="Times New Roman" w:eastAsia="Times New Roman" w:hAnsi="Times New Roman"/>
                <w:sz w:val="16"/>
                <w:szCs w:val="16"/>
                <w:color w:val="auto"/>
              </w:rPr>
              <w:t>(11,112,604</w:t>
            </w:r>
            <w:r>
              <w:rPr>
                <w:rFonts w:ascii="Times New Roman" w:cs="Times New Roman" w:eastAsia="Times New Roman" w:hAnsi="Times New Roman"/>
                <w:sz w:val="29"/>
                <w:szCs w:val="29"/>
                <w:color w:val="auto"/>
                <w:vertAlign w:val="superscript"/>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spacing w:after="0" w:line="256" w:lineRule="exact"/>
              <w:rPr>
                <w:sz w:val="20"/>
                <w:szCs w:val="20"/>
                <w:color w:val="auto"/>
              </w:rPr>
            </w:pPr>
            <w:r>
              <w:rPr>
                <w:rFonts w:ascii="Times New Roman" w:cs="Times New Roman" w:eastAsia="Times New Roman" w:hAnsi="Times New Roman"/>
                <w:sz w:val="16"/>
                <w:szCs w:val="16"/>
                <w:color w:val="auto"/>
              </w:rPr>
              <w:t>(245,383</w:t>
            </w:r>
            <w:r>
              <w:rPr>
                <w:rFonts w:ascii="Times New Roman" w:cs="Times New Roman" w:eastAsia="Times New Roman" w:hAnsi="Times New Roman"/>
                <w:sz w:val="29"/>
                <w:szCs w:val="29"/>
                <w:color w:val="auto"/>
                <w:vertAlign w:val="superscript"/>
              </w:rPr>
              <w:t>)</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 used in computing net loss per share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17,981,184</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17,639,346</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17,994,288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17,028,762</w:t>
            </w:r>
          </w:p>
        </w:tc>
        <w:tc>
          <w:tcPr>
            <w:tcW w:w="0" w:type="dxa"/>
            <w:vAlign w:val="bottom"/>
          </w:tcPr>
          <w:p>
            <w:pPr>
              <w:spacing w:after="0"/>
              <w:rPr>
                <w:sz w:val="1"/>
                <w:szCs w:val="1"/>
                <w:color w:val="auto"/>
              </w:rPr>
            </w:pPr>
          </w:p>
        </w:tc>
      </w:tr>
      <w:tr>
        <w:trPr>
          <w:trHeight w:val="198"/>
        </w:trPr>
        <w:tc>
          <w:tcPr>
            <w:tcW w:w="59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Effect of dilutive stock options, warrants, and unvested restricted stock unit</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awards</w:t>
            </w:r>
          </w:p>
        </w:tc>
        <w:tc>
          <w:tcPr>
            <w:tcW w:w="240" w:type="dxa"/>
            <w:vAlign w:val="bottom"/>
          </w:tcPr>
          <w:p>
            <w:pPr>
              <w:spacing w:after="0"/>
              <w:rPr>
                <w:sz w:val="21"/>
                <w:szCs w:val="21"/>
                <w:color w:val="auto"/>
              </w:rPr>
            </w:pPr>
          </w:p>
        </w:tc>
        <w:tc>
          <w:tcPr>
            <w:tcW w:w="11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559,066</w:t>
            </w:r>
          </w:p>
        </w:tc>
        <w:tc>
          <w:tcPr>
            <w:tcW w:w="180" w:type="dxa"/>
            <w:vAlign w:val="bottom"/>
          </w:tcPr>
          <w:p>
            <w:pPr>
              <w:spacing w:after="0"/>
              <w:rPr>
                <w:sz w:val="21"/>
                <w:szCs w:val="21"/>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17,981,184</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18,198,412</w:t>
            </w:r>
          </w:p>
        </w:tc>
        <w:tc>
          <w:tcPr>
            <w:tcW w:w="1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17,994,288</w:t>
            </w: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17,028,762</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per share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21"/>
              <w:spacing w:after="0" w:line="256" w:lineRule="exact"/>
              <w:rPr>
                <w:sz w:val="20"/>
                <w:szCs w:val="20"/>
                <w:color w:val="auto"/>
              </w:rPr>
            </w:pPr>
            <w:r>
              <w:rPr>
                <w:rFonts w:ascii="Times New Roman" w:cs="Times New Roman" w:eastAsia="Times New Roman" w:hAnsi="Times New Roman"/>
                <w:sz w:val="16"/>
                <w:szCs w:val="16"/>
                <w:color w:val="auto"/>
              </w:rPr>
              <w:t>(0.19</w:t>
            </w:r>
            <w:r>
              <w:rPr>
                <w:rFonts w:ascii="Times New Roman" w:cs="Times New Roman" w:eastAsia="Times New Roman" w:hAnsi="Times New Roman"/>
                <w:sz w:val="29"/>
                <w:szCs w:val="29"/>
                <w:color w:val="auto"/>
                <w:vertAlign w:val="superscript"/>
              </w:rPr>
              <w:t>)</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81"/>
              <w:spacing w:after="0" w:line="256" w:lineRule="exact"/>
              <w:rPr>
                <w:sz w:val="20"/>
                <w:szCs w:val="20"/>
                <w:color w:val="auto"/>
              </w:rPr>
            </w:pPr>
            <w:r>
              <w:rPr>
                <w:rFonts w:ascii="Times New Roman" w:cs="Times New Roman" w:eastAsia="Times New Roman" w:hAnsi="Times New Roman"/>
                <w:sz w:val="16"/>
                <w:szCs w:val="16"/>
                <w:color w:val="auto"/>
              </w:rPr>
              <w:t>(0.62</w:t>
            </w:r>
            <w:r>
              <w:rPr>
                <w:rFonts w:ascii="Times New Roman" w:cs="Times New Roman" w:eastAsia="Times New Roman" w:hAnsi="Times New Roman"/>
                <w:sz w:val="29"/>
                <w:szCs w:val="29"/>
                <w:color w:val="auto"/>
                <w:vertAlign w:val="superscript"/>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spacing w:after="0" w:line="256" w:lineRule="exact"/>
              <w:rPr>
                <w:sz w:val="20"/>
                <w:szCs w:val="20"/>
                <w:color w:val="auto"/>
              </w:rPr>
            </w:pPr>
            <w:r>
              <w:rPr>
                <w:rFonts w:ascii="Times New Roman" w:cs="Times New Roman" w:eastAsia="Times New Roman" w:hAnsi="Times New Roman"/>
                <w:sz w:val="16"/>
                <w:szCs w:val="16"/>
                <w:color w:val="auto"/>
              </w:rPr>
              <w:t>(0.01</w:t>
            </w:r>
            <w:r>
              <w:rPr>
                <w:rFonts w:ascii="Times New Roman" w:cs="Times New Roman" w:eastAsia="Times New Roman" w:hAnsi="Times New Roman"/>
                <w:sz w:val="29"/>
                <w:szCs w:val="29"/>
                <w:color w:val="auto"/>
                <w:vertAlign w:val="superscript"/>
              </w:rPr>
              <w:t>)</w:t>
            </w: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shd w:val="clear" w:color="auto" w:fill="CCEEFF"/>
          </w:tcPr>
          <w:p>
            <w:pPr>
              <w:ind w:left="180"/>
              <w:spacing w:after="0" w:line="194" w:lineRule="exact"/>
              <w:rPr>
                <w:sz w:val="20"/>
                <w:szCs w:val="20"/>
                <w:color w:val="auto"/>
              </w:rPr>
            </w:pPr>
            <w:r>
              <w:rPr>
                <w:rFonts w:ascii="Times New Roman" w:cs="Times New Roman" w:eastAsia="Times New Roman" w:hAnsi="Times New Roman"/>
                <w:sz w:val="18"/>
                <w:szCs w:val="18"/>
                <w:color w:val="auto"/>
              </w:rPr>
              <w:t>Diluted</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26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
        </w:trPr>
        <w:tc>
          <w:tcPr>
            <w:tcW w:w="5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 calculation of diluted earnings per share is included for 2022 or the nine months ended September 30, 2021, as the effect of the calculation would be anti-dilutive.</w:t>
      </w:r>
    </w:p>
    <w:p>
      <w:pPr>
        <w:spacing w:after="0" w:line="16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number of common shares potentially issuable upon the exercise of certain options or for unvested restricted stock unit awards are reflected in the table below.</w:t>
      </w:r>
    </w:p>
    <w:p>
      <w:pPr>
        <w:sectPr>
          <w:pgSz w:w="11900" w:h="16838" w:orient="portrait"/>
          <w:cols w:equalWidth="0" w:num="1">
            <w:col w:w="11240"/>
          </w:cols>
          <w:pgMar w:left="320" w:top="8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880"/>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Weighted average number of shares for the periods ended </w:t>
      </w:r>
      <w:r>
        <w:rPr>
          <w:rFonts w:ascii="Times New Roman" w:cs="Times New Roman" w:eastAsia="Times New Roman" w:hAnsi="Times New Roman"/>
          <w:sz w:val="18"/>
          <w:szCs w:val="18"/>
          <w:color w:val="auto"/>
        </w:rPr>
        <w:t>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1323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Unvested restricted stock unit awards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97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10 – CONTINGENCIES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not currently involved in any material legal proceedings.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11 – INCOME TAXES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2720" w:type="dxa"/>
            <w:vAlign w:val="bottom"/>
            <w:gridSpan w:val="4"/>
          </w:tcPr>
          <w:p>
            <w:pPr>
              <w:jc w:val="right"/>
              <w:ind w:right="700"/>
              <w:spacing w:after="0" w:line="198" w:lineRule="exact"/>
              <w:rPr>
                <w:sz w:val="20"/>
                <w:szCs w:val="20"/>
                <w:color w:val="auto"/>
              </w:rPr>
            </w:pPr>
            <w:r>
              <w:rPr>
                <w:rFonts w:ascii="Times New Roman" w:cs="Times New Roman" w:eastAsia="Times New Roman" w:hAnsi="Times New Roman"/>
                <w:sz w:val="18"/>
                <w:szCs w:val="18"/>
                <w:color w:val="auto"/>
              </w:rPr>
              <w:t>Three Months Ended</w:t>
            </w:r>
          </w:p>
        </w:tc>
        <w:tc>
          <w:tcPr>
            <w:tcW w:w="2440" w:type="dxa"/>
            <w:vAlign w:val="bottom"/>
            <w:gridSpan w:val="3"/>
          </w:tcPr>
          <w:p>
            <w:pPr>
              <w:jc w:val="right"/>
              <w:ind w:right="410"/>
              <w:spacing w:after="0" w:line="198" w:lineRule="exact"/>
              <w:rPr>
                <w:sz w:val="20"/>
                <w:szCs w:val="20"/>
                <w:color w:val="auto"/>
              </w:rPr>
            </w:pPr>
            <w:r>
              <w:rPr>
                <w:rFonts w:ascii="Times New Roman" w:cs="Times New Roman" w:eastAsia="Times New Roman" w:hAnsi="Times New Roman"/>
                <w:sz w:val="18"/>
                <w:szCs w:val="18"/>
                <w:color w:val="auto"/>
              </w:rPr>
              <w:t>Nine Months Ended</w:t>
            </w:r>
          </w:p>
        </w:tc>
      </w:tr>
      <w:tr>
        <w:trPr>
          <w:trHeight w:val="241"/>
        </w:trPr>
        <w:tc>
          <w:tcPr>
            <w:tcW w:w="2720" w:type="dxa"/>
            <w:vAlign w:val="bottom"/>
            <w:gridSpan w:val="4"/>
          </w:tcPr>
          <w:p>
            <w:pPr>
              <w:jc w:val="right"/>
              <w:ind w:right="940"/>
              <w:spacing w:after="0"/>
              <w:rPr>
                <w:sz w:val="20"/>
                <w:szCs w:val="20"/>
                <w:color w:val="auto"/>
              </w:rPr>
            </w:pPr>
            <w:r>
              <w:rPr>
                <w:rFonts w:ascii="Times New Roman" w:cs="Times New Roman" w:eastAsia="Times New Roman" w:hAnsi="Times New Roman"/>
                <w:sz w:val="18"/>
                <w:szCs w:val="18"/>
                <w:color w:val="auto"/>
              </w:rPr>
              <w:t>September 30,</w:t>
            </w:r>
          </w:p>
        </w:tc>
        <w:tc>
          <w:tcPr>
            <w:tcW w:w="2440" w:type="dxa"/>
            <w:vAlign w:val="bottom"/>
            <w:gridSpan w:val="3"/>
          </w:tcPr>
          <w:p>
            <w:pPr>
              <w:jc w:val="right"/>
              <w:ind w:right="610"/>
              <w:spacing w:after="0"/>
              <w:rPr>
                <w:sz w:val="20"/>
                <w:szCs w:val="20"/>
                <w:color w:val="auto"/>
              </w:rPr>
            </w:pPr>
            <w:r>
              <w:rPr>
                <w:rFonts w:ascii="Times New Roman" w:cs="Times New Roman" w:eastAsia="Times New Roman" w:hAnsi="Times New Roman"/>
                <w:sz w:val="18"/>
                <w:szCs w:val="18"/>
                <w:color w:val="auto"/>
              </w:rPr>
              <w:t>September 30,</w:t>
            </w:r>
          </w:p>
        </w:tc>
      </w:tr>
      <w:tr>
        <w:trPr>
          <w:trHeight w:val="237"/>
        </w:trPr>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2022</w:t>
            </w: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c>
          <w:tcPr>
            <w:tcW w:w="220" w:type="dxa"/>
            <w:vAlign w:val="bottom"/>
          </w:tcPr>
          <w:p>
            <w:pPr>
              <w:spacing w:after="0"/>
              <w:rPr>
                <w:sz w:val="20"/>
                <w:szCs w:val="20"/>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r>
      <w:tr>
        <w:trPr>
          <w:trHeight w:val="427"/>
        </w:trPr>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63,471</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445,180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99,587</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406,322</w:t>
            </w:r>
          </w:p>
        </w:tc>
      </w:tr>
      <w:tr>
        <w:trPr>
          <w:trHeight w:val="234"/>
        </w:trPr>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43,751</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113,886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76,010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120,509</w:t>
            </w:r>
          </w:p>
        </w:tc>
      </w:tr>
      <w:tr>
        <w:trPr>
          <w:trHeight w:val="27"/>
        </w:trPr>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r>
      <w:tr>
        <w:trPr>
          <w:trHeight w:val="250"/>
        </w:trPr>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107,222</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559,066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175,597</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526,831</w:t>
            </w:r>
          </w:p>
        </w:tc>
      </w:tr>
      <w:tr>
        <w:trPr>
          <w:trHeight w:val="20"/>
        </w:trPr>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900" w:lineRule="exact"/>
        <w:rPr>
          <w:sz w:val="20"/>
          <w:szCs w:val="20"/>
          <w:color w:val="auto"/>
        </w:rPr>
      </w:pPr>
    </w:p>
    <w:p>
      <w:pPr>
        <w:sectPr>
          <w:pgSz w:w="11900" w:h="16838" w:orient="portrait"/>
          <w:cols w:equalWidth="0" w:num="2">
            <w:col w:w="5320" w:space="660"/>
            <w:col w:w="5260"/>
          </w:cols>
          <w:pgMar w:left="320" w:top="873" w:right="339" w:bottom="1440" w:gutter="0" w:footer="0" w:header="0"/>
          <w:type w:val="continuous"/>
        </w:sectPr>
      </w:pPr>
    </w:p>
    <w:p>
      <w:pPr>
        <w:spacing w:after="0" w:line="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discussed in our annual report on Form 10-K for the year ended December 31, 2021, we had net operating loss carry-forwards for federal income tax purposes of $26.4 million as of December 31, 2021. Accordingly, no federal income tax expense or benefit is recorded in the current period.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12 – SUBSEQUENT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October 2022, we received proceeds of $21,674 and issued 2,084 shares of common stock in conjunction with the exercise of stock options.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time periods set forth below, we purchased 400,492 shares of our common stock for a weighted average price of $14.75.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(or</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Approximate</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Dollar Value)</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of Shares</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Purchased as</w:t>
            </w:r>
          </w:p>
        </w:tc>
        <w:tc>
          <w:tcPr>
            <w:tcW w:w="12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that May</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Part of</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Yet Be</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Publicly</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Purchased</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8"/>
                <w:szCs w:val="18"/>
                <w:color w:val="auto"/>
              </w:rPr>
            </w:pPr>
          </w:p>
        </w:tc>
        <w:tc>
          <w:tcPr>
            <w:tcW w:w="12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3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Announced</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Under the</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40" w:type="dxa"/>
            <w:vAlign w:val="bottom"/>
          </w:tcPr>
          <w:p>
            <w:pPr>
              <w:spacing w:after="0"/>
              <w:rPr>
                <w:sz w:val="18"/>
                <w:szCs w:val="18"/>
                <w:color w:val="auto"/>
              </w:rPr>
            </w:pPr>
          </w:p>
        </w:tc>
        <w:tc>
          <w:tcPr>
            <w:tcW w:w="12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Price Paid</w:t>
            </w:r>
          </w:p>
        </w:tc>
        <w:tc>
          <w:tcPr>
            <w:tcW w:w="13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Plans or</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Plans or</w:t>
            </w:r>
          </w:p>
        </w:tc>
      </w:tr>
      <w:tr>
        <w:trPr>
          <w:trHeight w:val="245"/>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38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140" w:type="dxa"/>
            <w:vAlign w:val="bottom"/>
          </w:tcPr>
          <w:p>
            <w:pPr>
              <w:spacing w:after="0"/>
              <w:rPr>
                <w:sz w:val="21"/>
                <w:szCs w:val="21"/>
                <w:color w:val="auto"/>
              </w:rPr>
            </w:pPr>
          </w:p>
        </w:tc>
        <w:tc>
          <w:tcPr>
            <w:tcW w:w="12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per Share</w:t>
            </w:r>
          </w:p>
        </w:tc>
        <w:tc>
          <w:tcPr>
            <w:tcW w:w="13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Programs</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Programs</w:t>
            </w:r>
          </w:p>
        </w:tc>
      </w:tr>
      <w:tr>
        <w:trPr>
          <w:trHeight w:val="216"/>
        </w:trPr>
        <w:tc>
          <w:tcPr>
            <w:tcW w:w="5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10/1/22 - 10/31/22</w:t>
            </w:r>
          </w:p>
        </w:tc>
        <w:tc>
          <w:tcPr>
            <w:tcW w:w="1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341,934</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14.83</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341,934</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2,416,111</w:t>
            </w:r>
          </w:p>
        </w:tc>
      </w:tr>
      <w:tr>
        <w:trPr>
          <w:trHeight w:val="229"/>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11/1/22 - 11/3/22</w:t>
            </w:r>
          </w:p>
        </w:tc>
        <w:tc>
          <w:tcPr>
            <w:tcW w:w="12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58,558</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14.89</w:t>
            </w:r>
          </w:p>
        </w:tc>
        <w:tc>
          <w:tcPr>
            <w:tcW w:w="10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58,558</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1,546,934</w:t>
            </w:r>
          </w:p>
        </w:tc>
        <w:tc>
          <w:tcPr>
            <w:tcW w:w="100" w:type="dxa"/>
            <w:vAlign w:val="bottom"/>
          </w:tcPr>
          <w:p>
            <w:pPr>
              <w:spacing w:after="0"/>
              <w:rPr>
                <w:sz w:val="19"/>
                <w:szCs w:val="19"/>
                <w:color w:val="auto"/>
              </w:rPr>
            </w:pPr>
          </w:p>
        </w:tc>
      </w:tr>
      <w:tr>
        <w:trPr>
          <w:trHeight w:val="27"/>
        </w:trPr>
        <w:tc>
          <w:tcPr>
            <w:tcW w:w="5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accordance with ASC 855-10, we have analyzed events and transactions that occurred subsequent to September 30, 2022 through the date these financial statements were issued and have determined that we do not have any other material subsequent events to disclose or recognize in these financial statements.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contains statements that relate to future events and expectations and, as such, constitute forward-looking statements, within the meaning of the Private Securities Litigation Reform Act of 1995. Certain statements, other than purely historical information, including estimates, projections, statements relating to our strategies, outlook, business and financial prospects, business plans, objectives, and expected operating results, and the assumptions upon which those statements are based, are “forward-looking statements.” These forward-looking statements generally are identified by the words “believes,” “project,” “expects,” “anticipates,” “estimates,” “intends,” “strategy,” “plan,” “may,” “will,” “would,” “will be,” “will continue,” “will likely result,” and similar expressions.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Forward-looking statements are based on current expectations and assumptions that are subject to risks and uncertainties which may cause actual results to differ materially from the forward-looking statements. Forward-looking statements are not guarantees of future performance. Although OptimizeRx believes that the expectations reflected in any forward-looking statements are based on reasonable assumptions, these expectations may not be attained and it is possible that actual results may differ materially from those indicated by these forward-looking statements due to a variety of risks, uncertainties and changes in circumstances, many of which are beyond OptimizeRx’s control.</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Forward-looking statements are subject to risks and uncertainties. Actual results could differ materially from those expressed in or implied by such forward-looking statements due to a variety of factors, including: disruptions to our business or the business of our customers due to the global pandemic; the inability to support our technology and scale our operations successfully, developing and implementing new and updated applications, features and services for our portals may be more difficult and expensive and take longer than expected; dependence on a concentrated group of customers; inability to maintain contracts with electronic prescription platforms, agreements with electronic prescription platforms and electronic health record systems being subject to audit; inability to attract and retain customers; inability to comply with laws and regulations that affect the healthcare industry; competition; developments in the healthcare industry; inability to manage growth; inability to identify suitable acquisition candidates, complete acquisitions or integrate acquisitions successfully; inability to attract and retain key employees; economic, political, regulatory and other risks arising from our international operations; inability to protect our intellectual property; cybersecurity incidents; reduction in the performance, reliability and availability of our network infrastructure; lack of a consistent active trading market for our common stock; increases in costs due to inflation and other adverse economic conditions; decreases in customer demand due to macroeconomic factors; and volatility in the market price of our common stock.</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risks and uncertainties included here are not exhaustive. Further information concerning our business, including additional factors that could materially affect our financial results, is included herein and in our other filings with the SEC, including our Annual Report on Form 10-K for the year ended December 31, 2021. Moreover, we operate in a rapidly changing and competitive environment. New risk factors emerge from time to time, and it is not possible for management to predict all such risk factors.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it is not possible to assess the effect of all risk factors on our businesses or the extent to which any factor, or combination of factors, may cause actual results to differ materially from those contained in any forward-looking statements. Given these risks and uncertainties, investors should not place undue reliance on forward-looking statements as a prediction of actual results. In addition, we disclaim any obligation to update any forward-looking statements to reflect events or circumstances that occur after the date of this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OptimizeRx Corporation is a digital health technology company incorporated in the State of Nevada. We enable care-focused engagement between life sciences organizations, healthcare providers, and patients at critical junctures throughout the patient care journey. Connecting over 60% of U.S. healthcare providers and millions of their patients through an intelligent technology platform embedded within a proprietary point-of-care network, OptimizeRx helps patients start and stay on their medications.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COVID-19</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COVID-19 pandemic did not have a material net impact on our financial statements during the nine months ended September 30, 2022. However, there still remains uncertainty around the COVID-19 pandemic. The Company cannot reasonably predict the ultimate impact of the COVID-19 pandemic, including the extent of any impact on our business, results of operations and financial condition, which will depend on, among other things, the duration and spread of the pandemic (including the emergence and spread of new COVID-19 variants and resurgences), actions taken by governmental authorities and others in response to the pandemic, the acceptance, safety and efficacy of vaccines, and global economic conditions.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general, the pharmaceutical brand marketing industry experiences seasonal trends that affect the vast majority of participants in the pharmaceutical digital marketing industry. Many pharmaceutical companies allocate the largest portion of their brand marketing to the fourth quarter of the calendar year. As a result, the first quarter tends to reflect lower activity levels and lower revenue, with gradual increases in the following quarters. We generally expect these seasonality trends to continue and our ability to effectively manage our resources in anticipation of these trends may affect our operating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developed a number of key performance indicators in the first quarter of the year and intend to monitor these going forward, to evaluate our business, measure our performance, identify trends affecting our business and make strategic decisions.</w:t>
      </w:r>
    </w:p>
    <w:p>
      <w:pPr>
        <w:spacing w:after="0" w:line="15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Average revenue per top 20 pharmaceutical manufacturer. </w:t>
      </w:r>
      <w:r>
        <w:rPr>
          <w:rFonts w:ascii="Times New Roman" w:cs="Times New Roman" w:eastAsia="Times New Roman" w:hAnsi="Times New Roman"/>
          <w:sz w:val="18"/>
          <w:szCs w:val="18"/>
          <w:color w:val="auto"/>
        </w:rPr>
        <w:t>Average revenue per top 20 pharmaceutical manufacturer is calculated by taking the total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revenue the Company recognized through pharmaceutical manufacturers listed in Fierce Pharma’s “The top 20 pharma companies by 2020 revenue” over the last twelve months, divided by the total number of the aforementioned pharmaceutical manufacturers that our solutions helped support over that time period. The Company uses this metric to monitor its progress in “landing and expanding” with key customers within its largest customer vertical and believes it also provides investors with a transparent way to chart our progress in penetrating this important customer segment. During the first nine months of 2022, numerous macroeconomic factors converged that resulted in our customers slowing their rate of spend, particularly for large and/or new implementations, which we believe temporarily elongated sales cycles with the top 20 pharmaceutical manufacturers that were existing customers.</w:t>
      </w:r>
    </w:p>
    <w:p>
      <w:pPr>
        <w:spacing w:after="0" w:line="187" w:lineRule="exact"/>
        <w:rPr>
          <w:sz w:val="20"/>
          <w:szCs w:val="20"/>
          <w:color w:val="auto"/>
        </w:rPr>
      </w:pPr>
    </w:p>
    <w:p>
      <w:pPr>
        <w:jc w:val="center"/>
        <w:ind w:left="8500"/>
        <w:spacing w:after="0"/>
        <w:rPr>
          <w:sz w:val="20"/>
          <w:szCs w:val="20"/>
          <w:color w:val="auto"/>
        </w:rPr>
      </w:pPr>
      <w:r>
        <w:rPr>
          <w:rFonts w:ascii="Times New Roman" w:cs="Times New Roman" w:eastAsia="Times New Roman" w:hAnsi="Times New Roman"/>
          <w:sz w:val="18"/>
          <w:szCs w:val="18"/>
          <w:color w:val="auto"/>
        </w:rPr>
        <w:t>Rolling Twelve Months</w:t>
      </w:r>
    </w:p>
    <w:p>
      <w:pPr>
        <w:spacing w:after="0" w:line="27"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color w:val="auto"/>
        </w:rPr>
        <w:t>Ended</w:t>
      </w:r>
    </w:p>
    <w:p>
      <w:pPr>
        <w:spacing w:after="0" w:line="9"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5715</wp:posOffset>
            </wp:positionV>
            <wp:extent cx="156019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11" w:lineRule="exact"/>
        <w:rPr>
          <w:sz w:val="20"/>
          <w:szCs w:val="20"/>
          <w:color w:val="auto"/>
        </w:rPr>
      </w:pPr>
    </w:p>
    <w:p>
      <w:pPr>
        <w:ind w:left="9060"/>
        <w:spacing w:after="0"/>
        <w:tabs>
          <w:tab w:leader="none" w:pos="10380" w:val="left"/>
        </w:tabs>
        <w:rPr>
          <w:sz w:val="20"/>
          <w:szCs w:val="20"/>
          <w:color w:val="auto"/>
        </w:rPr>
      </w:pPr>
      <w:r>
        <w:rPr>
          <w:rFonts w:ascii="Times New Roman" w:cs="Times New Roman" w:eastAsia="Times New Roman" w:hAnsi="Times New Roman"/>
          <w:sz w:val="18"/>
          <w:szCs w:val="18"/>
          <w:color w:val="auto"/>
        </w:rPr>
        <w:t>2022</w:t>
      </w:r>
      <w:r>
        <w:rPr>
          <w:sz w:val="20"/>
          <w:szCs w:val="20"/>
          <w:color w:val="auto"/>
        </w:rPr>
        <w:tab/>
      </w:r>
      <w:r>
        <w:rPr>
          <w:rFonts w:ascii="Times New Roman" w:cs="Times New Roman" w:eastAsia="Times New Roman" w:hAnsi="Times New Roman"/>
          <w:sz w:val="18"/>
          <w:szCs w:val="18"/>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spacing w:after="0"/>
        <w:tabs>
          <w:tab w:leader="none" w:pos="8660" w:val="left"/>
          <w:tab w:leader="none" w:pos="9060" w:val="left"/>
          <w:tab w:leader="none" w:pos="10000" w:val="left"/>
          <w:tab w:leader="none" w:pos="10400" w:val="left"/>
        </w:tabs>
        <w:rPr>
          <w:sz w:val="20"/>
          <w:szCs w:val="20"/>
          <w:color w:val="auto"/>
        </w:rPr>
      </w:pPr>
      <w:r>
        <w:rPr>
          <w:rFonts w:ascii="Times New Roman" w:cs="Times New Roman" w:eastAsia="Times New Roman" w:hAnsi="Times New Roman"/>
          <w:sz w:val="18"/>
          <w:szCs w:val="18"/>
          <w:color w:val="auto"/>
        </w:rPr>
        <w:t>Average revenue per top 20 pharmaceutical manufacturer</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2,188,300</w:t>
        <w:tab/>
        <w:t>$</w:t>
      </w:r>
      <w:r>
        <w:rPr>
          <w:sz w:val="20"/>
          <w:szCs w:val="20"/>
          <w:color w:val="auto"/>
        </w:rPr>
        <w:tab/>
      </w:r>
      <w:r>
        <w:rPr>
          <w:rFonts w:ascii="Times New Roman" w:cs="Times New Roman" w:eastAsia="Times New Roman" w:hAnsi="Times New Roman"/>
          <w:sz w:val="18"/>
          <w:szCs w:val="18"/>
          <w:color w:val="auto"/>
        </w:rPr>
        <w:t>2,516,515</w:t>
      </w:r>
    </w:p>
    <w:p>
      <w:pPr>
        <w:spacing w:after="0" w:line="2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Percent of top 20 pharmaceutical manufacturers that are customers. </w:t>
      </w:r>
      <w:r>
        <w:rPr>
          <w:rFonts w:ascii="Times New Roman" w:cs="Times New Roman" w:eastAsia="Times New Roman" w:hAnsi="Times New Roman"/>
          <w:sz w:val="18"/>
          <w:szCs w:val="18"/>
          <w:color w:val="auto"/>
        </w:rPr>
        <w:t>Percent of top 20 pharmaceutical manufacturers that are customers is calculated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taking the number of revenue generating customers that are pharmaceutical manufacturers listed in Fierce Pharma’s “The top 20 pharma companies by 2020 revenue” over the last 12 months, which is then divided by 20—which is the number of pharmaceutical manufacturers included in the aforementioned list. The Company uses this metric to monitor its progress in penetrating key customers within its largest customer vertical and believes it also provides investors with a transparent way to chart our progress in penetrating this important customer segment. The increase from twelve months ended September 30, 2021 to the twelve months ended September 30, 2022 reflects continued penetration into this core customer base and reflects one new top 20 pharma customers in the twelve months ended September 30, 2022.</w:t>
      </w:r>
    </w:p>
    <w:p>
      <w:pPr>
        <w:spacing w:after="0" w:line="187" w:lineRule="exact"/>
        <w:rPr>
          <w:sz w:val="20"/>
          <w:szCs w:val="20"/>
          <w:color w:val="auto"/>
        </w:rPr>
      </w:pPr>
    </w:p>
    <w:p>
      <w:pPr>
        <w:jc w:val="center"/>
        <w:ind w:left="8420"/>
        <w:spacing w:after="0"/>
        <w:rPr>
          <w:sz w:val="20"/>
          <w:szCs w:val="20"/>
          <w:color w:val="auto"/>
        </w:rPr>
      </w:pPr>
      <w:r>
        <w:rPr>
          <w:rFonts w:ascii="Times New Roman" w:cs="Times New Roman" w:eastAsia="Times New Roman" w:hAnsi="Times New Roman"/>
          <w:sz w:val="18"/>
          <w:szCs w:val="18"/>
          <w:color w:val="auto"/>
        </w:rPr>
        <w:t>Rolling Twelve Months</w:t>
      </w:r>
    </w:p>
    <w:p>
      <w:pPr>
        <w:spacing w:after="0" w:line="27" w:lineRule="exact"/>
        <w:rPr>
          <w:sz w:val="20"/>
          <w:szCs w:val="20"/>
          <w:color w:val="auto"/>
        </w:rPr>
      </w:pPr>
    </w:p>
    <w:p>
      <w:pPr>
        <w:jc w:val="center"/>
        <w:ind w:left="8420"/>
        <w:spacing w:after="0"/>
        <w:rPr>
          <w:sz w:val="20"/>
          <w:szCs w:val="20"/>
          <w:color w:val="auto"/>
        </w:rPr>
      </w:pPr>
      <w:r>
        <w:rPr>
          <w:rFonts w:ascii="Times New Roman" w:cs="Times New Roman" w:eastAsia="Times New Roman" w:hAnsi="Times New Roman"/>
          <w:sz w:val="18"/>
          <w:szCs w:val="18"/>
          <w:color w:val="auto"/>
        </w:rPr>
        <w:t>Ended</w:t>
      </w:r>
    </w:p>
    <w:p>
      <w:pPr>
        <w:spacing w:after="0" w:line="9" w:lineRule="exact"/>
        <w:rPr>
          <w:sz w:val="20"/>
          <w:szCs w:val="20"/>
          <w:color w:val="auto"/>
        </w:rPr>
      </w:pPr>
    </w:p>
    <w:p>
      <w:pPr>
        <w:jc w:val="center"/>
        <w:ind w:left="8420"/>
        <w:spacing w:after="0"/>
        <w:rPr>
          <w:sz w:val="20"/>
          <w:szCs w:val="20"/>
          <w:color w:val="auto"/>
        </w:rPr>
      </w:pPr>
      <w:r>
        <w:rPr>
          <w:rFonts w:ascii="Times New Roman" w:cs="Times New Roman" w:eastAsia="Times New Roman" w:hAnsi="Times New Roman"/>
          <w:sz w:val="18"/>
          <w:szCs w:val="18"/>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00" w:type="dxa"/>
            <w:vAlign w:val="bottom"/>
            <w:tcBorders>
              <w:bottom w:val="single" w:sz="8" w:color="CCEEFF"/>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2022</w:t>
            </w:r>
          </w:p>
        </w:tc>
        <w:tc>
          <w:tcPr>
            <w:tcW w:w="28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bottom w:val="single" w:sz="8" w:color="CCEEFF"/>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c>
          <w:tcPr>
            <w:tcW w:w="160" w:type="dxa"/>
            <w:vAlign w:val="bottom"/>
            <w:tcBorders>
              <w:bottom w:val="single" w:sz="8" w:color="CCEEFF"/>
            </w:tcBorders>
          </w:tcPr>
          <w:p>
            <w:pPr>
              <w:spacing w:after="0"/>
              <w:rPr>
                <w:sz w:val="21"/>
                <w:szCs w:val="2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Percent of top 20 pharmaceutical manufacturers that are customers</w:t>
            </w:r>
          </w:p>
        </w:tc>
        <w:tc>
          <w:tcPr>
            <w:tcW w:w="8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95%</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90%</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7" w:name="page18"/>
    <w:bookmarkEnd w:id="17"/>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Percent of total revenue attributable to top 20 pharmaceutical manufacturers. </w:t>
      </w:r>
      <w:r>
        <w:rPr>
          <w:rFonts w:ascii="Times New Roman" w:cs="Times New Roman" w:eastAsia="Times New Roman" w:hAnsi="Times New Roman"/>
          <w:sz w:val="18"/>
          <w:szCs w:val="18"/>
          <w:color w:val="auto"/>
        </w:rPr>
        <w:t>Percent of total revenue attributable to top 20 pharmaceutical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manufacturers is calculated by taking the total revenue the Company recognized through pharmaceutical manufacturers listed in Fierce Pharma’s “The top 20 pharma companies by 2020 revenue” over the last twelve months, divided by our consolidated revenue over the same period. The Company uses this metric to monitor its progress in “landing and expanding” with key customers within its largest customer vertical and believes it also provides investors with a transparent way to chart our progress in penetrating this important customer segment. During the first nine months of 2022, numerous macroeconomic factors converged that resulted in our customers slowing their rate of spend, particularly for large and/or new implementations, which we believe temporarily elongated sales cycles with the top 20 pharmaceutical manufacturers that were existing customers.</w:t>
      </w:r>
    </w:p>
    <w:p>
      <w:pPr>
        <w:spacing w:after="0" w:line="187" w:lineRule="exact"/>
        <w:rPr>
          <w:sz w:val="20"/>
          <w:szCs w:val="20"/>
          <w:color w:val="auto"/>
        </w:rPr>
      </w:pPr>
    </w:p>
    <w:p>
      <w:pPr>
        <w:jc w:val="center"/>
        <w:ind w:left="8420"/>
        <w:spacing w:after="0"/>
        <w:rPr>
          <w:sz w:val="20"/>
          <w:szCs w:val="20"/>
          <w:color w:val="auto"/>
        </w:rPr>
      </w:pPr>
      <w:r>
        <w:rPr>
          <w:rFonts w:ascii="Times New Roman" w:cs="Times New Roman" w:eastAsia="Times New Roman" w:hAnsi="Times New Roman"/>
          <w:sz w:val="18"/>
          <w:szCs w:val="18"/>
          <w:color w:val="auto"/>
        </w:rPr>
        <w:t>Rolling Twelve Months</w:t>
      </w:r>
    </w:p>
    <w:p>
      <w:pPr>
        <w:spacing w:after="0" w:line="27" w:lineRule="exact"/>
        <w:rPr>
          <w:sz w:val="20"/>
          <w:szCs w:val="20"/>
          <w:color w:val="auto"/>
        </w:rPr>
      </w:pPr>
    </w:p>
    <w:p>
      <w:pPr>
        <w:jc w:val="center"/>
        <w:ind w:left="8420"/>
        <w:spacing w:after="0"/>
        <w:rPr>
          <w:sz w:val="20"/>
          <w:szCs w:val="20"/>
          <w:color w:val="auto"/>
        </w:rPr>
      </w:pPr>
      <w:r>
        <w:rPr>
          <w:rFonts w:ascii="Times New Roman" w:cs="Times New Roman" w:eastAsia="Times New Roman" w:hAnsi="Times New Roman"/>
          <w:sz w:val="18"/>
          <w:szCs w:val="18"/>
          <w:color w:val="auto"/>
        </w:rPr>
        <w:t>Ended</w:t>
      </w:r>
    </w:p>
    <w:p>
      <w:pPr>
        <w:spacing w:after="0" w:line="9" w:lineRule="exact"/>
        <w:rPr>
          <w:sz w:val="20"/>
          <w:szCs w:val="20"/>
          <w:color w:val="auto"/>
        </w:rPr>
      </w:pPr>
    </w:p>
    <w:p>
      <w:pPr>
        <w:jc w:val="center"/>
        <w:ind w:left="8420"/>
        <w:spacing w:after="0"/>
        <w:rPr>
          <w:sz w:val="20"/>
          <w:szCs w:val="20"/>
          <w:color w:val="auto"/>
        </w:rPr>
      </w:pPr>
      <w:r>
        <w:rPr>
          <w:rFonts w:ascii="Times New Roman" w:cs="Times New Roman" w:eastAsia="Times New Roman" w:hAnsi="Times New Roman"/>
          <w:sz w:val="18"/>
          <w:szCs w:val="18"/>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00" w:type="dxa"/>
            <w:vAlign w:val="bottom"/>
            <w:tcBorders>
              <w:bottom w:val="single" w:sz="8" w:color="CCEEFF"/>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2022</w:t>
            </w:r>
          </w:p>
        </w:tc>
        <w:tc>
          <w:tcPr>
            <w:tcW w:w="28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bottom w:val="single" w:sz="8" w:color="CCEEFF"/>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c>
          <w:tcPr>
            <w:tcW w:w="160" w:type="dxa"/>
            <w:vAlign w:val="bottom"/>
            <w:tcBorders>
              <w:bottom w:val="single" w:sz="8" w:color="CCEEFF"/>
            </w:tcBorders>
          </w:tcPr>
          <w:p>
            <w:pPr>
              <w:spacing w:after="0"/>
              <w:rPr>
                <w:sz w:val="21"/>
                <w:szCs w:val="2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Percent of total revenue attributable to top 20 pharmaceutical manufacturers</w:t>
            </w:r>
          </w:p>
        </w:tc>
        <w:tc>
          <w:tcPr>
            <w:tcW w:w="8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79%</w:t>
            </w:r>
          </w:p>
        </w:tc>
      </w:tr>
    </w:tbl>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Net revenue retention. </w:t>
      </w:r>
      <w:r>
        <w:rPr>
          <w:rFonts w:ascii="Times New Roman" w:cs="Times New Roman" w:eastAsia="Times New Roman" w:hAnsi="Times New Roman"/>
          <w:sz w:val="18"/>
          <w:szCs w:val="18"/>
          <w:color w:val="auto"/>
        </w:rPr>
        <w:t>Net revenue retention is a comparison of revenue generated from all customers in the previous twelve-month period to total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revenue generated from the same customers in the following twelve-month period (i.e., excludes new customer relationships for the most recent twelve-month period). The Company uses this metric to monitor its ability to improve its penetration with existing customers and believes it also provides investors with a metric to chart our ability to increase our year-over-year penetration and revenue with existing customers. The retention rate in the twelve months ended September 30, 2021 was higher as a result of unplanned disruption to the industry caused by the COVID-19 pandemic. Our customers shifted funds previously designated for in-person events to digital marketing throughout the initial quarters of the pandemic. By the middle of 2021, while the pandemic continued, there was less disruption and customers shift towards digital solutions became more normalized. During the first nine months of 2022, however, numerous macroeconomic factors converged that resulted in our customers slowing their rate of spend, particularly for large and/or new implementations, which we believe temporarily elongated sales cycles.</w:t>
      </w:r>
    </w:p>
    <w:p>
      <w:pPr>
        <w:spacing w:after="0" w:line="192" w:lineRule="exact"/>
        <w:rPr>
          <w:sz w:val="20"/>
          <w:szCs w:val="20"/>
          <w:color w:val="auto"/>
        </w:rPr>
      </w:pPr>
    </w:p>
    <w:p>
      <w:pPr>
        <w:jc w:val="center"/>
        <w:ind w:left="8420"/>
        <w:spacing w:after="0"/>
        <w:rPr>
          <w:sz w:val="20"/>
          <w:szCs w:val="20"/>
          <w:color w:val="auto"/>
        </w:rPr>
      </w:pPr>
      <w:r>
        <w:rPr>
          <w:rFonts w:ascii="Times New Roman" w:cs="Times New Roman" w:eastAsia="Times New Roman" w:hAnsi="Times New Roman"/>
          <w:sz w:val="18"/>
          <w:szCs w:val="18"/>
          <w:color w:val="auto"/>
        </w:rPr>
        <w:t>Rolling Twelve Months</w:t>
      </w:r>
    </w:p>
    <w:p>
      <w:pPr>
        <w:spacing w:after="0" w:line="27" w:lineRule="exact"/>
        <w:rPr>
          <w:sz w:val="20"/>
          <w:szCs w:val="20"/>
          <w:color w:val="auto"/>
        </w:rPr>
      </w:pPr>
    </w:p>
    <w:p>
      <w:pPr>
        <w:jc w:val="center"/>
        <w:ind w:left="8420"/>
        <w:spacing w:after="0"/>
        <w:rPr>
          <w:sz w:val="20"/>
          <w:szCs w:val="20"/>
          <w:color w:val="auto"/>
        </w:rPr>
      </w:pPr>
      <w:r>
        <w:rPr>
          <w:rFonts w:ascii="Times New Roman" w:cs="Times New Roman" w:eastAsia="Times New Roman" w:hAnsi="Times New Roman"/>
          <w:sz w:val="18"/>
          <w:szCs w:val="18"/>
          <w:color w:val="auto"/>
        </w:rPr>
        <w:t>Ended</w:t>
      </w:r>
    </w:p>
    <w:p>
      <w:pPr>
        <w:spacing w:after="0" w:line="9" w:lineRule="exact"/>
        <w:rPr>
          <w:sz w:val="20"/>
          <w:szCs w:val="20"/>
          <w:color w:val="auto"/>
        </w:rPr>
      </w:pPr>
    </w:p>
    <w:p>
      <w:pPr>
        <w:jc w:val="center"/>
        <w:ind w:left="8420"/>
        <w:spacing w:after="0"/>
        <w:rPr>
          <w:sz w:val="20"/>
          <w:szCs w:val="20"/>
          <w:color w:val="auto"/>
        </w:rPr>
      </w:pPr>
      <w:r>
        <w:rPr>
          <w:rFonts w:ascii="Times New Roman" w:cs="Times New Roman" w:eastAsia="Times New Roman" w:hAnsi="Times New Roman"/>
          <w:sz w:val="18"/>
          <w:szCs w:val="18"/>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8600" w:type="dxa"/>
            <w:vAlign w:val="bottom"/>
            <w:tcBorders>
              <w:bottom w:val="single" w:sz="8" w:color="CCEEFF"/>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2022</w:t>
            </w:r>
          </w:p>
        </w:tc>
        <w:tc>
          <w:tcPr>
            <w:tcW w:w="28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bottom w:val="single" w:sz="8" w:color="CCEEFF"/>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c>
          <w:tcPr>
            <w:tcW w:w="160" w:type="dxa"/>
            <w:vAlign w:val="bottom"/>
            <w:tcBorders>
              <w:bottom w:val="single" w:sz="8" w:color="CCEEFF"/>
            </w:tcBorders>
          </w:tcPr>
          <w:p>
            <w:pPr>
              <w:spacing w:after="0"/>
              <w:rPr>
                <w:sz w:val="21"/>
                <w:szCs w:val="2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 retention</w:t>
            </w:r>
          </w:p>
        </w:tc>
        <w:tc>
          <w:tcPr>
            <w:tcW w:w="8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96%</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161%</w:t>
            </w:r>
          </w:p>
        </w:tc>
      </w:tr>
    </w:tbl>
    <w:p>
      <w:pPr>
        <w:spacing w:after="0" w:line="19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Revenue per average full-time employee. </w:t>
      </w:r>
      <w:r>
        <w:rPr>
          <w:rFonts w:ascii="Times New Roman" w:cs="Times New Roman" w:eastAsia="Times New Roman" w:hAnsi="Times New Roman"/>
          <w:sz w:val="18"/>
          <w:szCs w:val="18"/>
          <w:color w:val="auto"/>
        </w:rPr>
        <w:t>We define revenue per average full-time employee as total revenue over the last twelve months divided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average number of employees over the last twelve months (i.e., the average between the number of FTEs at the end of the reported period and the number of FTEs at the end of the same period of the prior year). The Company uses this metric to monitor the productivity of its workforce and its ability to scale efficiently over time and believes the metric provides investors with a way to chart our productivity and scalability. Our revenue rate per employee declined year over year due to slower revenue growth and higher average number of FTEs over last 12 mos period.</w:t>
      </w:r>
    </w:p>
    <w:p>
      <w:pPr>
        <w:spacing w:after="0" w:line="183"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color w:val="auto"/>
        </w:rPr>
        <w:t>Rolling Twelve Months</w:t>
      </w:r>
    </w:p>
    <w:p>
      <w:pPr>
        <w:spacing w:after="0" w:line="27"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color w:val="auto"/>
        </w:rPr>
        <w:t>Ended</w:t>
      </w:r>
    </w:p>
    <w:p>
      <w:pPr>
        <w:spacing w:after="0" w:line="9"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5715</wp:posOffset>
            </wp:positionV>
            <wp:extent cx="156019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11" w:lineRule="exact"/>
        <w:rPr>
          <w:sz w:val="20"/>
          <w:szCs w:val="20"/>
          <w:color w:val="auto"/>
        </w:rPr>
      </w:pPr>
    </w:p>
    <w:p>
      <w:pPr>
        <w:ind w:left="9060"/>
        <w:spacing w:after="0"/>
        <w:tabs>
          <w:tab w:leader="none" w:pos="10380" w:val="left"/>
        </w:tabs>
        <w:rPr>
          <w:sz w:val="20"/>
          <w:szCs w:val="20"/>
          <w:color w:val="auto"/>
        </w:rPr>
      </w:pPr>
      <w:r>
        <w:rPr>
          <w:rFonts w:ascii="Times New Roman" w:cs="Times New Roman" w:eastAsia="Times New Roman" w:hAnsi="Times New Roman"/>
          <w:sz w:val="18"/>
          <w:szCs w:val="18"/>
          <w:color w:val="auto"/>
        </w:rPr>
        <w:t>2022</w:t>
      </w:r>
      <w:r>
        <w:rPr>
          <w:sz w:val="20"/>
          <w:szCs w:val="20"/>
          <w:color w:val="auto"/>
        </w:rPr>
        <w:tab/>
      </w:r>
      <w:r>
        <w:rPr>
          <w:rFonts w:ascii="Times New Roman" w:cs="Times New Roman" w:eastAsia="Times New Roman" w:hAnsi="Times New Roman"/>
          <w:sz w:val="18"/>
          <w:szCs w:val="18"/>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spacing w:after="0"/>
        <w:tabs>
          <w:tab w:leader="none" w:pos="8660" w:val="left"/>
          <w:tab w:leader="none" w:pos="9220" w:val="left"/>
          <w:tab w:leader="none" w:pos="10000" w:val="left"/>
          <w:tab w:leader="none" w:pos="10520" w:val="left"/>
        </w:tabs>
        <w:rPr>
          <w:sz w:val="20"/>
          <w:szCs w:val="20"/>
          <w:color w:val="auto"/>
        </w:rPr>
      </w:pPr>
      <w:r>
        <w:rPr>
          <w:rFonts w:ascii="Times New Roman" w:cs="Times New Roman" w:eastAsia="Times New Roman" w:hAnsi="Times New Roman"/>
          <w:sz w:val="18"/>
          <w:szCs w:val="18"/>
          <w:color w:val="auto"/>
        </w:rPr>
        <w:t>Revenue per average full-time employee</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618,711</w:t>
        <w:tab/>
        <w:t>$</w:t>
      </w:r>
      <w:r>
        <w:rPr>
          <w:sz w:val="20"/>
          <w:szCs w:val="20"/>
          <w:color w:val="auto"/>
        </w:rPr>
        <w:tab/>
      </w:r>
      <w:r>
        <w:rPr>
          <w:rFonts w:ascii="Times New Roman" w:cs="Times New Roman" w:eastAsia="Times New Roman" w:hAnsi="Times New Roman"/>
          <w:sz w:val="18"/>
          <w:szCs w:val="18"/>
          <w:color w:val="auto"/>
        </w:rPr>
        <w:t>740,728</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Three and Nine Months Ended September 30, 2022 and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total revenue for the three months ended September 30, 2022 was approximately $15.1 million, a decrease of 6.45% over the approximately $16.1 million from the same period in 2021. The decreased revenue during the three months ended September 30, 2022 primarily resulted from the non-renewal of solutions from one customer brand. Our total revenue for the nine months ended September 30, 2022 was approximately $42.8 million, an increase of 4.43% over the approximately $41.0 million from the same period in 2021. The increased revenue during the nine months ended September 30, 2022 resulted from increases in sales of our access solutions.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that our revenues in the fourth quarter will exceed the revenues in the third quarter as a result of the new contracts we secured in the first nine months of the year as well as those we expect to engage in the remainder of the year. In addition, we generally benefit from increased marketing spend by pharmaceutical companies in the fourth quarter.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cost of revenue decreased from $7.0 million to $5.7 million primarily as a result of the solution and channel mix, in the quarter ended September 30, 2022, as compared to the same period in 2021. The cost of revenue for the nine month period ended September 30, 2022 decreased from $17.7 million to $16.3 million, as compared to the same period in 2021. This improvement was a result of solution mix, both as it relates to solutions and the partners through which the messages are delivered and increases in the type of services we provide that are not subject to revenue share. Additional discussion is included in the gross margin section below.</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2140" w:type="dxa"/>
            <w:vAlign w:val="bottom"/>
            <w:gridSpan w:val="4"/>
          </w:tcPr>
          <w:p>
            <w:pPr>
              <w:jc w:val="center"/>
              <w:ind w:left="25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40" w:type="dxa"/>
            <w:vAlign w:val="bottom"/>
            <w:gridSpan w:val="4"/>
          </w:tcPr>
          <w:p>
            <w:pPr>
              <w:jc w:val="center"/>
              <w:ind w:left="250"/>
              <w:spacing w:after="0"/>
              <w:rPr>
                <w:sz w:val="20"/>
                <w:szCs w:val="20"/>
                <w:color w:val="auto"/>
              </w:rPr>
            </w:pPr>
            <w:r>
              <w:rPr>
                <w:rFonts w:ascii="Times New Roman" w:cs="Times New Roman" w:eastAsia="Times New Roman" w:hAnsi="Times New Roman"/>
                <w:sz w:val="18"/>
                <w:szCs w:val="18"/>
                <w:color w:val="auto"/>
                <w:w w:val="99"/>
              </w:rPr>
              <w:t>Nine Months Ended</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1"/>
        </w:trPr>
        <w:tc>
          <w:tcPr>
            <w:tcW w:w="5840" w:type="dxa"/>
            <w:vAlign w:val="bottom"/>
          </w:tcPr>
          <w:p>
            <w:pPr>
              <w:spacing w:after="0"/>
              <w:rPr>
                <w:sz w:val="20"/>
                <w:szCs w:val="20"/>
                <w:color w:val="auto"/>
              </w:rPr>
            </w:pPr>
          </w:p>
        </w:tc>
        <w:tc>
          <w:tcPr>
            <w:tcW w:w="2140" w:type="dxa"/>
            <w:vAlign w:val="bottom"/>
            <w:tcBorders>
              <w:bottom w:val="single" w:sz="8" w:color="auto"/>
            </w:tcBorders>
            <w:gridSpan w:val="4"/>
          </w:tcPr>
          <w:p>
            <w:pPr>
              <w:jc w:val="center"/>
              <w:ind w:left="250"/>
              <w:spacing w:after="0"/>
              <w:rPr>
                <w:sz w:val="20"/>
                <w:szCs w:val="20"/>
                <w:color w:val="auto"/>
              </w:rPr>
            </w:pPr>
            <w:r>
              <w:rPr>
                <w:rFonts w:ascii="Times New Roman" w:cs="Times New Roman" w:eastAsia="Times New Roman" w:hAnsi="Times New Roman"/>
                <w:sz w:val="18"/>
                <w:szCs w:val="18"/>
                <w:color w:val="auto"/>
                <w:w w:val="99"/>
              </w:rPr>
              <w:t>September 30,</w:t>
            </w:r>
          </w:p>
        </w:tc>
        <w:tc>
          <w:tcPr>
            <w:tcW w:w="3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140" w:type="dxa"/>
            <w:vAlign w:val="bottom"/>
            <w:tcBorders>
              <w:bottom w:val="single" w:sz="8" w:color="auto"/>
            </w:tcBorders>
            <w:gridSpan w:val="4"/>
          </w:tcPr>
          <w:p>
            <w:pPr>
              <w:jc w:val="center"/>
              <w:ind w:left="250"/>
              <w:spacing w:after="0"/>
              <w:rPr>
                <w:sz w:val="20"/>
                <w:szCs w:val="20"/>
                <w:color w:val="auto"/>
              </w:rPr>
            </w:pPr>
            <w:r>
              <w:rPr>
                <w:rFonts w:ascii="Times New Roman" w:cs="Times New Roman" w:eastAsia="Times New Roman" w:hAnsi="Times New Roman"/>
                <w:sz w:val="18"/>
                <w:szCs w:val="18"/>
                <w:color w:val="auto"/>
                <w:w w:val="99"/>
              </w:rPr>
              <w:t>September 30,</w:t>
            </w:r>
          </w:p>
        </w:tc>
        <w:tc>
          <w:tcPr>
            <w:tcW w:w="3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37"/>
        </w:trPr>
        <w:tc>
          <w:tcPr>
            <w:tcW w:w="584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340" w:type="dxa"/>
            <w:vAlign w:val="bottom"/>
            <w:tcBorders>
              <w:bottom w:val="single" w:sz="8" w:color="auto"/>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340" w:type="dxa"/>
            <w:vAlign w:val="bottom"/>
            <w:tcBorders>
              <w:bottom w:val="single" w:sz="8" w:color="auto"/>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340" w:type="dxa"/>
            <w:vAlign w:val="bottom"/>
            <w:tcBorders>
              <w:bottom w:val="single" w:sz="8" w:color="auto"/>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340" w:type="dxa"/>
            <w:vAlign w:val="bottom"/>
            <w:tcBorders>
              <w:bottom w:val="single" w:sz="8" w:color="auto"/>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 %</w:t>
            </w:r>
          </w:p>
        </w:tc>
        <w:tc>
          <w:tcPr>
            <w:tcW w:w="7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37.6%</w:t>
            </w:r>
          </w:p>
        </w:tc>
        <w:tc>
          <w:tcPr>
            <w:tcW w:w="7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43.7%</w:t>
            </w:r>
          </w:p>
        </w:tc>
        <w:tc>
          <w:tcPr>
            <w:tcW w:w="7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38.0%</w:t>
            </w:r>
          </w:p>
        </w:tc>
        <w:tc>
          <w:tcPr>
            <w:tcW w:w="7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8"/>
              </w:rPr>
              <w:t>43.3%</w:t>
            </w:r>
          </w:p>
        </w:tc>
      </w:tr>
      <w:tr>
        <w:trPr>
          <w:trHeight w:val="234"/>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Margin %</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62.4%</w:t>
            </w:r>
          </w:p>
        </w:tc>
        <w:tc>
          <w:tcPr>
            <w:tcW w:w="76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56.3%</w:t>
            </w:r>
          </w:p>
        </w:tc>
        <w:tc>
          <w:tcPr>
            <w:tcW w:w="76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62.0%</w:t>
            </w:r>
          </w:p>
        </w:tc>
        <w:tc>
          <w:tcPr>
            <w:tcW w:w="760" w:type="dxa"/>
            <w:vAlign w:val="bottom"/>
          </w:tcPr>
          <w:p>
            <w:pPr>
              <w:spacing w:after="0"/>
              <w:rPr>
                <w:sz w:val="20"/>
                <w:szCs w:val="20"/>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8"/>
              </w:rPr>
              <w:t>56.7%</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Margin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reflected in the table above, our gross margin, which is the difference between our revenues and our cost of revenues, increased for the quarter ended September 30, 2022, compared with the prior year, as a result of solution mix. In general, there has been an increase in the percentage of activity flowing through our lower cost channels compared with a year ago. Additionally, revenue increases in our access solutions includes a much higher percentage of program design, which carries a higher margin than the delivery of the actual messages. We expect our gross margin to remain relatively constant for the balance of the year.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Operating expenses increased from approximately $9.0 million for the three months ended September 30, 2021 to approximately $13.2 million for the same period in 2022, an increase of approximately 46%. Operating expenses increased from approximately $23.5 million for the nine months ended September 30, 2021 to approximately $37.9 million for the same period in 2022, an increase of approximately 61%. This increase in expense is due to investment in, and expansion of, our workforce to enable future growth. Stock based compensation, a noncash expense, had the greatest increase over prior year and is discussed in greater detail below.</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The detail of expenditures by major category is reflected in the table below.</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5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2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color w:val="auto"/>
              </w:rPr>
              <w:t>Three Months Ended</w:t>
            </w:r>
          </w:p>
        </w:tc>
        <w:tc>
          <w:tcPr>
            <w:tcW w:w="200" w:type="dxa"/>
            <w:vAlign w:val="bottom"/>
          </w:tcPr>
          <w:p>
            <w:pPr>
              <w:spacing w:after="0"/>
              <w:rPr>
                <w:sz w:val="24"/>
                <w:szCs w:val="24"/>
                <w:color w:val="auto"/>
              </w:rPr>
            </w:pPr>
          </w:p>
        </w:tc>
        <w:tc>
          <w:tcPr>
            <w:tcW w:w="234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color w:val="auto"/>
                <w:w w:val="99"/>
              </w:rPr>
              <w:t>Nine Months Ended</w:t>
            </w:r>
          </w:p>
        </w:tc>
      </w:tr>
      <w:tr>
        <w:trPr>
          <w:trHeight w:val="241"/>
        </w:trPr>
        <w:tc>
          <w:tcPr>
            <w:tcW w:w="5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20" w:type="dxa"/>
            <w:vAlign w:val="bottom"/>
            <w:gridSpan w:val="5"/>
          </w:tcPr>
          <w:p>
            <w:pPr>
              <w:jc w:val="right"/>
              <w:ind w:right="940"/>
              <w:spacing w:after="0"/>
              <w:rPr>
                <w:sz w:val="20"/>
                <w:szCs w:val="20"/>
                <w:color w:val="auto"/>
              </w:rPr>
            </w:pPr>
            <w:r>
              <w:rPr>
                <w:rFonts w:ascii="Times New Roman" w:cs="Times New Roman" w:eastAsia="Times New Roman" w:hAnsi="Times New Roman"/>
                <w:sz w:val="18"/>
                <w:szCs w:val="18"/>
                <w:color w:val="auto"/>
              </w:rPr>
              <w:t>September 30,</w:t>
            </w:r>
          </w:p>
        </w:tc>
        <w:tc>
          <w:tcPr>
            <w:tcW w:w="200" w:type="dxa"/>
            <w:vAlign w:val="bottom"/>
          </w:tcPr>
          <w:p>
            <w:pPr>
              <w:spacing w:after="0"/>
              <w:rPr>
                <w:sz w:val="20"/>
                <w:szCs w:val="20"/>
                <w:color w:val="auto"/>
              </w:rPr>
            </w:pPr>
          </w:p>
        </w:tc>
        <w:tc>
          <w:tcPr>
            <w:tcW w:w="234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color w:val="auto"/>
                <w:w w:val="99"/>
              </w:rPr>
              <w:t>September 30,</w:t>
            </w:r>
          </w:p>
        </w:tc>
      </w:tr>
      <w:tr>
        <w:trPr>
          <w:trHeight w:val="237"/>
        </w:trPr>
        <w:tc>
          <w:tcPr>
            <w:tcW w:w="59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2022</w:t>
            </w:r>
          </w:p>
        </w:tc>
        <w:tc>
          <w:tcPr>
            <w:tcW w:w="26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c>
          <w:tcPr>
            <w:tcW w:w="2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0"/>
                <w:szCs w:val="20"/>
                <w:color w:val="auto"/>
              </w:rPr>
            </w:pP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Wages, &amp; Benefits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5,088,955</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4,619,320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15,376,370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12,106,933</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4,277,241</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1,008,007</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11,476,662</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2,612,198</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Contractors and Consultants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787,198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541,663</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1,797,282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1,327,615</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Travel</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193,291</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178,711</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526,411</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237,466</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Board Compensation</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80,500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61,250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242,000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183,750</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428,505</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469,272</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1,352,212</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1,239,090</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Investor Relations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46,723</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60,630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148,145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157,936</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Advertising and Promotion</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200,682</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337,778</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776,950</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722,343</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 Infrastructure Costs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539,465</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313,711</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1,752,012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783,281</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Integration Incentives</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525,556</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431,266</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1,395,000</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994,423</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Data</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113,526</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186,583</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381,821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731,980</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Office, Facility, and Other</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380,060</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304,703</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1,148,433</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829,193</w:t>
            </w:r>
          </w:p>
        </w:tc>
      </w:tr>
      <w:tr>
        <w:trPr>
          <w:trHeight w:val="237"/>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515,828</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526,035</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1,565,484</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1,580,173</w:t>
            </w:r>
          </w:p>
        </w:tc>
      </w:tr>
      <w:tr>
        <w:trPr>
          <w:trHeight w:val="216"/>
        </w:trPr>
        <w:tc>
          <w:tcPr>
            <w:tcW w:w="59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3"/>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13,177,530</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9,038,929</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37,938,782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23,506,381</w:t>
            </w:r>
          </w:p>
        </w:tc>
      </w:tr>
      <w:tr>
        <w:trPr>
          <w:trHeight w:val="21"/>
        </w:trPr>
        <w:tc>
          <w:tcPr>
            <w:tcW w:w="5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increase in operating expense related to salaries, wages, and benefits and other human resource related costs is due to the expansion of our team to support additional growth. We expect our compensation expense for the remaining quarter of 2022 to only be marginally higher to the expenses recognized for the quarter ended September 30, 2022. Since September 30, 2021, we have added to our staff in several key areas, including product development, sales, and technology, and the addition of our Chief Financial Officer/Chief Operations Officer. During the past 12 months we hired 37 net additional employees.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Stock-based compensation increased by $3.3 million from $1.0 million for the three months ended September 30, 2021 to $4.3 million for the same period in 2022 and by $8.9 million from $2.6 million for the nine months ended September 30, 2021 to $11.5 million for the same period in 2022. Stock based compensation is awarded to all full-time employees upon their start of employment as well as to certain key directors, officers, and employees to provide an equity-based incentive to maintain and enhance the performance and profitability of the Company. In the fourth quarter of 2021, we issued a significant market-based grant with a requisite service period of less than 3 years. The expense for the market-based award is amortized over the expected service period. The impact on year to date expense is $4.6 million.</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Contractors and consultants increased compared to the same period in prior year as we have incurred consulting costs associated with building a scalable infrastructure and increased development work for customers and channels.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advertising and promotion remained relatively consistent with prior year, though the timing of the expenses throughout the year has fluctuated. The most current three month period reflects a decrease in advertising and promotion. This spend fluctuates throughout the year based on event sponsorships and campaigns related to product releases.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Technology infrastructure costs increased due to continued investment in our operating systems to facilitate new products as well as the implementation of additional software products to increase efficiency and information dissemination.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Integration incentives, which represent payments to partners for access and/or exclusivity, increased because of new agreements signed in the second half of 2021. These payments are usually made in lump sums and expensed over the term of the contracts. These expenses are an important part of our ability to expand our network.</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0" w:name="page21"/>
    <w:bookmarkEnd w:id="20"/>
    <w:p>
      <w:pPr>
        <w:jc w:val="both"/>
        <w:spacing w:after="0" w:line="282" w:lineRule="auto"/>
        <w:rPr>
          <w:sz w:val="20"/>
          <w:szCs w:val="20"/>
          <w:color w:val="auto"/>
        </w:rPr>
      </w:pPr>
      <w:r>
        <w:rPr>
          <w:rFonts w:ascii="Times New Roman" w:cs="Times New Roman" w:eastAsia="Times New Roman" w:hAnsi="Times New Roman"/>
          <w:sz w:val="18"/>
          <w:szCs w:val="18"/>
          <w:color w:val="auto"/>
        </w:rPr>
        <w:t>Data costs decreased from the same period in the prior year as we have continued to evaluate our data vendors and partner with the most effective and relevant providers.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variances in the table above are the result of normal fluctuations in activity.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(Loss)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had a net loss of approximately $3.5 million for the three months ended September 30, 2022, as compared to net income of approximately $0.04 million during the same period in 2021. We had a net loss of approximately $11.1 million for the nine months ended September 30, 2022, as compared to a net loss of approximately $0.2 million during the same period in 2021. The reasons and specific components associated with the change are discussed above. Overall, the net loss resulted from significant investments made in our people and technology infrastructure. The net loss reflected in the 2022 periods were effected by significant noncash expenses of $4.8 million and $13.2 million for the three and nine month periods,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2022, we had total current assets of approximately $99.3 million, compared with current liabilities of approximately $6.1 million, resulting in working capital of approximately $93.2 million and a current ratio of approximately 16.2 to 1. This represents a decrease from our working capital of approximately $105.7 million and an increase from our current ratio of 12.3 to 1 at December 31, 2021.</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operating activities provided $7.9 million during the nine months ended September 30, 2022, compared with $2.1 million in the same period in 2021. We had a net loss of $11.1 million for the nine month period ended September 30, 2022, but non-cash expenses of $13.2 million and working capital generated by the collection of receivables offset the loss. The cash provided in the 2021 period was the result of our net loss increased by non-cash expenses, partially offset by working capital used in the reduction of liabilities.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was $39.7 million for the nine months ended September 30, 2022. In addition to the $2.0 million investment in EvinceMed technology, we purchased $37.5 million in Treasury bills with a maturity date in January 2023. This allowed the Company to earn a higher rate of interest on excess cash for the period.</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Cash used for financing activities was approximately $11.5 million during the nine months ended September 30, 2022. We repurchased 706,114 shares of common stock for $12.6 million. This was partially offset by the collection of $1.1 million related to the exercise of stock options during the period. For the same period in 2021, we raised $70.7 million in a public offering of our common stock as well as generated $3.8 million from the issuance of shares related to the exercise of stock options. These proceeds in 2021 were partially offset by the payment of $1.6 million in earnout payments from a previous acquisition.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funds generated from operations, together with existing cash, will be sufficient to finance our current operations and planned growth for the next twelve (12) months. In addition, we believe we can generate the cash needed to operate beyond the next twelve (12) months from operations. However, we may seek additional debt or equity financing to supplement cash from operations to fund acquisitions or strategic partner relationships, make capital expenditures, and satisfy working capital needs. We currently have an effective shelf registration statement, which allows us to issue, in unlimited amounts, securities, including common stock, preferred stock, debt securities, warrants, and units.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prepare our consolidated financial statements in conformity with accounting principles generally accepted in the United States. The preparation of these financial statements requires the use of estimates, judgments and assumptions that affect the reported amounts of assets and liabilities at the date of the financial statements and reported amounts of revenues and expenses during the periods presented. Actual results could differ from those estimates and assumptions. Our significant accounting policies are described in Note 2 to our Consolidated Financial Statements in the Annual Report on Form 10-K for the year ended December 31, 2021 (2021 Annual Report on Form 10-K). The accounting policies we used in preparing these financial statements are substantially consistent with those we applied in our 2021 Annual Report on Form 10-K. Our critical accounting policies are described in Management’s Discussion and Analysis included in the 2021 Annual Report on Form 10-K.</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 xml:space="preserve">In December 2019, the FASB issued ASU No. 2019-12, </w:t>
      </w:r>
      <w:r>
        <w:rPr>
          <w:rFonts w:ascii="Times New Roman" w:cs="Times New Roman" w:eastAsia="Times New Roman" w:hAnsi="Times New Roman"/>
          <w:sz w:val="17"/>
          <w:szCs w:val="17"/>
          <w:i w:val="1"/>
          <w:iCs w:val="1"/>
          <w:color w:val="auto"/>
        </w:rPr>
        <w:t>Income Taxes (Topic 740): Simplifying the Accounting for Income Taxes</w:t>
      </w:r>
      <w:r>
        <w:rPr>
          <w:rFonts w:ascii="Times New Roman" w:cs="Times New Roman" w:eastAsia="Times New Roman" w:hAnsi="Times New Roman"/>
          <w:sz w:val="17"/>
          <w:szCs w:val="17"/>
          <w:color w:val="auto"/>
        </w:rPr>
        <w:t>. ASU 2019-12 is intended to improve consistent application and simplify the accounting for income taxes. ASU 2019-12 removes certain exceptions to the general principles in Topic 740 and clarifies and amends existing guidance. ASU 2019-12 was effective for annual and interim reporting periods beginning after December 15, 2020, with early adoption permitted. The adoption of this standard did not have a material effect on our financial position, results of operations, or cash flows.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 Yet Adopted</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ASU Topic 2021-08, </w:t>
      </w:r>
      <w:r>
        <w:rPr>
          <w:rFonts w:ascii="Times New Roman" w:cs="Times New Roman" w:eastAsia="Times New Roman" w:hAnsi="Times New Roman"/>
          <w:sz w:val="18"/>
          <w:szCs w:val="18"/>
          <w:i w:val="1"/>
          <w:iCs w:val="1"/>
          <w:color w:val="auto"/>
        </w:rPr>
        <w:t>Business Combinations (Topic 805), Accounting for Contract Assets and Contract Liabilities from Contracts with Customers</w:t>
      </w:r>
      <w:r>
        <w:rPr>
          <w:rFonts w:ascii="Times New Roman" w:cs="Times New Roman" w:eastAsia="Times New Roman" w:hAnsi="Times New Roman"/>
          <w:sz w:val="18"/>
          <w:szCs w:val="18"/>
          <w:color w:val="auto"/>
        </w:rPr>
        <w:t>, which requires contract assets and contract liabilities acquired in a business combination to be recognized and measured by the acquirer on the acquisition date in accordance with ASC 606, Revenue from Contracts with Customers, as if it had originated the contracts. The standard is effective for the Company’s fiscal year beginning January 1, 2023, with early adoption permitted. The Company is currently evaluating the effect of this pronouncement on its Consolidated Financial Statements, but it is not expected to have a material impact.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 Balance Sheet Arrangements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has contracts with various electronic health records systems and ePrescribe platforms, whereby we agree to share a portion of the revenue we generate for eCoupons or banners through their network. From time to time the Company enters into arrangements with a partner to acquire minimum amounts of messaging capabilities. As of September 30, 2022, the Company had commitments for future minimum payments of $15.5 million that will be reflected in cost of revenues during the years 2023 through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market risk exposure in the ordinary course of business, including the effects of foreign currency exchange rates and inflation. We are subject to foreign currency exchange rate risk because we have foreign subsidiaries that are cost centers and pay certain expenses in foreign currencies. To manage exchange rate risk, we may enter into derivative contracts, however, historically, this risk has been insignificant and we have not entered into any derivative contracts.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cash and cash equivalents and marketable securities primarily consist of cash on hand and highly liquid investments in money market funds and U.S. government securities. As of September 30, 2022, we had cash and cash equivalents of $41.3 million and marketable securities of $37.5 million. We do not enter into investments for trading or speculative purposes. Our short-term investments, which we expect to hold to maturity, are recorded at amortized cost and are composed of fixed rate government treasury bills.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designed to provide reasonable assurance that information required to be disclosed in reports filed or submitted under the Exchange Act is recorded, processed, summarized and reported within the time periods specified in the Securities and Exchange Commission’s rules and forms and accumulated and communicated to our management, including our Chief Executive Officer and Chief Financial Officer, or persons performing similar functions, as appropriate to allow timely decisions regarding required disclosures.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our Chief Financial Officer, conducted an evaluation, as of the end of the period covered by this report, of the effectiveness of our disclosure controls and procedures, as such term is defined in Exchange Act Rule 13a-15(e). Based on this evaluation, our Chief Executive Officer and our Chief Financial Officer have concluded that, as of the end of the period covered by this report, our disclosure controls and procedures, as defined in Rule 13a-15(e), were effective at the reasonable assurance level.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(as defined in Rule 13a-15(f) under the Exchange Act), that occurred during the quarter ended September 30, 2022 that has materially affected, or is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the Effectiveness of Controls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 cost-effective control system, misstatements due to error or fraud may occur and not be detected. The Company conducts periodic evaluations of its internal controls to enhance, where necessary, its procedures and controls.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3" w:name="page24"/>
    <w:bookmarkEnd w:id="2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not a party to any material pending legal proceeding.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items update the risk factors previously reported in PART 1, ITEM 1A, “Risk Factors” of our Annual Report on Form 10-K for the year ended December 31,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Developments in the rapidly changing healthcare industry could adversely affect our business.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Most of our revenue is derived from pharmaceutical manufacturers and could be affected by changes affecting the broader healthcare industry, including decreased spending in the industry overall. General reductions in expenditures by healthcare industry participants could result from, among other things: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reductions in expenditures by healthcare industry participants could result from, among other things:</w:t>
      </w:r>
    </w:p>
    <w:p>
      <w:pPr>
        <w:spacing w:after="0" w:line="225" w:lineRule="exact"/>
        <w:rPr>
          <w:sz w:val="20"/>
          <w:szCs w:val="20"/>
          <w:color w:val="auto"/>
        </w:rPr>
      </w:pPr>
    </w:p>
    <w:p>
      <w:pPr>
        <w:ind w:left="660" w:hanging="324"/>
        <w:spacing w:after="0" w:line="282" w:lineRule="auto"/>
        <w:rPr>
          <w:sz w:val="20"/>
          <w:szCs w:val="20"/>
          <w:color w:val="auto"/>
        </w:rPr>
      </w:pPr>
      <w:r>
        <w:rPr>
          <w:rFonts w:ascii="Times New Roman" w:cs="Times New Roman" w:eastAsia="Times New Roman" w:hAnsi="Times New Roman"/>
          <w:sz w:val="18"/>
          <w:szCs w:val="18"/>
          <w:color w:val="auto"/>
        </w:rPr>
        <w:t>– Government regulation or private initiatives that affect the manner in which healthcare industry participants interact with consumers and the general public;</w:t>
      </w:r>
    </w:p>
    <w:p>
      <w:pPr>
        <w:spacing w:after="0" w:line="1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Government regulation prohibiting the use of coupons by patients covered by federally funded health insurance programs;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Consolidation of healthcare industry participants;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Reductions in governmental funding for healthcare; and</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Adverse changes in general business or economic conditions affecting healthcare industry participants.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Even if general expenditures by industry participants remain the same or increase, developments in the healthcare industry may result in reduced spending in some or all of the specific market segments that we serve now or may serve in the future. For example, use of our solutions and services could be affected by:</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A decrease in the number of new drugs or medical devices coming to market; and</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A decrease in marketing expenditures by pharmaceutical or medical device companies.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healthcare industry has changed significantly in recent years, and we expect that significant changes will continue to occur. However, the timing and impact of developments in the healthcare industry are difficult to predict. We cannot assure you that the demand for our solutions and services will continue to exist at current levels or that we will have adequate technical, financial and marketing resources to react to changes in the healthcare industry.</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maintain our contracts with electronic prescription platforms, our business will suffer.</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are reliant upon our contracts with leading electronic prescribing (“ERx”) platforms and electronic health record (“EHR”) systems to generate our revenues received from customers. Such arrangements subject us to a number of risks, including the following:</w:t>
      </w:r>
    </w:p>
    <w:p>
      <w:pPr>
        <w:spacing w:after="0" w:line="162" w:lineRule="exact"/>
        <w:rPr>
          <w:sz w:val="20"/>
          <w:szCs w:val="20"/>
          <w:color w:val="auto"/>
        </w:rPr>
      </w:pPr>
    </w:p>
    <w:p>
      <w:pPr>
        <w:ind w:left="660" w:hanging="324"/>
        <w:spacing w:after="0" w:line="282" w:lineRule="auto"/>
        <w:rPr>
          <w:sz w:val="20"/>
          <w:szCs w:val="20"/>
          <w:color w:val="auto"/>
        </w:rPr>
      </w:pPr>
      <w:r>
        <w:rPr>
          <w:rFonts w:ascii="Times New Roman" w:cs="Times New Roman" w:eastAsia="Times New Roman" w:hAnsi="Times New Roman"/>
          <w:sz w:val="18"/>
          <w:szCs w:val="18"/>
          <w:color w:val="auto"/>
        </w:rPr>
        <w:t>– Our ERx and EHR partners may experience financial, regulatory or operational difficulties, which may impair their ability to focus on and fulfill their contract obligations to us;</w:t>
      </w:r>
    </w:p>
    <w:p>
      <w:pPr>
        <w:spacing w:after="0" w:line="161" w:lineRule="exact"/>
        <w:rPr>
          <w:sz w:val="20"/>
          <w:szCs w:val="20"/>
          <w:color w:val="auto"/>
        </w:rPr>
      </w:pPr>
    </w:p>
    <w:p>
      <w:pPr>
        <w:ind w:left="660" w:hanging="324"/>
        <w:spacing w:after="0" w:line="282" w:lineRule="auto"/>
        <w:rPr>
          <w:sz w:val="20"/>
          <w:szCs w:val="20"/>
          <w:color w:val="auto"/>
        </w:rPr>
      </w:pPr>
      <w:r>
        <w:rPr>
          <w:rFonts w:ascii="Times New Roman" w:cs="Times New Roman" w:eastAsia="Times New Roman" w:hAnsi="Times New Roman"/>
          <w:sz w:val="18"/>
          <w:szCs w:val="18"/>
          <w:color w:val="auto"/>
        </w:rPr>
        <w:t>– Legal disputes or disagreements, including the ownership of intellectual property, may occur with one or more of our ERx or EHR partners and may lead to lengthy and expensive litigation or arbitration;</w:t>
      </w:r>
    </w:p>
    <w:p>
      <w:pPr>
        <w:spacing w:after="0" w:line="161" w:lineRule="exact"/>
        <w:rPr>
          <w:sz w:val="20"/>
          <w:szCs w:val="20"/>
          <w:color w:val="auto"/>
        </w:rPr>
      </w:pPr>
    </w:p>
    <w:p>
      <w:pPr>
        <w:ind w:left="660" w:hanging="324"/>
        <w:spacing w:after="0" w:line="282" w:lineRule="auto"/>
        <w:rPr>
          <w:sz w:val="20"/>
          <w:szCs w:val="20"/>
          <w:color w:val="auto"/>
        </w:rPr>
      </w:pPr>
      <w:r>
        <w:rPr>
          <w:rFonts w:ascii="Times New Roman" w:cs="Times New Roman" w:eastAsia="Times New Roman" w:hAnsi="Times New Roman"/>
          <w:sz w:val="18"/>
          <w:szCs w:val="18"/>
          <w:color w:val="auto"/>
        </w:rPr>
        <w:t>– Significant changes in an ERx or EHR partner’s business strategy may adversely affect a partner’s willingness or ability to satisfy obligations under any such arrangement; and</w:t>
      </w:r>
    </w:p>
    <w:p>
      <w:pPr>
        <w:spacing w:after="0" w:line="161" w:lineRule="exact"/>
        <w:rPr>
          <w:sz w:val="20"/>
          <w:szCs w:val="20"/>
          <w:color w:val="auto"/>
        </w:rPr>
      </w:pPr>
    </w:p>
    <w:p>
      <w:pPr>
        <w:ind w:left="660" w:right="20" w:hanging="324"/>
        <w:spacing w:after="0" w:line="282" w:lineRule="auto"/>
        <w:rPr>
          <w:sz w:val="20"/>
          <w:szCs w:val="20"/>
          <w:color w:val="auto"/>
        </w:rPr>
      </w:pPr>
      <w:r>
        <w:rPr>
          <w:rFonts w:ascii="Times New Roman" w:cs="Times New Roman" w:eastAsia="Times New Roman" w:hAnsi="Times New Roman"/>
          <w:sz w:val="18"/>
          <w:szCs w:val="18"/>
          <w:color w:val="auto"/>
        </w:rPr>
        <w:t>– The failure of an ERx or EHR partner to provide accurate and complete financial information to us or to maintain adequate and effective internal control over its financial reporting may negatively affect our ability to meet our financial reporting obligations as required by the SEC; and</w:t>
      </w:r>
    </w:p>
    <w:p>
      <w:pPr>
        <w:spacing w:after="0" w:line="161" w:lineRule="exact"/>
        <w:rPr>
          <w:sz w:val="20"/>
          <w:szCs w:val="20"/>
          <w:color w:val="auto"/>
        </w:rPr>
      </w:pPr>
    </w:p>
    <w:p>
      <w:pPr>
        <w:ind w:left="660" w:right="20" w:hanging="324"/>
        <w:spacing w:after="0" w:line="282" w:lineRule="auto"/>
        <w:rPr>
          <w:sz w:val="20"/>
          <w:szCs w:val="20"/>
          <w:color w:val="auto"/>
        </w:rPr>
      </w:pPr>
      <w:r>
        <w:rPr>
          <w:rFonts w:ascii="Times New Roman" w:cs="Times New Roman" w:eastAsia="Times New Roman" w:hAnsi="Times New Roman"/>
          <w:sz w:val="18"/>
          <w:szCs w:val="18"/>
          <w:color w:val="auto"/>
        </w:rPr>
        <w:t>– An ERx or EHR partner could terminate the partnership arrangement, which could negatively impact our ability to sell our solutions and achieve revenues.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will need to maintain these relationships as well as diversify them. The inability to do so could adversely impact our business. We generated 53.9% and 52.7% of our revenue through our largest partner in 2021 and 2020, respectively.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should carefully consider the factors discussed in PART I, ITEM 1A, “Risk Factors” in our Annual Report on Form 10-K for the year ended December 31, 2021 and the above risk factors, each of which could materially affect our business, financial condition or future results. Such risks are not the only risks we face. Additional risks and uncertainties not currently known to us or that we currently deem to be immaterial also may materially adversely affect our business, financial condition and/or operating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and other adverse economic conditions may adversely effect our business, results of operations and financial condition.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Recently, inflation has increased throughout the U.S. economy. In an inflationary environment, we may experience increases in the prices of labor and other costs of doing business. Additionally, cost increases may outpace our expectations, causing us to use our cash and other liquid assets faster than forecasted. If we are unable to successfully manage the effects of inflation, our business, operating results, cash flows and financial condition may be adversely affected.</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occurrence or perception of an economic slowdown or recession, or of a further increase in inflation, may have a negative impact on the global economy and may reduce customer demand for our products and services. In addition, macroeconomic effects such as increases in interest rates and other measures taken by central banks and other policy makers could have a negative effect on overall economic activity that could reduce our customers’ demand for our products and serves. Adverse changes in demand could impact our business, collection of accounts receivable and our expected cash flow generation, which may adversely impact our financial condition and results of operations.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September 30, 2022, we purchased shares of our common stock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Number (or</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Approximate</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Dollar Value)</w:t>
            </w:r>
          </w:p>
        </w:tc>
        <w:tc>
          <w:tcPr>
            <w:tcW w:w="0" w:type="dxa"/>
            <w:vAlign w:val="bottom"/>
          </w:tcPr>
          <w:p>
            <w:pPr>
              <w:spacing w:after="0"/>
              <w:rPr>
                <w:sz w:val="1"/>
                <w:szCs w:val="1"/>
                <w:color w:val="auto"/>
              </w:rPr>
            </w:pPr>
          </w:p>
        </w:tc>
      </w:tr>
      <w:tr>
        <w:trPr>
          <w:trHeight w:val="184"/>
        </w:trPr>
        <w:tc>
          <w:tcPr>
            <w:tcW w:w="5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200"/>
              <w:spacing w:after="0" w:line="184" w:lineRule="exact"/>
              <w:rPr>
                <w:sz w:val="20"/>
                <w:szCs w:val="20"/>
                <w:color w:val="auto"/>
              </w:rPr>
            </w:pPr>
            <w:r>
              <w:rPr>
                <w:rFonts w:ascii="Times New Roman" w:cs="Times New Roman" w:eastAsia="Times New Roman" w:hAnsi="Times New Roman"/>
                <w:sz w:val="18"/>
                <w:szCs w:val="18"/>
                <w:b w:val="1"/>
                <w:bCs w:val="1"/>
                <w:color w:val="auto"/>
              </w:rPr>
              <w:t>of</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Shares that</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Purchased as</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May Yet Be</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Part of</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Publicly</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Under the</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Average Price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Announced</w:t>
            </w:r>
          </w:p>
        </w:tc>
        <w:tc>
          <w:tcPr>
            <w:tcW w:w="10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Plans</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16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Paid per</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Plans or</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or Programs</w:t>
            </w:r>
          </w:p>
        </w:tc>
        <w:tc>
          <w:tcPr>
            <w:tcW w:w="0" w:type="dxa"/>
            <w:vAlign w:val="bottom"/>
          </w:tcPr>
          <w:p>
            <w:pPr>
              <w:spacing w:after="0"/>
              <w:rPr>
                <w:sz w:val="1"/>
                <w:szCs w:val="1"/>
                <w:color w:val="auto"/>
              </w:rPr>
            </w:pPr>
          </w:p>
        </w:tc>
      </w:tr>
      <w:tr>
        <w:trPr>
          <w:trHeight w:val="263"/>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380" w:type="dxa"/>
            <w:vAlign w:val="bottom"/>
            <w:gridSpan w:val="2"/>
          </w:tcPr>
          <w:p>
            <w:pPr>
              <w:jc w:val="center"/>
              <w:ind w:right="260"/>
              <w:spacing w:after="0" w:line="256" w:lineRule="exact"/>
              <w:rPr>
                <w:sz w:val="20"/>
                <w:szCs w:val="20"/>
                <w:color w:val="auto"/>
              </w:rPr>
            </w:pPr>
            <w:r>
              <w:rPr>
                <w:rFonts w:ascii="Times New Roman" w:cs="Times New Roman" w:eastAsia="Times New Roman" w:hAnsi="Times New Roman"/>
                <w:sz w:val="18"/>
                <w:szCs w:val="18"/>
                <w:b w:val="1"/>
                <w:bCs w:val="1"/>
                <w:color w:val="auto"/>
                <w:w w:val="96"/>
              </w:rPr>
              <w:t xml:space="preserve">Purchased </w:t>
            </w:r>
            <w:r>
              <w:rPr>
                <w:rFonts w:ascii="Times New Roman" w:cs="Times New Roman" w:eastAsia="Times New Roman" w:hAnsi="Times New Roman"/>
                <w:sz w:val="29"/>
                <w:szCs w:val="29"/>
                <w:b w:val="1"/>
                <w:bCs w:val="1"/>
                <w:color w:val="auto"/>
                <w:w w:val="96"/>
                <w:vertAlign w:val="superscript"/>
              </w:rPr>
              <w:t>(1)</w:t>
            </w:r>
          </w:p>
        </w:tc>
        <w:tc>
          <w:tcPr>
            <w:tcW w:w="160" w:type="dxa"/>
            <w:vAlign w:val="bottom"/>
          </w:tcPr>
          <w:p>
            <w:pPr>
              <w:spacing w:after="0"/>
              <w:rPr>
                <w:sz w:val="22"/>
                <w:szCs w:val="22"/>
                <w:color w:val="auto"/>
              </w:rPr>
            </w:pPr>
          </w:p>
        </w:tc>
        <w:tc>
          <w:tcPr>
            <w:tcW w:w="11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1320" w:type="dxa"/>
            <w:vAlign w:val="bottom"/>
            <w:gridSpan w:val="2"/>
          </w:tcPr>
          <w:p>
            <w:pPr>
              <w:jc w:val="center"/>
              <w:ind w:right="220"/>
              <w:spacing w:after="0" w:line="256" w:lineRule="exact"/>
              <w:rPr>
                <w:sz w:val="20"/>
                <w:szCs w:val="20"/>
                <w:color w:val="auto"/>
              </w:rPr>
            </w:pPr>
            <w:r>
              <w:rPr>
                <w:rFonts w:ascii="Times New Roman" w:cs="Times New Roman" w:eastAsia="Times New Roman" w:hAnsi="Times New Roman"/>
                <w:sz w:val="18"/>
                <w:szCs w:val="18"/>
                <w:b w:val="1"/>
                <w:bCs w:val="1"/>
                <w:color w:val="auto"/>
                <w:w w:val="95"/>
              </w:rPr>
              <w:t xml:space="preserve">Programs </w:t>
            </w:r>
            <w:r>
              <w:rPr>
                <w:rFonts w:ascii="Times New Roman" w:cs="Times New Roman" w:eastAsia="Times New Roman" w:hAnsi="Times New Roman"/>
                <w:sz w:val="29"/>
                <w:szCs w:val="29"/>
                <w:b w:val="1"/>
                <w:bCs w:val="1"/>
                <w:color w:val="auto"/>
                <w:w w:val="95"/>
                <w:vertAlign w:val="superscript"/>
              </w:rPr>
              <w:t>(1)</w:t>
            </w:r>
          </w:p>
        </w:tc>
        <w:tc>
          <w:tcPr>
            <w:tcW w:w="100" w:type="dxa"/>
            <w:vAlign w:val="bottom"/>
          </w:tcPr>
          <w:p>
            <w:pPr>
              <w:spacing w:after="0"/>
              <w:rPr>
                <w:sz w:val="22"/>
                <w:szCs w:val="22"/>
                <w:color w:val="auto"/>
              </w:rPr>
            </w:pPr>
          </w:p>
        </w:tc>
        <w:tc>
          <w:tcPr>
            <w:tcW w:w="1020" w:type="dxa"/>
            <w:vAlign w:val="bottom"/>
          </w:tcPr>
          <w:p>
            <w:pPr>
              <w:jc w:val="center"/>
              <w:ind w:right="11"/>
              <w:spacing w:after="0"/>
              <w:rPr>
                <w:sz w:val="20"/>
                <w:szCs w:val="20"/>
                <w:color w:val="auto"/>
              </w:rPr>
            </w:pPr>
            <w:r>
              <w:rPr>
                <w:rFonts w:ascii="Times New Roman" w:cs="Times New Roman" w:eastAsia="Times New Roman" w:hAnsi="Times New Roman"/>
                <w:sz w:val="15"/>
                <w:szCs w:val="15"/>
                <w:b w:val="1"/>
                <w:bCs w:val="1"/>
                <w:color w:val="auto"/>
                <w:w w:val="91"/>
              </w:rPr>
              <w:t>(1)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7/1/22 - 7/31/22</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95"/>
              </w:rPr>
              <w:t>151,815</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22.89</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95"/>
              </w:rPr>
              <w:t>151,815</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16,274,782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8/1/22 - 8/31/22</w:t>
            </w:r>
          </w:p>
        </w:tc>
        <w:tc>
          <w:tcPr>
            <w:tcW w:w="120" w:type="dxa"/>
            <w:vAlign w:val="bottom"/>
          </w:tcPr>
          <w:p>
            <w:pPr>
              <w:spacing w:after="0"/>
              <w:rPr>
                <w:sz w:val="18"/>
                <w:szCs w:val="18"/>
                <w:color w:val="auto"/>
              </w:rPr>
            </w:pPr>
          </w:p>
        </w:tc>
        <w:tc>
          <w:tcPr>
            <w:tcW w:w="13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159,548</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20.66</w:t>
            </w:r>
          </w:p>
        </w:tc>
        <w:tc>
          <w:tcPr>
            <w:tcW w:w="13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159,548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13,013,317</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9/1/22 - 9/30/22</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381,883</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14.64</w:t>
            </w:r>
          </w:p>
        </w:tc>
        <w:tc>
          <w:tcPr>
            <w:tcW w:w="13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381,883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7,452,549</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340" w:hanging="332"/>
        <w:spacing w:after="0" w:line="258"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17, 2022, we announced that our Board of Directors had authorized the repurchase of up to $20 million of our outstanding common stock. Under this program, share repurchases may be made from time to time depending on market conditions, share price and availability and other factors at our discretion. This stock repurchase authorization expires on the earlier of May 17, 2023, or when the repurchase of $20 million of shares of our common stock has been reached. Our stock repurchases may take place in open market transactions or privately negotiated transactions in accordance with applicable securities and other laws.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5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c>
          <w:tcPr>
            <w:tcW w:w="0" w:type="dxa"/>
            <w:vAlign w:val="bottom"/>
          </w:tcPr>
          <w:p>
            <w:pPr>
              <w:spacing w:after="0"/>
              <w:rPr>
                <w:sz w:val="1"/>
                <w:szCs w:val="1"/>
                <w:color w:val="auto"/>
              </w:rPr>
            </w:pPr>
          </w:p>
        </w:tc>
      </w:tr>
      <w:tr>
        <w:trPr>
          <w:trHeight w:val="175"/>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100" w:type="dxa"/>
            <w:vAlign w:val="bottom"/>
            <w:tcBorders>
              <w:top w:val="single" w:sz="8" w:color="auto"/>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Chief Executive Officer pursuant to 18 U.S.C. Section 1350, as adopted pursuant to Section 302 of the Sarbanes-Oxley Act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0000EE"/>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7"/>
              </w:rPr>
              <w:t>of 2002</w:t>
            </w:r>
          </w:p>
        </w:tc>
        <w:tc>
          <w:tcPr>
            <w:tcW w:w="9540" w:type="dxa"/>
            <w:vAlign w:val="bottom"/>
            <w:tcBorders>
              <w:bottom w:val="single" w:sz="8" w:color="CCEEFF"/>
            </w:tcBorders>
            <w:gridSpan w:val="2"/>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5"/>
                <w:szCs w:val="15"/>
                <w:color w:val="auto"/>
              </w:rPr>
            </w:pPr>
          </w:p>
        </w:tc>
        <w:tc>
          <w:tcPr>
            <w:tcW w:w="10100" w:type="dxa"/>
            <w:vAlign w:val="bottom"/>
            <w:tcBorders>
              <w:bottom w:val="single" w:sz="8" w:color="0000EE"/>
            </w:tcBorders>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Chief Financial Officer pursuant to 18 U.S.C. Section 1350, as adopted pursuant to Section 302 of the Sarbanes-Oxley Act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of 2002</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32.1**</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Certification of Chief Executive Officer and Chief Financial Officer pursuant to 18 U.S.C. Section 1350, as adopted pursuant to Section 906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520" w:type="dxa"/>
            <w:vAlign w:val="bottom"/>
            <w:tcBorders>
              <w:bottom w:val="single" w:sz="8" w:color="0000EE"/>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9"/>
              </w:rPr>
              <w:t>of the Sarbanes-Oxley Act of 2002</w:t>
            </w:r>
          </w:p>
        </w:tc>
        <w:tc>
          <w:tcPr>
            <w:tcW w:w="758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10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w:t>
            </w:r>
          </w:p>
        </w:tc>
        <w:tc>
          <w:tcPr>
            <w:tcW w:w="10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right="3560" w:firstLine="8"/>
        <w:spacing w:after="0" w:line="509" w:lineRule="auto"/>
        <w:tabs>
          <w:tab w:leader="none" w:pos="113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 Provided herewith</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1240" w:type="dxa"/>
            <w:vAlign w:val="bottom"/>
            <w:gridSpan w:val="2"/>
          </w:tcPr>
          <w:p>
            <w:pPr>
              <w:ind w:left="6760"/>
              <w:spacing w:after="0"/>
              <w:rPr>
                <w:sz w:val="20"/>
                <w:szCs w:val="20"/>
                <w:color w:val="auto"/>
              </w:rPr>
            </w:pPr>
            <w:r>
              <w:rPr>
                <w:rFonts w:ascii="Times New Roman" w:cs="Times New Roman" w:eastAsia="Times New Roman" w:hAnsi="Times New Roman"/>
                <w:sz w:val="18"/>
                <w:szCs w:val="18"/>
                <w:b w:val="1"/>
                <w:bCs w:val="1"/>
                <w:color w:val="auto"/>
              </w:rPr>
              <w:t>OptimizeRx Corporation</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8, 2022</w:t>
            </w:r>
          </w:p>
        </w:tc>
        <w:tc>
          <w:tcPr>
            <w:tcW w:w="3920" w:type="dxa"/>
            <w:vAlign w:val="bottom"/>
          </w:tcPr>
          <w:p>
            <w:pPr>
              <w:spacing w:after="0"/>
              <w:rPr>
                <w:sz w:val="18"/>
                <w:szCs w:val="18"/>
                <w:color w:val="auto"/>
              </w:rPr>
            </w:pPr>
          </w:p>
        </w:tc>
      </w:tr>
      <w:tr>
        <w:trPr>
          <w:trHeight w:val="241"/>
        </w:trPr>
        <w:tc>
          <w:tcPr>
            <w:tcW w:w="7320" w:type="dxa"/>
            <w:vAlign w:val="bottom"/>
          </w:tcPr>
          <w:p>
            <w:pPr>
              <w:ind w:left="676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William J. Febbo</w:t>
            </w:r>
          </w:p>
        </w:tc>
      </w:tr>
      <w:tr>
        <w:trPr>
          <w:trHeight w:val="194"/>
        </w:trPr>
        <w:tc>
          <w:tcPr>
            <w:tcW w:w="7320" w:type="dxa"/>
            <w:vAlign w:val="bottom"/>
          </w:tcPr>
          <w:p>
            <w:pPr>
              <w:spacing w:after="0"/>
              <w:rPr>
                <w:sz w:val="16"/>
                <w:szCs w:val="16"/>
                <w:color w:val="auto"/>
              </w:rPr>
            </w:pPr>
          </w:p>
        </w:tc>
        <w:tc>
          <w:tcPr>
            <w:tcW w:w="39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William J. Febbo</w:t>
            </w:r>
          </w:p>
        </w:tc>
      </w:tr>
      <w:tr>
        <w:trPr>
          <w:trHeight w:val="216"/>
        </w:trPr>
        <w:tc>
          <w:tcPr>
            <w:tcW w:w="7320" w:type="dxa"/>
            <w:vAlign w:val="bottom"/>
          </w:tcPr>
          <w:p>
            <w:pPr>
              <w:ind w:left="676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Chief Executive Officer</w:t>
            </w:r>
          </w:p>
        </w:tc>
      </w:tr>
      <w:tr>
        <w:trPr>
          <w:trHeight w:val="238"/>
        </w:trPr>
        <w:tc>
          <w:tcPr>
            <w:tcW w:w="73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tc>
      </w:tr>
      <w:tr>
        <w:trPr>
          <w:trHeight w:val="414"/>
        </w:trPr>
        <w:tc>
          <w:tcPr>
            <w:tcW w:w="11240" w:type="dxa"/>
            <w:vAlign w:val="bottom"/>
            <w:gridSpan w:val="2"/>
          </w:tcPr>
          <w:p>
            <w:pPr>
              <w:ind w:left="6760"/>
              <w:spacing w:after="0"/>
              <w:rPr>
                <w:sz w:val="20"/>
                <w:szCs w:val="20"/>
                <w:color w:val="auto"/>
              </w:rPr>
            </w:pPr>
            <w:r>
              <w:rPr>
                <w:rFonts w:ascii="Times New Roman" w:cs="Times New Roman" w:eastAsia="Times New Roman" w:hAnsi="Times New Roman"/>
                <w:sz w:val="18"/>
                <w:szCs w:val="18"/>
                <w:b w:val="1"/>
                <w:bCs w:val="1"/>
                <w:color w:val="auto"/>
              </w:rPr>
              <w:t>OptimizeRx Corporation</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8 2022</w:t>
            </w:r>
          </w:p>
        </w:tc>
        <w:tc>
          <w:tcPr>
            <w:tcW w:w="3920" w:type="dxa"/>
            <w:vAlign w:val="bottom"/>
          </w:tcPr>
          <w:p>
            <w:pPr>
              <w:spacing w:after="0"/>
              <w:rPr>
                <w:sz w:val="18"/>
                <w:szCs w:val="18"/>
                <w:color w:val="auto"/>
              </w:rPr>
            </w:pPr>
          </w:p>
        </w:tc>
      </w:tr>
      <w:tr>
        <w:trPr>
          <w:trHeight w:val="241"/>
        </w:trPr>
        <w:tc>
          <w:tcPr>
            <w:tcW w:w="7320" w:type="dxa"/>
            <w:vAlign w:val="bottom"/>
          </w:tcPr>
          <w:p>
            <w:pPr>
              <w:ind w:left="676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Edward Stelmakh</w:t>
            </w:r>
          </w:p>
        </w:tc>
      </w:tr>
      <w:tr>
        <w:trPr>
          <w:trHeight w:val="194"/>
        </w:trPr>
        <w:tc>
          <w:tcPr>
            <w:tcW w:w="7320" w:type="dxa"/>
            <w:vAlign w:val="bottom"/>
          </w:tcPr>
          <w:p>
            <w:pPr>
              <w:spacing w:after="0"/>
              <w:rPr>
                <w:sz w:val="16"/>
                <w:szCs w:val="16"/>
                <w:color w:val="auto"/>
              </w:rPr>
            </w:pPr>
          </w:p>
        </w:tc>
        <w:tc>
          <w:tcPr>
            <w:tcW w:w="39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Edward Stelmakh</w:t>
            </w:r>
          </w:p>
        </w:tc>
      </w:tr>
      <w:tr>
        <w:trPr>
          <w:trHeight w:val="216"/>
        </w:trPr>
        <w:tc>
          <w:tcPr>
            <w:tcW w:w="7320" w:type="dxa"/>
            <w:vAlign w:val="bottom"/>
          </w:tcPr>
          <w:p>
            <w:pPr>
              <w:ind w:left="676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Chief Financial Officer and</w:t>
            </w:r>
          </w:p>
        </w:tc>
      </w:tr>
      <w:tr>
        <w:trPr>
          <w:trHeight w:val="216"/>
        </w:trPr>
        <w:tc>
          <w:tcPr>
            <w:tcW w:w="73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Chief Operations Officer</w:t>
            </w:r>
          </w:p>
        </w:tc>
      </w:tr>
      <w:tr>
        <w:trPr>
          <w:trHeight w:val="238"/>
        </w:trPr>
        <w:tc>
          <w:tcPr>
            <w:tcW w:w="73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tc>
      </w:tr>
      <w:tr>
        <w:trPr>
          <w:trHeight w:val="655"/>
        </w:trPr>
        <w:tc>
          <w:tcPr>
            <w:tcW w:w="7320" w:type="dxa"/>
            <w:vAlign w:val="bottom"/>
            <w:tcBorders>
              <w:bottom w:val="single" w:sz="8" w:color="auto"/>
            </w:tcBorders>
          </w:tcPr>
          <w:p>
            <w:pPr>
              <w:ind w:left="5540"/>
              <w:spacing w:after="0"/>
              <w:rPr>
                <w:sz w:val="20"/>
                <w:szCs w:val="20"/>
                <w:color w:val="auto"/>
              </w:rPr>
            </w:pPr>
            <w:r>
              <w:rPr>
                <w:rFonts w:ascii="Times New Roman" w:cs="Times New Roman" w:eastAsia="Times New Roman" w:hAnsi="Times New Roman"/>
                <w:sz w:val="18"/>
                <w:szCs w:val="18"/>
                <w:color w:val="auto"/>
              </w:rPr>
              <w:t>25</w:t>
            </w: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J. Febbo, certify that;</w:t>
      </w:r>
    </w:p>
    <w:p>
      <w:pPr>
        <w:spacing w:after="0" w:line="225" w:lineRule="exact"/>
        <w:rPr>
          <w:sz w:val="20"/>
          <w:szCs w:val="20"/>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September 30, 2022 of OptimizeRx Corp (the “registrant”);</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8,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William J. Febbo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William J. Febbo</w:t>
      </w:r>
    </w:p>
    <w:p>
      <w:pPr>
        <w:spacing w:after="0" w:line="2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ectPr>
          <w:pgSz w:w="11900" w:h="16838" w:orient="portrait"/>
          <w:cols w:equalWidth="0" w:num="1">
            <w:col w:w="11240"/>
          </w:cols>
          <w:pgMar w:left="320" w:top="117" w:right="3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Edward Stelmakh certify that;</w:t>
      </w:r>
    </w:p>
    <w:p>
      <w:pPr>
        <w:spacing w:after="0" w:line="225" w:lineRule="exact"/>
        <w:rPr>
          <w:sz w:val="20"/>
          <w:szCs w:val="20"/>
          <w:color w:val="auto"/>
        </w:rPr>
      </w:pPr>
    </w:p>
    <w:p>
      <w:pPr>
        <w:ind w:left="340" w:hanging="332"/>
        <w:spacing w:after="0"/>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September 30, 2022 of OptimizeRx Corp (the “registrant”);</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8,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Edward Stelmakh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Edward Stelmakh</w:t>
      </w:r>
    </w:p>
    <w:p>
      <w:pPr>
        <w:spacing w:after="0" w:line="2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ectPr>
          <w:pgSz w:w="11900" w:h="16838" w:orient="portrait"/>
          <w:cols w:equalWidth="0" w:num="1">
            <w:col w:w="11240"/>
          </w:cols>
          <w:pgMar w:left="320" w:top="117"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OptimizeRx Corp (the “Company”) on Form 10-Q for the quarter ended September 30, 2022 filed with the Securities and Exchange Commission (the “Report”), I, Will Febbo, Chief Executive Officer and I, Edward Stelmakh, Chief Financial Officer of the Company, certify, pursuant to 18 U.S.C. Section 1350, as adopted pursuant to Section 906 of the Sarbanes-Oxley Act of 2002, that:</w:t>
      </w:r>
    </w:p>
    <w:p>
      <w:pPr>
        <w:spacing w:after="0" w:line="176" w:lineRule="exact"/>
        <w:rPr>
          <w:sz w:val="20"/>
          <w:szCs w:val="20"/>
          <w:color w:val="auto"/>
        </w:rPr>
      </w:pPr>
    </w:p>
    <w:p>
      <w:pPr>
        <w:ind w:left="500" w:hanging="492"/>
        <w:spacing w:after="0"/>
        <w:tabs>
          <w:tab w:leader="none" w:pos="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of the Securities Exchange Act of 1934; and</w:t>
      </w:r>
    </w:p>
    <w:p>
      <w:pPr>
        <w:spacing w:after="0" w:line="225"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consolidated financial condition of the Company as of the dates presented and the consolidated result of operations of the Company for the periods presented.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William J Febbo</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Willian J Febbo</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November 8, 2022</w:t>
            </w:r>
          </w:p>
        </w:tc>
      </w:tr>
      <w:tr>
        <w:trPr>
          <w:trHeight w:val="46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Edward Stelmakh</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Edward Stelmakh</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November 8, 2022</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certification has been furnished solely pursuant to Section 906 of the Sarbanes-Oxley Act of 2002.</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lvl w:ilvl="1">
      <w:lvlJc w:val="left"/>
      <w:lvlText w:val="☐"/>
      <w:numFmt w:val="bullet"/>
      <w:start w:val="1"/>
    </w:lvl>
  </w:abstractNum>
  <w:abstractNum w:abstractNumId="1">
    <w:nsid w:val="216231B"/>
    <w:multiLevelType w:val="hybridMultilevel"/>
    <w:lvl w:ilvl="0">
      <w:lvlJc w:val="left"/>
      <w:lvlText w:val="2"/>
      <w:numFmt w:val="bullet"/>
      <w:start w:val="1"/>
    </w:lvl>
  </w:abstractNum>
  <w:abstractNum w:abstractNumId="2">
    <w:nsid w:val="1F16E9E8"/>
    <w:multiLevelType w:val="hybridMultilevel"/>
    <w:lvl w:ilvl="0">
      <w:lvlJc w:val="left"/>
      <w:lvlText w:val="3"/>
      <w:numFmt w:val="bullet"/>
      <w:start w:val="1"/>
    </w:lvl>
  </w:abstractNum>
  <w:abstractNum w:abstractNumId="3">
    <w:nsid w:val="1190CDE7"/>
    <w:multiLevelType w:val="hybridMultilevel"/>
    <w:lvl w:ilvl="0">
      <w:lvlJc w:val="left"/>
      <w:lvlText w:val="4"/>
      <w:numFmt w:val="bullet"/>
      <w:start w:val="1"/>
    </w:lvl>
  </w:abstractNum>
  <w:abstractNum w:abstractNumId="4">
    <w:nsid w:val="66EF438D"/>
    <w:multiLevelType w:val="hybridMultilevel"/>
    <w:lvl w:ilvl="0">
      <w:lvlJc w:val="left"/>
      <w:lvlText w:val="6"/>
      <w:numFmt w:val="bullet"/>
      <w:start w:val="1"/>
    </w:lvl>
  </w:abstractNum>
  <w:abstractNum w:abstractNumId="5">
    <w:nsid w:val="140E0F76"/>
    <w:multiLevelType w:val="hybridMultilevel"/>
    <w:lvl w:ilvl="0">
      <w:lvlJc w:val="left"/>
      <w:lvlText w:val="\emdash "/>
      <w:numFmt w:val="bullet"/>
      <w:start w:val="1"/>
    </w:lvl>
  </w:abstractNum>
  <w:abstractNum w:abstractNumId="6">
    <w:nsid w:val="3352255A"/>
    <w:multiLevelType w:val="hybridMultilevel"/>
    <w:lvl w:ilvl="0">
      <w:lvlJc w:val="left"/>
      <w:lvlText w:val="\emdash "/>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endash "/>
      <w:numFmt w:val="bullet"/>
      <w:start w:val="1"/>
    </w:lvl>
  </w:abstractNum>
  <w:abstractNum w:abstractNumId="12">
    <w:nsid w:val="6B68079A"/>
    <w:multiLevelType w:val="hybridMultilevel"/>
    <w:lvl w:ilvl="0">
      <w:lvlJc w:val="left"/>
      <w:lvlText w:val="\endash "/>
      <w:numFmt w:val="bullet"/>
      <w:start w:val="1"/>
    </w:lvl>
  </w:abstractNum>
  <w:abstractNum w:abstractNumId="13">
    <w:nsid w:val="4E6AFB66"/>
    <w:multiLevelType w:val="hybridMultilevel"/>
    <w:lvl w:ilvl="0">
      <w:lvlJc w:val="left"/>
      <w:lvlText w:val="\endash "/>
      <w:numFmt w:val="bullet"/>
      <w:start w:val="1"/>
    </w:lvl>
  </w:abstractNum>
  <w:abstractNum w:abstractNumId="14">
    <w:nsid w:val="25E45D32"/>
    <w:multiLevelType w:val="hybridMultilevel"/>
    <w:lvl w:ilvl="0">
      <w:lvlJc w:val="left"/>
      <w:lvlText w:val="(%1)"/>
      <w:numFmt w:val="decimal"/>
      <w:start w:val="1"/>
    </w:lvl>
  </w:abstractNum>
  <w:abstractNum w:abstractNumId="15">
    <w:nsid w:val="519B500D"/>
    <w:multiLevelType w:val="hybridMultilevel"/>
    <w:lvl w:ilvl="0">
      <w:lvlJc w:val="left"/>
      <w:lvlText w:val="%1"/>
      <w:numFmt w:val="decimal"/>
      <w:start w:val="104"/>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lvl w:ilvl="1">
      <w:lvlJc w:val="left"/>
      <w:lvlText w:val="%2."/>
      <w:numFmt w:val="lowerLetter"/>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2022-11-08T17:41:14Z</dcterms:created>
  <dcterms:modified xsi:type="dcterms:W3CDTF">2022-11-08T17:41:14Z</dcterms:modified>
</cp:coreProperties>
</file>