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704215</wp:posOffset>
            </wp:positionV>
            <wp:extent cx="71329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729615</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820" w:type="dxa"/>
            <w:vAlign w:val="bottom"/>
          </w:tcPr>
          <w:p>
            <w:pPr>
              <w:spacing w:after="0"/>
              <w:rPr>
                <w:sz w:val="20"/>
                <w:szCs w:val="20"/>
                <w:color w:val="auto"/>
              </w:rPr>
            </w:pPr>
          </w:p>
        </w:tc>
      </w:tr>
      <w:tr>
        <w:trPr>
          <w:trHeight w:val="368"/>
        </w:trPr>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0"/>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Pursuant to Section 13 or 15(d) of</w:t>
            </w:r>
          </w:p>
        </w:tc>
        <w:tc>
          <w:tcPr>
            <w:tcW w:w="2820" w:type="dxa"/>
            <w:vAlign w:val="bottom"/>
          </w:tcPr>
          <w:p>
            <w:pPr>
              <w:spacing w:after="0"/>
              <w:rPr>
                <w:sz w:val="24"/>
                <w:szCs w:val="24"/>
                <w:color w:val="auto"/>
              </w:rPr>
            </w:pPr>
          </w:p>
        </w:tc>
      </w:tr>
      <w:tr>
        <w:trPr>
          <w:trHeight w:val="238"/>
        </w:trPr>
        <w:tc>
          <w:tcPr>
            <w:tcW w:w="2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gridSpan w:val="10"/>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2820" w:type="dxa"/>
            <w:vAlign w:val="bottom"/>
          </w:tcPr>
          <w:p>
            <w:pPr>
              <w:spacing w:after="0"/>
              <w:rPr>
                <w:sz w:val="20"/>
                <w:szCs w:val="20"/>
                <w:color w:val="auto"/>
              </w:rPr>
            </w:pPr>
          </w:p>
        </w:tc>
      </w:tr>
      <w:tr>
        <w:trPr>
          <w:trHeight w:val="390"/>
        </w:trPr>
        <w:tc>
          <w:tcPr>
            <w:tcW w:w="2960" w:type="dxa"/>
            <w:vAlign w:val="bottom"/>
          </w:tcPr>
          <w:p>
            <w:pPr>
              <w:spacing w:after="0"/>
              <w:rPr>
                <w:sz w:val="24"/>
                <w:szCs w:val="24"/>
                <w:color w:val="auto"/>
              </w:rPr>
            </w:pPr>
          </w:p>
        </w:tc>
        <w:tc>
          <w:tcPr>
            <w:tcW w:w="544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 xml:space="preserve">Date of Report (Date of Earliest Event Reported): </w:t>
            </w:r>
            <w:r>
              <w:rPr>
                <w:rFonts w:ascii="Times New Roman" w:cs="Times New Roman" w:eastAsia="Times New Roman" w:hAnsi="Times New Roman"/>
                <w:sz w:val="18"/>
                <w:szCs w:val="18"/>
                <w:color w:val="auto"/>
                <w:w w:val="99"/>
              </w:rPr>
              <w:t>August 7, 2025</w:t>
            </w:r>
          </w:p>
        </w:tc>
        <w:tc>
          <w:tcPr>
            <w:tcW w:w="2820" w:type="dxa"/>
            <w:vAlign w:val="bottom"/>
          </w:tcPr>
          <w:p>
            <w:pPr>
              <w:spacing w:after="0"/>
              <w:rPr>
                <w:sz w:val="24"/>
                <w:szCs w:val="24"/>
                <w:color w:val="auto"/>
              </w:rPr>
            </w:pPr>
          </w:p>
        </w:tc>
      </w:tr>
      <w:tr>
        <w:trPr>
          <w:trHeight w:val="385"/>
        </w:trPr>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OptimizeRx Corporation</w:t>
            </w:r>
          </w:p>
        </w:tc>
        <w:tc>
          <w:tcPr>
            <w:tcW w:w="2820" w:type="dxa"/>
            <w:vAlign w:val="bottom"/>
          </w:tcPr>
          <w:p>
            <w:pPr>
              <w:spacing w:after="0"/>
              <w:rPr>
                <w:sz w:val="24"/>
                <w:szCs w:val="24"/>
                <w:color w:val="auto"/>
              </w:rPr>
            </w:pPr>
          </w:p>
        </w:tc>
      </w:tr>
      <w:tr>
        <w:trPr>
          <w:trHeight w:val="234"/>
        </w:trPr>
        <w:tc>
          <w:tcPr>
            <w:tcW w:w="2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2820" w:type="dxa"/>
            <w:vAlign w:val="bottom"/>
          </w:tcPr>
          <w:p>
            <w:pPr>
              <w:spacing w:after="0"/>
              <w:rPr>
                <w:sz w:val="20"/>
                <w:szCs w:val="20"/>
                <w:color w:val="auto"/>
              </w:rPr>
            </w:pPr>
          </w:p>
        </w:tc>
      </w:tr>
      <w:tr>
        <w:trPr>
          <w:trHeight w:val="444"/>
        </w:trPr>
        <w:tc>
          <w:tcPr>
            <w:tcW w:w="296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46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001-38543</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26-1265381</w:t>
            </w:r>
          </w:p>
        </w:tc>
      </w:tr>
      <w:tr>
        <w:trPr>
          <w:trHeight w:val="27"/>
        </w:trPr>
        <w:tc>
          <w:tcPr>
            <w:tcW w:w="2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217"/>
        </w:trPr>
        <w:tc>
          <w:tcPr>
            <w:tcW w:w="296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40" w:type="dxa"/>
            <w:vAlign w:val="bottom"/>
            <w:gridSpan w:val="10"/>
          </w:tcPr>
          <w:p>
            <w:pPr>
              <w:jc w:val="center"/>
              <w:ind w:right="98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6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20" w:type="dxa"/>
            <w:vAlign w:val="bottom"/>
          </w:tcPr>
          <w:p>
            <w:pPr>
              <w:jc w:val="center"/>
              <w:ind w:right="7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9"/>
        </w:trPr>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260 Charles Street</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Suite 302</w:t>
            </w:r>
          </w:p>
        </w:tc>
        <w:tc>
          <w:tcPr>
            <w:tcW w:w="2820" w:type="dxa"/>
            <w:vAlign w:val="bottom"/>
          </w:tcPr>
          <w:p>
            <w:pPr>
              <w:spacing w:after="0"/>
              <w:rPr>
                <w:sz w:val="24"/>
                <w:szCs w:val="24"/>
                <w:color w:val="auto"/>
              </w:rPr>
            </w:pPr>
          </w:p>
        </w:tc>
      </w:tr>
      <w:tr>
        <w:trPr>
          <w:trHeight w:val="197"/>
        </w:trPr>
        <w:tc>
          <w:tcPr>
            <w:tcW w:w="29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580" w:type="dxa"/>
            <w:vAlign w:val="bottom"/>
            <w:gridSpan w:val="9"/>
          </w:tcPr>
          <w:p>
            <w:pPr>
              <w:jc w:val="center"/>
              <w:ind w:right="1980"/>
              <w:spacing w:after="0" w:line="197" w:lineRule="exact"/>
              <w:rPr>
                <w:sz w:val="20"/>
                <w:szCs w:val="20"/>
                <w:color w:val="auto"/>
              </w:rPr>
            </w:pPr>
            <w:r>
              <w:rPr>
                <w:rFonts w:ascii="Times New Roman" w:cs="Times New Roman" w:eastAsia="Times New Roman" w:hAnsi="Times New Roman"/>
                <w:sz w:val="18"/>
                <w:szCs w:val="18"/>
                <w:b w:val="1"/>
                <w:bCs w:val="1"/>
                <w:color w:val="auto"/>
                <w:w w:val="99"/>
              </w:rPr>
              <w:t>Waltham, MA 02453</w:t>
            </w:r>
          </w:p>
        </w:tc>
        <w:tc>
          <w:tcPr>
            <w:tcW w:w="282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236"/>
        </w:trPr>
        <w:tc>
          <w:tcPr>
            <w:tcW w:w="2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40" w:type="dxa"/>
            <w:vAlign w:val="bottom"/>
            <w:gridSpan w:val="10"/>
          </w:tcPr>
          <w:p>
            <w:pPr>
              <w:jc w:val="center"/>
              <w:ind w:right="92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20" w:type="dxa"/>
            <w:vAlign w:val="bottom"/>
          </w:tcPr>
          <w:p>
            <w:pPr>
              <w:spacing w:after="0"/>
              <w:rPr>
                <w:sz w:val="20"/>
                <w:szCs w:val="20"/>
                <w:color w:val="auto"/>
              </w:rPr>
            </w:pPr>
          </w:p>
        </w:tc>
      </w:tr>
      <w:tr>
        <w:trPr>
          <w:trHeight w:val="417"/>
        </w:trPr>
        <w:tc>
          <w:tcPr>
            <w:tcW w:w="2960" w:type="dxa"/>
            <w:vAlign w:val="bottom"/>
          </w:tcPr>
          <w:p>
            <w:pPr>
              <w:spacing w:after="0"/>
              <w:rPr>
                <w:sz w:val="24"/>
                <w:szCs w:val="24"/>
                <w:color w:val="auto"/>
              </w:rPr>
            </w:pPr>
          </w:p>
        </w:tc>
        <w:tc>
          <w:tcPr>
            <w:tcW w:w="544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248.651.6568</w:t>
            </w:r>
          </w:p>
        </w:tc>
        <w:tc>
          <w:tcPr>
            <w:tcW w:w="2820" w:type="dxa"/>
            <w:vAlign w:val="bottom"/>
          </w:tcPr>
          <w:p>
            <w:pPr>
              <w:spacing w:after="0"/>
              <w:rPr>
                <w:sz w:val="24"/>
                <w:szCs w:val="24"/>
                <w:color w:val="auto"/>
              </w:rPr>
            </w:pPr>
          </w:p>
        </w:tc>
      </w:tr>
      <w:tr>
        <w:trPr>
          <w:trHeight w:val="370"/>
        </w:trPr>
        <w:tc>
          <w:tcPr>
            <w:tcW w:w="2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480" w:type="dxa"/>
            <w:vAlign w:val="bottom"/>
            <w:tcBorders>
              <w:top w:val="single" w:sz="8" w:color="auto"/>
              <w:bottom w:val="single" w:sz="8" w:color="auto"/>
            </w:tcBorders>
            <w:gridSpan w:val="2"/>
          </w:tcPr>
          <w:p>
            <w:pPr>
              <w:spacing w:after="0"/>
              <w:rPr>
                <w:sz w:val="24"/>
                <w:szCs w:val="24"/>
                <w:color w:val="auto"/>
              </w:rPr>
            </w:pPr>
          </w:p>
        </w:tc>
        <w:tc>
          <w:tcPr>
            <w:tcW w:w="500" w:type="dxa"/>
            <w:vAlign w:val="bottom"/>
            <w:tcBorders>
              <w:top w:val="single" w:sz="8" w:color="auto"/>
            </w:tcBorders>
            <w:gridSpan w:val="2"/>
          </w:tcPr>
          <w:p>
            <w:pPr>
              <w:spacing w:after="0"/>
              <w:rPr>
                <w:sz w:val="24"/>
                <w:szCs w:val="24"/>
                <w:color w:val="auto"/>
              </w:rPr>
            </w:pPr>
          </w:p>
        </w:tc>
        <w:tc>
          <w:tcPr>
            <w:tcW w:w="40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6"/>
        </w:trPr>
        <w:tc>
          <w:tcPr>
            <w:tcW w:w="2960" w:type="dxa"/>
            <w:vAlign w:val="bottom"/>
          </w:tcPr>
          <w:p>
            <w:pPr>
              <w:spacing w:after="0"/>
              <w:rPr>
                <w:sz w:val="20"/>
                <w:szCs w:val="20"/>
                <w:color w:val="auto"/>
              </w:rPr>
            </w:pPr>
          </w:p>
        </w:tc>
        <w:tc>
          <w:tcPr>
            <w:tcW w:w="544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820" w:type="dxa"/>
            <w:vAlign w:val="bottom"/>
          </w:tcPr>
          <w:p>
            <w:pPr>
              <w:spacing w:after="0"/>
              <w:rPr>
                <w:sz w:val="20"/>
                <w:szCs w:val="20"/>
                <w:color w:val="auto"/>
              </w:rPr>
            </w:pPr>
          </w:p>
        </w:tc>
      </w:tr>
    </w:tbl>
    <w:p>
      <w:pPr>
        <w:spacing w:after="0" w:line="170" w:lineRule="exact"/>
        <w:rPr>
          <w:sz w:val="24"/>
          <w:szCs w:val="24"/>
          <w:color w:val="auto"/>
        </w:rPr>
      </w:pPr>
    </w:p>
    <w:p>
      <w:pPr>
        <w:ind w:right="72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6" w:lineRule="exact"/>
        <w:rPr>
          <w:sz w:val="24"/>
          <w:szCs w:val="24"/>
          <w:color w:val="auto"/>
        </w:rPr>
      </w:pPr>
    </w:p>
    <w:p>
      <w:pPr>
        <w:ind w:left="360" w:hanging="335"/>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3" w:lineRule="exact"/>
        <w:rPr>
          <w:rFonts w:ascii="Wingdings" w:cs="Wingdings" w:eastAsia="Wingdings" w:hAnsi="Wingdings"/>
          <w:sz w:val="18"/>
          <w:szCs w:val="18"/>
          <w:b w:val="1"/>
          <w:bCs w:val="1"/>
          <w:color w:val="auto"/>
        </w:rPr>
      </w:pPr>
    </w:p>
    <w:p>
      <w:pPr>
        <w:ind w:left="360" w:hanging="335"/>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3" w:lineRule="exact"/>
        <w:rPr>
          <w:rFonts w:ascii="Wingdings" w:cs="Wingdings" w:eastAsia="Wingdings" w:hAnsi="Wingdings"/>
          <w:sz w:val="18"/>
          <w:szCs w:val="18"/>
          <w:b w:val="1"/>
          <w:bCs w:val="1"/>
          <w:color w:val="auto"/>
        </w:rPr>
      </w:pPr>
    </w:p>
    <w:p>
      <w:pPr>
        <w:ind w:left="360" w:hanging="335"/>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3" w:lineRule="exact"/>
        <w:rPr>
          <w:rFonts w:ascii="Wingdings" w:cs="Wingdings" w:eastAsia="Wingdings" w:hAnsi="Wingdings"/>
          <w:sz w:val="18"/>
          <w:szCs w:val="18"/>
          <w:b w:val="1"/>
          <w:bCs w:val="1"/>
          <w:color w:val="auto"/>
        </w:rPr>
      </w:pPr>
    </w:p>
    <w:p>
      <w:pPr>
        <w:ind w:left="360" w:hanging="335"/>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21"/>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80" w:type="dxa"/>
            <w:vAlign w:val="bottom"/>
          </w:tcPr>
          <w:p>
            <w:pPr>
              <w:spacing w:after="0"/>
              <w:rPr>
                <w:sz w:val="24"/>
                <w:szCs w:val="24"/>
                <w:color w:val="auto"/>
              </w:rPr>
            </w:pPr>
          </w:p>
        </w:tc>
      </w:tr>
      <w:tr>
        <w:trPr>
          <w:trHeight w:val="238"/>
        </w:trPr>
        <w:tc>
          <w:tcPr>
            <w:tcW w:w="4680" w:type="dxa"/>
            <w:vAlign w:val="bottom"/>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r>
      <w:tr>
        <w:trPr>
          <w:trHeight w:val="236"/>
        </w:trPr>
        <w:tc>
          <w:tcPr>
            <w:tcW w:w="46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880" w:type="dxa"/>
            <w:vAlign w:val="bottom"/>
            <w:gridSpan w:val="2"/>
            <w:shd w:val="clear" w:color="auto" w:fill="CFF0FC"/>
          </w:tcPr>
          <w:p>
            <w:pPr>
              <w:jc w:val="center"/>
              <w:ind w:right="1020"/>
              <w:spacing w:after="0"/>
              <w:rPr>
                <w:sz w:val="20"/>
                <w:szCs w:val="20"/>
                <w:color w:val="auto"/>
              </w:rPr>
            </w:pPr>
            <w:r>
              <w:rPr>
                <w:rFonts w:ascii="Times New Roman" w:cs="Times New Roman" w:eastAsia="Times New Roman" w:hAnsi="Times New Roman"/>
                <w:sz w:val="18"/>
                <w:szCs w:val="18"/>
                <w:color w:val="auto"/>
                <w:w w:val="95"/>
              </w:rPr>
              <w:t>OPRX</w:t>
            </w:r>
          </w:p>
        </w:tc>
        <w:tc>
          <w:tcPr>
            <w:tcW w:w="3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r>
        <w:trPr>
          <w:trHeight w:val="27"/>
        </w:trPr>
        <w:tc>
          <w:tcPr>
            <w:tcW w:w="36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27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680" w:type="dxa"/>
            <w:vAlign w:val="bottom"/>
            <w:shd w:val="clear" w:color="auto" w:fill="CFF0FC"/>
          </w:tcPr>
          <w:p>
            <w:pPr>
              <w:spacing w:after="0"/>
              <w:rPr>
                <w:sz w:val="2"/>
                <w:szCs w:val="2"/>
                <w:color w:val="auto"/>
              </w:rPr>
            </w:pPr>
          </w:p>
        </w:tc>
      </w:tr>
    </w:tbl>
    <w:p>
      <w:pPr>
        <w:spacing w:after="0" w:line="251" w:lineRule="exact"/>
        <w:rPr>
          <w:sz w:val="24"/>
          <w:szCs w:val="24"/>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ind w:left="908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o</w:t>
      </w:r>
    </w:p>
    <w:p>
      <w:pPr>
        <w:spacing w:after="0" w:line="19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708660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On August 7, 2025, OptimizeRx Corporation issued a press release announcing its financial results for the second quarter ended June 30, 2025. A copy of the press release is furnished with this Current Report on Form 8-K as Exhibit 99.1 and is incorporated herein by reference.</w:t>
      </w:r>
    </w:p>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80" w:type="dxa"/>
            <w:vAlign w:val="bottom"/>
          </w:tcPr>
          <w:p>
            <w:pPr>
              <w:spacing w:after="0"/>
              <w:rPr>
                <w:sz w:val="18"/>
                <w:szCs w:val="18"/>
                <w:color w:val="auto"/>
              </w:rPr>
            </w:pPr>
          </w:p>
        </w:tc>
      </w:tr>
      <w:tr>
        <w:trPr>
          <w:trHeight w:val="234"/>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9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r>
      <w:tr>
        <w:trPr>
          <w:trHeight w:val="195"/>
        </w:trPr>
        <w:tc>
          <w:tcPr>
            <w:tcW w:w="1700" w:type="dxa"/>
            <w:vAlign w:val="bottom"/>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FF0FC"/>
          </w:tcPr>
          <w:p>
            <w:pPr>
              <w:spacing w:after="0"/>
              <w:rPr>
                <w:sz w:val="16"/>
                <w:szCs w:val="16"/>
                <w:color w:val="auto"/>
              </w:rPr>
            </w:pPr>
          </w:p>
        </w:tc>
        <w:tc>
          <w:tcPr>
            <w:tcW w:w="9440" w:type="dxa"/>
            <w:vAlign w:val="bottom"/>
            <w:gridSpan w:val="3"/>
            <w:shd w:val="clear" w:color="auto" w:fill="CFF0FC"/>
          </w:tcPr>
          <w:p>
            <w:pPr>
              <w:ind w:left="20"/>
              <w:spacing w:after="0" w:line="195" w:lineRule="exact"/>
              <w:rPr>
                <w:sz w:val="20"/>
                <w:szCs w:val="20"/>
                <w:color w:val="auto"/>
              </w:rPr>
            </w:pPr>
            <w:r>
              <w:rPr>
                <w:rFonts w:ascii="Times New Roman" w:cs="Times New Roman" w:eastAsia="Times New Roman" w:hAnsi="Times New Roman"/>
                <w:sz w:val="18"/>
                <w:szCs w:val="18"/>
                <w:color w:val="551A8B"/>
              </w:rPr>
              <w:t>Press release, dated August 7, 2025</w:t>
            </w:r>
          </w:p>
        </w:tc>
      </w:tr>
      <w:tr>
        <w:trPr>
          <w:trHeight w:val="47"/>
        </w:trPr>
        <w:tc>
          <w:tcPr>
            <w:tcW w:w="170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540" w:type="dxa"/>
            <w:vAlign w:val="bottom"/>
            <w:tcBorders>
              <w:top w:val="single" w:sz="8" w:color="551A8B"/>
            </w:tcBorders>
            <w:shd w:val="clear" w:color="auto" w:fill="CFF0FC"/>
          </w:tcPr>
          <w:p>
            <w:pPr>
              <w:spacing w:after="0"/>
              <w:rPr>
                <w:sz w:val="4"/>
                <w:szCs w:val="4"/>
                <w:color w:val="auto"/>
              </w:rPr>
            </w:pPr>
          </w:p>
        </w:tc>
        <w:tc>
          <w:tcPr>
            <w:tcW w:w="6880" w:type="dxa"/>
            <w:vAlign w:val="bottom"/>
            <w:tcBorders>
              <w:top w:val="single" w:sz="8" w:color="CFF0FC"/>
            </w:tcBorders>
            <w:shd w:val="clear" w:color="auto" w:fill="CFF0FC"/>
          </w:tcPr>
          <w:p>
            <w:pPr>
              <w:spacing w:after="0"/>
              <w:rPr>
                <w:sz w:val="4"/>
                <w:szCs w:val="4"/>
                <w:color w:val="auto"/>
              </w:rPr>
            </w:pPr>
          </w:p>
        </w:tc>
      </w:tr>
      <w:tr>
        <w:trPr>
          <w:trHeight w:val="242"/>
        </w:trPr>
        <w:tc>
          <w:tcPr>
            <w:tcW w:w="1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9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28"/>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3"/>
          </w:tcPr>
          <w:p>
            <w:pPr>
              <w:jc w:val="right"/>
              <w:ind w:right="5580"/>
              <w:spacing w:after="0"/>
              <w:rPr>
                <w:sz w:val="20"/>
                <w:szCs w:val="20"/>
                <w:color w:val="auto"/>
              </w:rPr>
            </w:pPr>
            <w:r>
              <w:rPr>
                <w:rFonts w:ascii="Times New Roman" w:cs="Times New Roman" w:eastAsia="Times New Roman" w:hAnsi="Times New Roman"/>
                <w:sz w:val="18"/>
                <w:szCs w:val="18"/>
                <w:color w:val="auto"/>
              </w:rPr>
              <w:t>1</w:t>
            </w:r>
          </w:p>
        </w:tc>
      </w:tr>
      <w:tr>
        <w:trPr>
          <w:trHeight w:val="114"/>
        </w:trPr>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6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1"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960" w:type="dxa"/>
            <w:vAlign w:val="bottom"/>
            <w:gridSpan w:val="3"/>
          </w:tcPr>
          <w:p>
            <w:pPr>
              <w:ind w:left="17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8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7, 2025</w:t>
            </w:r>
          </w:p>
        </w:tc>
        <w:tc>
          <w:tcPr>
            <w:tcW w:w="7960" w:type="dxa"/>
            <w:vAlign w:val="bottom"/>
            <w:gridSpan w:val="3"/>
          </w:tcPr>
          <w:p>
            <w:pPr>
              <w:ind w:left="1720"/>
              <w:spacing w:after="0"/>
              <w:rPr>
                <w:sz w:val="20"/>
                <w:szCs w:val="20"/>
                <w:color w:val="auto"/>
              </w:rPr>
            </w:pPr>
            <w:r>
              <w:rPr>
                <w:rFonts w:ascii="Times New Roman" w:cs="Times New Roman" w:eastAsia="Times New Roman" w:hAnsi="Times New Roman"/>
                <w:sz w:val="18"/>
                <w:szCs w:val="18"/>
                <w:color w:val="auto"/>
              </w:rPr>
              <w:t>By:  /s/ Edward Stelmakh</w:t>
            </w:r>
          </w:p>
        </w:tc>
      </w:tr>
      <w:tr>
        <w:trPr>
          <w:trHeight w:val="217"/>
        </w:trPr>
        <w:tc>
          <w:tcPr>
            <w:tcW w:w="32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1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Edward Stelmakh</w:t>
            </w:r>
          </w:p>
        </w:tc>
      </w:tr>
      <w:tr>
        <w:trPr>
          <w:trHeight w:val="180"/>
        </w:trPr>
        <w:tc>
          <w:tcPr>
            <w:tcW w:w="32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180" w:type="dxa"/>
            <w:vAlign w:val="bottom"/>
          </w:tcPr>
          <w:p>
            <w:pPr>
              <w:ind w:left="140"/>
              <w:spacing w:after="0" w:line="180" w:lineRule="exact"/>
              <w:rPr>
                <w:sz w:val="20"/>
                <w:szCs w:val="20"/>
                <w:color w:val="auto"/>
              </w:rPr>
            </w:pPr>
            <w:r>
              <w:rPr>
                <w:rFonts w:ascii="Times New Roman" w:cs="Times New Roman" w:eastAsia="Times New Roman" w:hAnsi="Times New Roman"/>
                <w:sz w:val="18"/>
                <w:szCs w:val="18"/>
                <w:color w:val="auto"/>
              </w:rPr>
              <w:t>Chief Financial Officer and</w:t>
            </w:r>
          </w:p>
        </w:tc>
      </w:tr>
      <w:tr>
        <w:trPr>
          <w:trHeight w:val="242"/>
        </w:trPr>
        <w:tc>
          <w:tcPr>
            <w:tcW w:w="32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Operations Officer</w:t>
            </w:r>
          </w:p>
        </w:tc>
      </w:tr>
      <w:tr>
        <w:trPr>
          <w:trHeight w:val="901"/>
        </w:trPr>
        <w:tc>
          <w:tcPr>
            <w:tcW w:w="3260" w:type="dxa"/>
            <w:vAlign w:val="bottom"/>
          </w:tcPr>
          <w:p>
            <w:pPr>
              <w:spacing w:after="0"/>
              <w:rPr>
                <w:sz w:val="24"/>
                <w:szCs w:val="24"/>
                <w:color w:val="auto"/>
              </w:rPr>
            </w:pPr>
          </w:p>
        </w:tc>
        <w:tc>
          <w:tcPr>
            <w:tcW w:w="27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2</w:t>
            </w:r>
          </w:p>
        </w:tc>
        <w:tc>
          <w:tcPr>
            <w:tcW w:w="5180" w:type="dxa"/>
            <w:vAlign w:val="bottom"/>
          </w:tcPr>
          <w:p>
            <w:pPr>
              <w:spacing w:after="0"/>
              <w:rPr>
                <w:sz w:val="24"/>
                <w:szCs w:val="24"/>
                <w:color w:val="auto"/>
              </w:rPr>
            </w:pPr>
          </w:p>
        </w:tc>
      </w:tr>
    </w:tbl>
    <w:p>
      <w:pPr>
        <w:sectPr>
          <w:pgSz w:w="11900" w:h="16838" w:orient="portrait"/>
          <w:cols w:equalWidth="0" w:num="1">
            <w:col w:w="11240"/>
          </w:cols>
          <w:pgMar w:left="320" w:top="1099"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2676525</wp:posOffset>
            </wp:positionH>
            <wp:positionV relativeFrom="page">
              <wp:posOffset>840740</wp:posOffset>
            </wp:positionV>
            <wp:extent cx="2204085" cy="427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04085" cy="427355"/>
                    </a:xfrm>
                    <a:prstGeom prst="rect">
                      <a:avLst/>
                    </a:prstGeom>
                    <a:noFill/>
                  </pic:spPr>
                </pic:pic>
              </a:graphicData>
            </a:graphic>
          </wp:anchor>
        </w:drawing>
      </w:r>
    </w:p>
    <w:p>
      <w:pPr>
        <w:spacing w:after="0" w:line="386" w:lineRule="exact"/>
        <w:rPr>
          <w:sz w:val="20"/>
          <w:szCs w:val="20"/>
          <w:color w:val="auto"/>
        </w:rPr>
      </w:pPr>
    </w:p>
    <w:p>
      <w:pPr>
        <w:jc w:val="center"/>
        <w:spacing w:after="0" w:line="238" w:lineRule="auto"/>
        <w:rPr>
          <w:sz w:val="20"/>
          <w:szCs w:val="20"/>
          <w:color w:val="auto"/>
        </w:rPr>
      </w:pPr>
      <w:r>
        <w:rPr>
          <w:rFonts w:ascii="Times New Roman" w:cs="Times New Roman" w:eastAsia="Times New Roman" w:hAnsi="Times New Roman"/>
          <w:sz w:val="29"/>
          <w:szCs w:val="29"/>
          <w:b w:val="1"/>
          <w:bCs w:val="1"/>
          <w:color w:val="auto"/>
        </w:rPr>
        <w:t>OptimizeRx Reports Second Quarter 2025 Financial Results and Updates Fiscal Year 2025 Guidance</w:t>
      </w:r>
    </w:p>
    <w:p>
      <w:pPr>
        <w:spacing w:after="0" w:line="187" w:lineRule="exact"/>
        <w:rPr>
          <w:sz w:val="20"/>
          <w:szCs w:val="20"/>
          <w:color w:val="auto"/>
        </w:rPr>
      </w:pPr>
    </w:p>
    <w:p>
      <w:pPr>
        <w:ind w:left="3480" w:hanging="309"/>
        <w:spacing w:after="0"/>
        <w:tabs>
          <w:tab w:leader="none" w:pos="3480" w:val="left"/>
        </w:tabs>
        <w:numPr>
          <w:ilvl w:val="3"/>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Q2 revenue of $29.2 million, increased 55% year-over-year</w:t>
      </w:r>
    </w:p>
    <w:p>
      <w:pPr>
        <w:spacing w:after="0" w:line="10" w:lineRule="exact"/>
        <w:rPr>
          <w:rFonts w:ascii="Times New Roman" w:cs="Times New Roman" w:eastAsia="Times New Roman" w:hAnsi="Times New Roman"/>
          <w:sz w:val="22"/>
          <w:szCs w:val="22"/>
          <w:color w:val="auto"/>
        </w:rPr>
      </w:pPr>
    </w:p>
    <w:p>
      <w:pPr>
        <w:ind w:left="3380" w:hanging="229"/>
        <w:spacing w:after="0"/>
        <w:tabs>
          <w:tab w:leader="none" w:pos="33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Q2 gross profit increased 59% year-over-year to $18.6 million</w:t>
      </w:r>
    </w:p>
    <w:p>
      <w:pPr>
        <w:spacing w:after="0" w:line="11" w:lineRule="exact"/>
        <w:rPr>
          <w:rFonts w:ascii="Times New Roman" w:cs="Times New Roman" w:eastAsia="Times New Roman" w:hAnsi="Times New Roman"/>
          <w:sz w:val="18"/>
          <w:szCs w:val="18"/>
          <w:color w:val="auto"/>
        </w:rPr>
      </w:pPr>
    </w:p>
    <w:p>
      <w:pPr>
        <w:ind w:left="3040" w:hanging="239"/>
        <w:spacing w:after="0"/>
        <w:tabs>
          <w:tab w:leader="none" w:pos="30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$4.5 million of principal on outstanding term loan during Q2</w:t>
      </w:r>
    </w:p>
    <w:p>
      <w:pPr>
        <w:spacing w:after="0" w:line="8" w:lineRule="exact"/>
        <w:rPr>
          <w:rFonts w:ascii="Times New Roman" w:cs="Times New Roman" w:eastAsia="Times New Roman" w:hAnsi="Times New Roman"/>
          <w:sz w:val="18"/>
          <w:szCs w:val="18"/>
          <w:color w:val="auto"/>
        </w:rPr>
      </w:pPr>
    </w:p>
    <w:p>
      <w:pPr>
        <w:ind w:left="260" w:hanging="234"/>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full year 2025 guidance to a revenue range between $104 million and $108 million and adjusted EBITDA range between $14.5 million and</w:t>
      </w:r>
    </w:p>
    <w:p>
      <w:pPr>
        <w:spacing w:after="0" w:line="8" w:lineRule="exact"/>
        <w:rPr>
          <w:rFonts w:ascii="Times New Roman" w:cs="Times New Roman" w:eastAsia="Times New Roman" w:hAnsi="Times New Roman"/>
          <w:sz w:val="18"/>
          <w:szCs w:val="18"/>
          <w:color w:val="auto"/>
        </w:rPr>
      </w:pPr>
    </w:p>
    <w:p>
      <w:pPr>
        <w:ind w:left="5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million</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WALTHAM, Mass. – August 7, 2025 – </w:t>
      </w:r>
      <w:r>
        <w:rPr>
          <w:rFonts w:ascii="Times New Roman" w:cs="Times New Roman" w:eastAsia="Times New Roman" w:hAnsi="Times New Roman"/>
          <w:sz w:val="18"/>
          <w:szCs w:val="18"/>
          <w:color w:val="auto"/>
        </w:rPr>
        <w:t>OptimizeRx Corp. (the “Company”) (Nasdaq: OPRX), a leading provider of healthcare technology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helping life sciences companies reach and engage healthcare professionals (HCPs) and patients, today reported results for the three months ended June 30, 2025. Quarterly comparisons are to the same year-ago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31" w:lineRule="exact"/>
        <w:rPr>
          <w:sz w:val="20"/>
          <w:szCs w:val="20"/>
          <w:color w:val="auto"/>
        </w:rPr>
      </w:pPr>
    </w:p>
    <w:p>
      <w:pPr>
        <w:ind w:left="320" w:hanging="23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second quarter of 2025 increased 55% to $29.2 million, as compared to $18.8 million in the same year ago period</w:t>
      </w:r>
    </w:p>
    <w:p>
      <w:pPr>
        <w:spacing w:after="0" w:line="8" w:lineRule="exact"/>
        <w:rPr>
          <w:rFonts w:ascii="Times New Roman" w:cs="Times New Roman" w:eastAsia="Times New Roman" w:hAnsi="Times New Roman"/>
          <w:sz w:val="18"/>
          <w:szCs w:val="18"/>
          <w:color w:val="auto"/>
        </w:rPr>
      </w:pPr>
    </w:p>
    <w:p>
      <w:pPr>
        <w:ind w:left="320" w:hanging="23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second quarter of 2025 increased 59% year-over-year to $18.6 million, from $11.7 million during the second quarter of 2024</w:t>
      </w:r>
    </w:p>
    <w:p>
      <w:pPr>
        <w:spacing w:after="0" w:line="8" w:lineRule="exact"/>
        <w:rPr>
          <w:rFonts w:ascii="Times New Roman" w:cs="Times New Roman" w:eastAsia="Times New Roman" w:hAnsi="Times New Roman"/>
          <w:sz w:val="18"/>
          <w:szCs w:val="18"/>
          <w:color w:val="auto"/>
        </w:rPr>
      </w:pPr>
    </w:p>
    <w:p>
      <w:pPr>
        <w:ind w:left="340" w:right="20" w:hanging="252"/>
        <w:spacing w:after="0" w:line="24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income totaled $1.5 million or $0.08 per basic and diluted share in the second quarter of 2025, as compared to GAAP net loss of $(4.0) million or $(0.22) per basic and diluted share during the second quarter of 2024</w:t>
      </w:r>
    </w:p>
    <w:p>
      <w:pPr>
        <w:ind w:left="340" w:hanging="252"/>
        <w:spacing w:after="0" w:line="24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in the second quarter totaled $4.5 million, or $0.24 per diluted share, as compared to non-GAAP net income of $0.3 million or $0.02 per diluted share during the second quarter of 2024 (see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below)</w:t>
      </w:r>
    </w:p>
    <w:p>
      <w:pPr>
        <w:ind w:left="340" w:hanging="252"/>
        <w:spacing w:after="0" w:line="249"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second quarter of 2025 increased to $5.8 million compared to $0.5 million in the same year ago period (see *</w:t>
      </w:r>
      <w:r>
        <w:rPr>
          <w:rFonts w:ascii="Times New Roman" w:cs="Times New Roman" w:eastAsia="Times New Roman" w:hAnsi="Times New Roman"/>
          <w:sz w:val="18"/>
          <w:szCs w:val="18"/>
          <w:i w:val="1"/>
          <w:iCs w:val="1"/>
          <w:color w:val="auto"/>
        </w:rPr>
        <w:t>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Measures </w:t>
      </w:r>
      <w:r>
        <w:rPr>
          <w:rFonts w:ascii="Times New Roman" w:cs="Times New Roman" w:eastAsia="Times New Roman" w:hAnsi="Times New Roman"/>
          <w:sz w:val="18"/>
          <w:szCs w:val="18"/>
          <w:color w:val="auto"/>
        </w:rPr>
        <w:t>below)</w:t>
      </w:r>
    </w:p>
    <w:p>
      <w:pPr>
        <w:ind w:left="320" w:hanging="232"/>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and short-term investments totaled $16.6 million as of June 30, 2025, as compared to $13.4 million as of December 31, 2024</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Stephen L. Silvestro, OptimizeRx CEO commented, “Our year-to-date results continue to deliver profitable growth ahead of expectations. Contracted revenue is now up more than 30% year-over-year, positioning us for a strong finish to the second half. We believe this momentum is a direct result of our disciplined focus on operational excellence, our relentless commitment to delivering exceptional customer experiences, our utilization of a market-leading patient finding AI technology, and our deepening partnerships across the ecosystem—all of which are contributing to meaningful, long-term shareholder value.</w:t>
      </w:r>
    </w:p>
    <w:p>
      <w:pPr>
        <w:spacing w:after="0" w:line="1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“As our second quarter results clearly highlight, we are well on our way to becoming a Rule of 40 company. Given our strong performance and positive outlook, I’m pleased to announce that we are raising our full-year guidance.</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“Finally, I'm proud to say we paid down $4.5 million of principal on our outstanding term loan during the second quarter which was $4.0 million above our debt payment schedule. At this time, given the free cash flow we’re seeing being generated in our business, we intend on paying down our debt at an accelerated rate.”</w:t>
      </w:r>
    </w:p>
    <w:p>
      <w:pPr>
        <w:sectPr>
          <w:pgSz w:w="11900" w:h="16838" w:orient="portrait"/>
          <w:cols w:equalWidth="0" w:num="1">
            <w:col w:w="11240"/>
          </w:cols>
          <w:pgMar w:left="320" w:top="144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40" w:type="dxa"/>
            <w:vAlign w:val="bottom"/>
            <w:gridSpan w:val="4"/>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Rolling Twelve Months Ended</w:t>
            </w:r>
          </w:p>
        </w:tc>
        <w:tc>
          <w:tcPr>
            <w:tcW w:w="0" w:type="dxa"/>
            <w:vAlign w:val="bottom"/>
          </w:tcPr>
          <w:p>
            <w:pPr>
              <w:spacing w:after="0"/>
              <w:rPr>
                <w:sz w:val="1"/>
                <w:szCs w:val="1"/>
                <w:color w:val="auto"/>
              </w:rPr>
            </w:pPr>
          </w:p>
        </w:tc>
      </w:tr>
      <w:tr>
        <w:trPr>
          <w:trHeight w:val="242"/>
        </w:trPr>
        <w:tc>
          <w:tcPr>
            <w:tcW w:w="6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56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tc>
        <w:tc>
          <w:tcPr>
            <w:tcW w:w="600" w:type="dxa"/>
            <w:vAlign w:val="bottom"/>
          </w:tcPr>
          <w:p>
            <w:pPr>
              <w:spacing w:after="0"/>
              <w:rPr>
                <w:sz w:val="2"/>
                <w:szCs w:val="2"/>
                <w:color w:val="auto"/>
              </w:rPr>
            </w:pPr>
          </w:p>
        </w:tc>
        <w:tc>
          <w:tcPr>
            <w:tcW w:w="192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680" w:type="dxa"/>
            <w:vAlign w:val="bottom"/>
            <w:vMerge w:val="restart"/>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6400" w:type="dxa"/>
            <w:vAlign w:val="bottom"/>
            <w:vMerge w:val="continue"/>
          </w:tcPr>
          <w:p>
            <w:pPr>
              <w:spacing w:after="0"/>
              <w:rPr>
                <w:sz w:val="20"/>
                <w:szCs w:val="20"/>
                <w:color w:val="auto"/>
              </w:rPr>
            </w:pPr>
          </w:p>
        </w:tc>
        <w:tc>
          <w:tcPr>
            <w:tcW w:w="600" w:type="dxa"/>
            <w:vAlign w:val="bottom"/>
          </w:tcPr>
          <w:p>
            <w:pPr>
              <w:spacing w:after="0"/>
              <w:rPr>
                <w:sz w:val="20"/>
                <w:szCs w:val="20"/>
                <w:color w:val="auto"/>
              </w:rPr>
            </w:pPr>
          </w:p>
        </w:tc>
        <w:tc>
          <w:tcPr>
            <w:tcW w:w="1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64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24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4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240" w:type="dxa"/>
            <w:vAlign w:val="bottom"/>
            <w:gridSpan w:val="4"/>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(in thousands, except percentages)</w:t>
            </w:r>
          </w:p>
        </w:tc>
        <w:tc>
          <w:tcPr>
            <w:tcW w:w="0" w:type="dxa"/>
            <w:vAlign w:val="bottom"/>
          </w:tcPr>
          <w:p>
            <w:pPr>
              <w:spacing w:after="0"/>
              <w:rPr>
                <w:sz w:val="1"/>
                <w:szCs w:val="1"/>
                <w:color w:val="auto"/>
              </w:rPr>
            </w:pPr>
          </w:p>
        </w:tc>
      </w:tr>
      <w:tr>
        <w:trPr>
          <w:trHeight w:val="40"/>
        </w:trPr>
        <w:tc>
          <w:tcPr>
            <w:tcW w:w="6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revenue per top 20 pharmaceutical manufacturer</w:t>
            </w: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3,082</w:t>
            </w:r>
          </w:p>
        </w:tc>
        <w:tc>
          <w:tcPr>
            <w:tcW w:w="64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2,753</w:t>
            </w:r>
          </w:p>
        </w:tc>
        <w:tc>
          <w:tcPr>
            <w:tcW w:w="0" w:type="dxa"/>
            <w:vAlign w:val="bottom"/>
          </w:tcPr>
          <w:p>
            <w:pPr>
              <w:spacing w:after="0"/>
              <w:rPr>
                <w:sz w:val="1"/>
                <w:szCs w:val="1"/>
                <w:color w:val="auto"/>
              </w:rPr>
            </w:pPr>
          </w:p>
        </w:tc>
      </w:tr>
      <w:tr>
        <w:trPr>
          <w:trHeight w:val="25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60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40"/>
        </w:trPr>
        <w:tc>
          <w:tcPr>
            <w:tcW w:w="6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retention</w:t>
            </w:r>
          </w:p>
        </w:tc>
        <w:tc>
          <w:tcPr>
            <w:tcW w:w="60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56"/>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per average full-time employee</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767</w:t>
            </w:r>
          </w:p>
        </w:tc>
        <w:tc>
          <w:tcPr>
            <w:tcW w:w="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bl>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Financial Outlook</w:t>
      </w:r>
    </w:p>
    <w:p>
      <w:pPr>
        <w:spacing w:after="0" w:line="24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8"/>
          <w:szCs w:val="18"/>
          <w:color w:val="auto"/>
        </w:rPr>
        <w:t>The Company is increasing its 2025 guidance and expects revenue to be between $104 million and $108 million with Adjusted EBITDA to be between $14.5 million and $17.5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8840" w:type="dxa"/>
            <w:vAlign w:val="bottom"/>
            <w:gridSpan w:val="2"/>
          </w:tcPr>
          <w:p>
            <w:pPr>
              <w:jc w:val="center"/>
              <w:ind w:right="6670"/>
              <w:spacing w:after="0"/>
              <w:rPr>
                <w:sz w:val="20"/>
                <w:szCs w:val="20"/>
                <w:color w:val="auto"/>
              </w:rPr>
            </w:pPr>
            <w:r>
              <w:rPr>
                <w:rFonts w:ascii="Times New Roman" w:cs="Times New Roman" w:eastAsia="Times New Roman" w:hAnsi="Times New Roman"/>
                <w:sz w:val="18"/>
                <w:szCs w:val="18"/>
                <w:color w:val="auto"/>
                <w:w w:val="98"/>
              </w:rPr>
              <w:t>Thursday, August 7, 2025</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Time:</w:t>
            </w:r>
          </w:p>
        </w:tc>
        <w:tc>
          <w:tcPr>
            <w:tcW w:w="8840" w:type="dxa"/>
            <w:vAlign w:val="bottom"/>
            <w:gridSpan w:val="2"/>
          </w:tcPr>
          <w:p>
            <w:pPr>
              <w:jc w:val="right"/>
              <w:ind w:right="5110"/>
              <w:spacing w:after="0"/>
              <w:rPr>
                <w:sz w:val="20"/>
                <w:szCs w:val="20"/>
                <w:color w:val="auto"/>
              </w:rPr>
            </w:pPr>
            <w:r>
              <w:rPr>
                <w:rFonts w:ascii="Times New Roman" w:cs="Times New Roman" w:eastAsia="Times New Roman" w:hAnsi="Times New Roman"/>
                <w:sz w:val="18"/>
                <w:szCs w:val="18"/>
                <w:color w:val="auto"/>
              </w:rPr>
              <w:t>4:30 p.m. Eastern Time (1:30 p.m. Pacific Time)</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Toll Free:</w:t>
            </w:r>
          </w:p>
        </w:tc>
        <w:tc>
          <w:tcPr>
            <w:tcW w:w="8840" w:type="dxa"/>
            <w:vAlign w:val="bottom"/>
            <w:gridSpan w:val="2"/>
          </w:tcPr>
          <w:p>
            <w:pPr>
              <w:jc w:val="right"/>
              <w:ind w:right="7330"/>
              <w:spacing w:after="0"/>
              <w:rPr>
                <w:sz w:val="20"/>
                <w:szCs w:val="20"/>
                <w:color w:val="auto"/>
              </w:rPr>
            </w:pPr>
            <w:r>
              <w:rPr>
                <w:rFonts w:ascii="Times New Roman" w:cs="Times New Roman" w:eastAsia="Times New Roman" w:hAnsi="Times New Roman"/>
                <w:sz w:val="18"/>
                <w:szCs w:val="18"/>
                <w:color w:val="auto"/>
              </w:rPr>
              <w:t>1-844-825-9789</w:t>
            </w:r>
          </w:p>
        </w:tc>
      </w:tr>
      <w:tr>
        <w:trPr>
          <w:trHeight w:val="215"/>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340" w:type="dxa"/>
            <w:vAlign w:val="bottom"/>
          </w:tcPr>
          <w:p>
            <w:pPr>
              <w:jc w:val="right"/>
              <w:ind w:right="7070"/>
              <w:spacing w:after="0"/>
              <w:rPr>
                <w:sz w:val="20"/>
                <w:szCs w:val="20"/>
                <w:color w:val="auto"/>
              </w:rPr>
            </w:pPr>
            <w:r>
              <w:rPr>
                <w:rFonts w:ascii="Times New Roman" w:cs="Times New Roman" w:eastAsia="Times New Roman" w:hAnsi="Times New Roman"/>
                <w:sz w:val="18"/>
                <w:szCs w:val="18"/>
                <w:color w:val="auto"/>
                <w:w w:val="99"/>
              </w:rPr>
              <w:t>1-412-317-5180</w:t>
            </w:r>
          </w:p>
        </w:tc>
      </w:tr>
      <w:tr>
        <w:trPr>
          <w:trHeight w:val="198"/>
        </w:trPr>
        <w:tc>
          <w:tcPr>
            <w:tcW w:w="1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Conference ID:</w:t>
            </w:r>
          </w:p>
        </w:tc>
        <w:tc>
          <w:tcPr>
            <w:tcW w:w="8340" w:type="dxa"/>
            <w:vAlign w:val="bottom"/>
          </w:tcPr>
          <w:p>
            <w:pPr>
              <w:jc w:val="right"/>
              <w:ind w:right="7370"/>
              <w:spacing w:after="0" w:line="198" w:lineRule="exact"/>
              <w:rPr>
                <w:sz w:val="20"/>
                <w:szCs w:val="20"/>
                <w:color w:val="auto"/>
              </w:rPr>
            </w:pPr>
            <w:r>
              <w:rPr>
                <w:rFonts w:ascii="Times New Roman" w:cs="Times New Roman" w:eastAsia="Times New Roman" w:hAnsi="Times New Roman"/>
                <w:sz w:val="18"/>
                <w:szCs w:val="18"/>
                <w:color w:val="auto"/>
              </w:rPr>
              <w:t>10200608</w:t>
            </w:r>
          </w:p>
        </w:tc>
      </w:tr>
      <w:tr>
        <w:trPr>
          <w:trHeight w:val="188"/>
        </w:trPr>
        <w:tc>
          <w:tcPr>
            <w:tcW w:w="82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Call Me</w:t>
            </w:r>
            <w:r>
              <w:rPr>
                <w:rFonts w:ascii="Times New Roman" w:cs="Times New Roman" w:eastAsia="Times New Roman" w:hAnsi="Times New Roman"/>
                <w:sz w:val="18"/>
                <w:szCs w:val="18"/>
                <w:color w:val="auto"/>
              </w:rPr>
              <w:t>:</w:t>
            </w:r>
          </w:p>
        </w:tc>
        <w:tc>
          <w:tcPr>
            <w:tcW w:w="88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https://callme.viavid.com/?$Y2FsbG1lPXRydWUmcGFzc2NvZGU9JmluZm89Y29tcGFueSZyPXRydWUmYj0xNg==</w:t>
            </w:r>
          </w:p>
        </w:tc>
      </w:tr>
      <w:tr>
        <w:trPr>
          <w:trHeight w:val="215"/>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Webcast</w:t>
            </w:r>
            <w:r>
              <w:rPr>
                <w:rFonts w:ascii="Times New Roman" w:cs="Times New Roman" w:eastAsia="Times New Roman" w:hAnsi="Times New Roman"/>
                <w:sz w:val="18"/>
                <w:szCs w:val="18"/>
                <w:color w:val="auto"/>
              </w:rPr>
              <w:t>:</w:t>
            </w:r>
          </w:p>
        </w:tc>
        <w:tc>
          <w:tcPr>
            <w:tcW w:w="8840" w:type="dxa"/>
            <w:vAlign w:val="bottom"/>
            <w:gridSpan w:val="2"/>
          </w:tcPr>
          <w:p>
            <w:pPr>
              <w:jc w:val="right"/>
              <w:ind w:right="3010"/>
              <w:spacing w:after="0"/>
              <w:rPr>
                <w:sz w:val="20"/>
                <w:szCs w:val="20"/>
                <w:color w:val="auto"/>
              </w:rPr>
            </w:pPr>
            <w:r>
              <w:rPr>
                <w:rFonts w:ascii="Times New Roman" w:cs="Times New Roman" w:eastAsia="Times New Roman" w:hAnsi="Times New Roman"/>
                <w:sz w:val="18"/>
                <w:szCs w:val="18"/>
                <w:color w:val="auto"/>
              </w:rPr>
              <w:t>https://viavid.webcasts.com/starthere.jsp?ei=1724635&amp;tp_key=65e098620c</w:t>
            </w:r>
          </w:p>
        </w:tc>
      </w:tr>
      <w:tr>
        <w:trPr>
          <w:trHeight w:val="215"/>
        </w:trPr>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Call Me Passcode</w:t>
            </w:r>
            <w:r>
              <w:rPr>
                <w:rFonts w:ascii="Times New Roman" w:cs="Times New Roman" w:eastAsia="Times New Roman" w:hAnsi="Times New Roman"/>
                <w:sz w:val="18"/>
                <w:szCs w:val="18"/>
                <w:color w:val="auto"/>
              </w:rPr>
              <w:t>:   6438012</w:t>
            </w:r>
          </w:p>
        </w:tc>
      </w:tr>
      <w:tr>
        <w:trPr>
          <w:trHeight w:val="238"/>
        </w:trPr>
        <w:tc>
          <w:tcPr>
            <w:tcW w:w="1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Webcast Replay:</w:t>
            </w:r>
          </w:p>
        </w:tc>
        <w:tc>
          <w:tcPr>
            <w:tcW w:w="8340" w:type="dxa"/>
            <w:vAlign w:val="bottom"/>
          </w:tcPr>
          <w:p>
            <w:pPr>
              <w:jc w:val="right"/>
              <w:ind w:right="1610"/>
              <w:spacing w:after="0"/>
              <w:rPr>
                <w:sz w:val="20"/>
                <w:szCs w:val="20"/>
                <w:color w:val="auto"/>
              </w:rPr>
            </w:pPr>
            <w:r>
              <w:rPr>
                <w:rFonts w:ascii="Times New Roman" w:cs="Times New Roman" w:eastAsia="Times New Roman" w:hAnsi="Times New Roman"/>
                <w:sz w:val="18"/>
                <w:szCs w:val="18"/>
                <w:color w:val="auto"/>
              </w:rPr>
              <w:t>The archived webcast will be on the investor relations section of the OptimizeRx website.</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Meeting Invitation</w:t>
      </w:r>
    </w:p>
    <w:p>
      <w:pPr>
        <w:spacing w:after="0" w:line="2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an effort to increase relations with institutional investors, OptimizeRx management has dedicated time to hosting individual meetings with portfolio managers and analysts. If you are interested in scheduling a meeting with OptimizeRx management, please contact: adsilva@optimizerx.com or shalper@lifesciadvisors.com.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addition to the financial measures prepared in accordance with generally accepted accounting principles (GAAP), this earnings release also contains non-GAAP financial measures. The reasons why we believe these measures provide useful information to investors and, for historical periods, a reconciliation of these measures to the most directly comparable GAAP measures are included in the supplemental tables that follow.</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the Company provides guidance for Adjusted EBITDA, a non-GAAP financial measure, it is not able to provide guidance to the most directly comparable GAAP measure. Reconciliations for forward-looking figures would require unreasonable effort at this time because of the uncertainty and variability of the nature and amount of certain components of various necessary GAAP components, including, for example, those related to compensation, acquisition expenses, other income,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Key Performance Indicators</w:t>
      </w:r>
    </w:p>
    <w:p>
      <w:pPr>
        <w:spacing w:after="0" w:line="223"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color w:val="auto"/>
        </w:rPr>
        <w:t xml:space="preserve">Top 20 pharmaceutical manufacturers: </w:t>
      </w:r>
      <w:r>
        <w:rPr>
          <w:rFonts w:ascii="Times New Roman" w:cs="Times New Roman" w:eastAsia="Times New Roman" w:hAnsi="Times New Roman"/>
          <w:sz w:val="18"/>
          <w:szCs w:val="18"/>
          <w:color w:val="auto"/>
        </w:rPr>
        <w:t>We have updated the definition of “top 20 pharmaceutical manufacturers” in our key performance indicators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upon Fierce Pharma’s most updated list of “The top 20 pharma</w:t>
      </w:r>
    </w:p>
    <w:p>
      <w:pPr>
        <w:sectPr>
          <w:pgSz w:w="11900" w:h="16838" w:orient="portrait"/>
          <w:cols w:equalWidth="0" w:num="1">
            <w:col w:w="11240"/>
          </w:cols>
          <w:pgMar w:left="320" w:top="1153" w:right="339" w:bottom="1440" w:gutter="0" w:footer="0" w:header="0"/>
        </w:sectPr>
      </w:pPr>
    </w:p>
    <w:bookmarkStart w:id="5" w:name="page6"/>
    <w:bookmarkEnd w:id="5"/>
    <w:p>
      <w:pPr>
        <w:jc w:val="both"/>
        <w:ind w:right="20"/>
        <w:spacing w:after="0" w:line="280" w:lineRule="auto"/>
        <w:rPr>
          <w:sz w:val="20"/>
          <w:szCs w:val="20"/>
          <w:color w:val="auto"/>
        </w:rPr>
      </w:pPr>
      <w:r>
        <w:rPr>
          <w:rFonts w:ascii="Times New Roman" w:cs="Times New Roman" w:eastAsia="Times New Roman" w:hAnsi="Times New Roman"/>
          <w:sz w:val="18"/>
          <w:szCs w:val="18"/>
          <w:color w:val="auto"/>
        </w:rPr>
        <w:t>companies by 2024 revenue”. We previously used “The top 20 pharma companies by 2023 revenue”. As a result of this change, prior periods have been restated for comparative purposes.</w:t>
      </w:r>
    </w:p>
    <w:p>
      <w:pPr>
        <w:spacing w:after="0" w:line="159" w:lineRule="exact"/>
        <w:rPr>
          <w:sz w:val="20"/>
          <w:szCs w:val="20"/>
          <w:color w:val="auto"/>
        </w:rPr>
      </w:pPr>
    </w:p>
    <w:p>
      <w:pPr>
        <w:jc w:val="both"/>
        <w:ind w:right="20"/>
        <w:spacing w:after="0" w:line="285" w:lineRule="auto"/>
        <w:rPr>
          <w:sz w:val="20"/>
          <w:szCs w:val="20"/>
          <w:color w:val="auto"/>
        </w:rPr>
      </w:pPr>
      <w:r>
        <w:rPr>
          <w:rFonts w:ascii="Times New Roman" w:cs="Times New Roman" w:eastAsia="Times New Roman" w:hAnsi="Times New Roman"/>
          <w:sz w:val="18"/>
          <w:szCs w:val="18"/>
          <w:b w:val="1"/>
          <w:bCs w:val="1"/>
          <w:color w:val="auto"/>
        </w:rPr>
        <w:t>Net revenue retention</w:t>
      </w:r>
      <w:r>
        <w:rPr>
          <w:rFonts w:ascii="Times New Roman" w:cs="Times New Roman" w:eastAsia="Times New Roman" w:hAnsi="Times New Roman"/>
          <w:sz w:val="18"/>
          <w:szCs w:val="18"/>
          <w:color w:val="auto"/>
        </w:rPr>
        <w:t>: Net revenue retention is a comparison of revenue generated from all clients in the previous period to total revenue generated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clients in the following year (i.e., excludes new client relationships for the most recent year).</w:t>
      </w:r>
    </w:p>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full-time employee: </w:t>
      </w:r>
      <w:r>
        <w:rPr>
          <w:rFonts w:ascii="Times New Roman" w:cs="Times New Roman" w:eastAsia="Times New Roman" w:hAnsi="Times New Roman"/>
          <w:sz w:val="18"/>
          <w:szCs w:val="18"/>
          <w:color w:val="auto"/>
        </w:rPr>
        <w:t>We define revenue per average full-time employee (FTE) as total revenue over the last 12 months (LTM)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LTM, which is calculated by taking our total number of FTEs at the end of the prior year period by our total FTE headcount at the end of the most recent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OptimizeRx is a leading healthcare technology company that’s redefining how life science brands connect with patients and healthcare providers. Our platform combines innovative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X, LinkedIn or visit www.optimizerx.com.</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future performance, expected revenues, expected Adjusted EBITDA, plans to grow shareholder value creation, plans to continue the Company’s growth and transformation, plans to position the Company to become a “Rule of 40” company, plans to pay down debt at an accelerated rate, and other statements relating to future performance, plans, and expectations. These forward-looking statements are based 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fiscal year ended December 31, 2024, its subsequent Quarterly Reports on Form 10-Q, and in other filings the Company has made and may make with the Securities and Exchange Commission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ectPr>
          <w:pgSz w:w="11900" w:h="16838" w:orient="portrait"/>
          <w:cols w:equalWidth="0" w:num="1">
            <w:col w:w="11240"/>
          </w:cols>
          <w:pgMar w:left="320" w:top="130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Halper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shalper@lifesciadvisors.com</w:t>
      </w:r>
    </w:p>
    <w:p>
      <w:pPr>
        <w:sectPr>
          <w:pgSz w:w="11900" w:h="16838" w:orient="portrait"/>
          <w:cols w:equalWidth="0" w:num="1">
            <w:col w:w="10139"/>
          </w:cols>
          <w:pgMar w:left="320" w:top="1328" w:right="1440"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jc w:val="center"/>
        <w:ind w:right="20"/>
        <w:spacing w:after="0" w:line="236"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Pr>
          <w:p>
            <w:pPr>
              <w:spacing w:after="0"/>
              <w:rPr>
                <w:sz w:val="18"/>
                <w:szCs w:val="18"/>
                <w:color w:val="auto"/>
              </w:rPr>
            </w:pPr>
          </w:p>
        </w:tc>
        <w:tc>
          <w:tcPr>
            <w:tcW w:w="158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center"/>
              <w:ind w:right="25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69"/>
        </w:trPr>
        <w:tc>
          <w:tcPr>
            <w:tcW w:w="7440" w:type="dxa"/>
            <w:vAlign w:val="bottom"/>
          </w:tcPr>
          <w:p>
            <w:pPr>
              <w:ind w:left="34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Pr>
          <w:p>
            <w:pPr>
              <w:spacing w:after="0"/>
              <w:rPr>
                <w:sz w:val="23"/>
                <w:szCs w:val="23"/>
                <w:color w:val="auto"/>
              </w:rPr>
            </w:pPr>
          </w:p>
        </w:tc>
        <w:tc>
          <w:tcPr>
            <w:tcW w:w="16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(unaudited)</w:t>
            </w:r>
          </w:p>
        </w:tc>
        <w:tc>
          <w:tcPr>
            <w:tcW w:w="26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9"/>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16,585</w:t>
            </w:r>
          </w:p>
        </w:tc>
        <w:tc>
          <w:tcPr>
            <w:tcW w:w="10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13,380</w:t>
            </w: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23"/>
        </w:trPr>
        <w:tc>
          <w:tcPr>
            <w:tcW w:w="7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$260 and $335 at June 30, 2025 and December 31,</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41"/>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2024,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38,212</w:t>
            </w: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 receivable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6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54,080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53,971</w:t>
            </w:r>
          </w:p>
        </w:tc>
      </w:tr>
      <w:tr>
        <w:trPr>
          <w:trHeight w:val="46"/>
        </w:trPr>
        <w:tc>
          <w:tcPr>
            <w:tcW w:w="74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6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70,869</w:t>
            </w: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Patent rights,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w:t>
            </w: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Technology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8,180</w:t>
            </w: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Tradename and customer relationships, net</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31,819</w:t>
            </w: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Operating lease right of use assets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Security deposits and other assets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46"/>
        </w:trPr>
        <w:tc>
          <w:tcPr>
            <w:tcW w:w="74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63"/>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other assets</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117,047</w:t>
            </w:r>
          </w:p>
        </w:tc>
      </w:tr>
      <w:tr>
        <w:trPr>
          <w:trHeight w:val="25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169,265</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171,168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5"/>
        </w:trPr>
        <w:tc>
          <w:tcPr>
            <w:tcW w:w="7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23"/>
        </w:trPr>
        <w:tc>
          <w:tcPr>
            <w:tcW w:w="7440" w:type="dxa"/>
            <w:vAlign w:val="bottom"/>
          </w:tcPr>
          <w:p>
            <w:pPr>
              <w:ind w:left="196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9"/>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0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8,486</w:t>
            </w: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Revenue share payable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w:t>
            </w: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Taxes payable</w:t>
            </w:r>
          </w:p>
        </w:tc>
        <w:tc>
          <w:tcPr>
            <w:tcW w:w="30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Current portion of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r>
      <w:tr>
        <w:trPr>
          <w:trHeight w:val="46"/>
        </w:trPr>
        <w:tc>
          <w:tcPr>
            <w:tcW w:w="74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63"/>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18,654</w:t>
            </w:r>
          </w:p>
        </w:tc>
      </w:tr>
      <w:tr>
        <w:trPr>
          <w:trHeight w:val="20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3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30,816</w:t>
            </w: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Lease liabilities, net of current portion</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6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4,491</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49,981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54,170</w:t>
            </w:r>
          </w:p>
        </w:tc>
      </w:tr>
      <w:tr>
        <w:trPr>
          <w:trHeight w:val="46"/>
        </w:trPr>
        <w:tc>
          <w:tcPr>
            <w:tcW w:w="74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195"/>
        </w:trPr>
        <w:tc>
          <w:tcPr>
            <w:tcW w:w="7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23"/>
        </w:trPr>
        <w:tc>
          <w:tcPr>
            <w:tcW w:w="7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Preferred stock, $0.001 par value, 10,000,000 shares authorized, none issued and outstanding at June 30, 2025</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41"/>
        </w:trPr>
        <w:tc>
          <w:tcPr>
            <w:tcW w:w="74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or December 31, 2024</w:t>
            </w:r>
          </w:p>
        </w:tc>
        <w:tc>
          <w:tcPr>
            <w:tcW w:w="3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$0.001 par value, 166,666,667 shares authorized, 20,297,388 and 20,194,697 shares issued at</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15"/>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June 30, 2025 and December 31, 2024, respectively</w:t>
            </w:r>
          </w:p>
        </w:tc>
        <w:tc>
          <w:tcPr>
            <w:tcW w:w="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4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Treasury stock, $0.001 par value, 1,741,397 shares held at June 30, 2025 and December 31, 2024.</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23"/>
        </w:trPr>
        <w:tc>
          <w:tcPr>
            <w:tcW w:w="74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paid-in-capital</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201,348</w:t>
            </w:r>
          </w:p>
        </w:tc>
      </w:tr>
      <w:tr>
        <w:trPr>
          <w:trHeight w:val="46"/>
        </w:trPr>
        <w:tc>
          <w:tcPr>
            <w:tcW w:w="7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69"/>
        </w:trPr>
        <w:tc>
          <w:tcPr>
            <w:tcW w:w="7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(84,368)</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119,284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116,998</w:t>
            </w:r>
          </w:p>
        </w:tc>
      </w:tr>
      <w:tr>
        <w:trPr>
          <w:trHeight w:val="46"/>
        </w:trPr>
        <w:tc>
          <w:tcPr>
            <w:tcW w:w="74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81"/>
        </w:trPr>
        <w:tc>
          <w:tcPr>
            <w:tcW w:w="7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171,168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1306"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jc w:val="center"/>
        <w:spacing w:after="0" w:line="236"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 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8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40" w:type="dxa"/>
            <w:vAlign w:val="bottom"/>
          </w:tcPr>
          <w:p>
            <w:pPr>
              <w:spacing w:after="0"/>
              <w:rPr>
                <w:sz w:val="19"/>
                <w:szCs w:val="19"/>
                <w:color w:val="auto"/>
              </w:rPr>
            </w:pPr>
          </w:p>
        </w:tc>
        <w:tc>
          <w:tcPr>
            <w:tcW w:w="28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Pr>
          <w:p>
            <w:pPr>
              <w:spacing w:after="0"/>
              <w:rPr>
                <w:sz w:val="20"/>
                <w:szCs w:val="20"/>
                <w:color w:val="auto"/>
              </w:rPr>
            </w:pPr>
          </w:p>
        </w:tc>
      </w:tr>
      <w:tr>
        <w:trPr>
          <w:trHeight w:val="40"/>
        </w:trPr>
        <w:tc>
          <w:tcPr>
            <w:tcW w:w="4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9"/>
        </w:trPr>
        <w:tc>
          <w:tcPr>
            <w:tcW w:w="4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4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9"/>
        </w:trPr>
        <w:tc>
          <w:tcPr>
            <w:tcW w:w="4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51,123</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38,502</w:t>
            </w:r>
          </w:p>
        </w:tc>
      </w:tr>
      <w:tr>
        <w:trPr>
          <w:trHeight w:val="251"/>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 exclusive of depreciation and amortization</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presented separately below</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w:t>
            </w:r>
          </w:p>
        </w:tc>
      </w:tr>
      <w:tr>
        <w:trPr>
          <w:trHeight w:val="40"/>
        </w:trPr>
        <w:tc>
          <w:tcPr>
            <w:tcW w:w="4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89"/>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31,979</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23,907</w:t>
            </w:r>
          </w:p>
        </w:tc>
      </w:tr>
      <w:tr>
        <w:trPr>
          <w:trHeight w:val="249"/>
        </w:trPr>
        <w:tc>
          <w:tcPr>
            <w:tcW w:w="48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76"/>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r>
      <w:tr>
        <w:trPr>
          <w:trHeight w:val="256"/>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28,736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30,545</w:t>
            </w:r>
          </w:p>
        </w:tc>
      </w:tr>
      <w:tr>
        <w:trPr>
          <w:trHeight w:val="40"/>
        </w:trPr>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6"/>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4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15,453</w:t>
            </w:r>
          </w:p>
        </w:tc>
        <w:tc>
          <w:tcPr>
            <w:tcW w:w="1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30,904</w:t>
            </w:r>
          </w:p>
        </w:tc>
        <w:tc>
          <w:tcPr>
            <w:tcW w:w="8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32,685</w:t>
            </w:r>
          </w:p>
        </w:tc>
      </w:tr>
      <w:tr>
        <w:trPr>
          <w:trHeight w:val="40"/>
        </w:trPr>
        <w:tc>
          <w:tcPr>
            <w:tcW w:w="4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9"/>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r>
      <w:tr>
        <w:trPr>
          <w:trHeight w:val="25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40"/>
        </w:trPr>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6"/>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56"/>
        </w:trPr>
        <w:tc>
          <w:tcPr>
            <w:tcW w:w="4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40"/>
        </w:trPr>
        <w:tc>
          <w:tcPr>
            <w:tcW w:w="4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96"/>
        </w:trPr>
        <w:tc>
          <w:tcPr>
            <w:tcW w:w="4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8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w:t>
            </w:r>
          </w:p>
        </w:tc>
      </w:tr>
      <w:tr>
        <w:trPr>
          <w:trHeight w:val="40"/>
        </w:trPr>
        <w:tc>
          <w:tcPr>
            <w:tcW w:w="4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69"/>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w:t>
            </w:r>
          </w:p>
        </w:tc>
      </w:tr>
      <w:tr>
        <w:trPr>
          <w:trHeight w:val="25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40"/>
        </w:trPr>
        <w:tc>
          <w:tcPr>
            <w:tcW w:w="48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308"/>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2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18,510,834</w:t>
            </w:r>
          </w:p>
        </w:tc>
        <w:tc>
          <w:tcPr>
            <w:tcW w:w="10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18,257,879</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18,490,931</w:t>
            </w:r>
          </w:p>
        </w:tc>
        <w:tc>
          <w:tcPr>
            <w:tcW w:w="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18,213,992</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8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19,015,496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18,257,879</w:t>
            </w: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18,490,931</w:t>
            </w:r>
          </w:p>
        </w:tc>
        <w:tc>
          <w:tcPr>
            <w:tcW w:w="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18,213,992</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7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per share – basic</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3"/>
                <w:szCs w:val="23"/>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14"/>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per share –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6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5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5"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5198745</wp:posOffset>
            </wp:positionH>
            <wp:positionV relativeFrom="paragraph">
              <wp:posOffset>36830</wp:posOffset>
            </wp:positionV>
            <wp:extent cx="19392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39290" cy="8255"/>
                    </a:xfrm>
                    <a:prstGeom prst="rect">
                      <a:avLst/>
                    </a:prstGeom>
                    <a:noFill/>
                  </pic:spPr>
                </pic:pic>
              </a:graphicData>
            </a:graphic>
          </wp:anchor>
        </w:drawing>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40"/>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9"/>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56"/>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(10,908)</w:t>
            </w: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6"/>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56"/>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r>
      <w:tr>
        <w:trPr>
          <w:trHeight w:val="256"/>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Bad debt expense</w:t>
            </w:r>
          </w:p>
        </w:tc>
        <w:tc>
          <w:tcPr>
            <w:tcW w:w="3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6"/>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56"/>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Changes in:</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r>
      <w:tr>
        <w:trPr>
          <w:trHeight w:val="256"/>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w:t>
            </w: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56"/>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share payable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r>
      <w:tr>
        <w:trPr>
          <w:trHeight w:val="256"/>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6"/>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receivable and payable</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49"/>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8,425</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40"/>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28"/>
        </w:trPr>
        <w:tc>
          <w:tcPr>
            <w:tcW w:w="8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256"/>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6"/>
        </w:trPr>
        <w:tc>
          <w:tcPr>
            <w:tcW w:w="81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56"/>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40"/>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89"/>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128"/>
        </w:trPr>
        <w:tc>
          <w:tcPr>
            <w:tcW w:w="81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r>
      <w:tr>
        <w:trPr>
          <w:trHeight w:val="276"/>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56"/>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employee withholding taxes related to the vesting of restricted stock units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40"/>
        </w:trPr>
        <w:tc>
          <w:tcPr>
            <w:tcW w:w="8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6"/>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9"/>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40"/>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69"/>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r>
      <w:tr>
        <w:trPr>
          <w:trHeight w:val="256"/>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13,852</w:t>
            </w:r>
          </w:p>
        </w:tc>
      </w:tr>
      <w:tr>
        <w:trPr>
          <w:trHeight w:val="40"/>
        </w:trPr>
        <w:tc>
          <w:tcPr>
            <w:tcW w:w="81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308"/>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1"/>
        </w:trPr>
        <w:tc>
          <w:tcPr>
            <w:tcW w:w="8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r>
      <w:tr>
        <w:trPr>
          <w:trHeight w:val="276"/>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89"/>
        </w:trPr>
        <w:tc>
          <w:tcPr>
            <w:tcW w:w="8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paid for interest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4"/>
        </w:trPr>
        <w:tc>
          <w:tcPr>
            <w:tcW w:w="8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306" w:right="339" w:bottom="1440" w:gutter="0" w:footer="0" w:header="0"/>
        </w:sectPr>
      </w:pPr>
    </w:p>
    <w:bookmarkStart w:id="10" w:name="page11"/>
    <w:bookmarkEnd w:id="10"/>
    <w:p>
      <w:pPr>
        <w:ind w:left="4340"/>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 unaudited)</w:t>
      </w:r>
    </w:p>
    <w:p>
      <w:pPr>
        <w:spacing w:after="0" w:line="232"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This earnings release includes certain financial measures not derived in accordance with generally accepted accounting principles (GAAP). These non-GAAP financial measures are measures of performance not defined by accounting principles generally accepted in the United States and should be considered in addition to, not in lieu of, GAAP reported measures. Additionally, these non-GAAP measures may not be comparable to similarly titled measures reported by other companies. However, management believes that presenting certain non-GAAP financial measures provides additional information to facilitate comparison of the Company's historical operating results and trends in its underlying operating results and provides transparency on how the Company evaluates its business. Management uses these non-GAAP financial measures in making financial, operating and planning decisions and in evaluating the Company's performance. Management believes that financial information excluding certain items that are not considered to reflect the Company’s ongoing operating results, such as those listed below, improves the comparability of year-to-year results. Consequently, management believes that investors may be able to better understand the Company’s operating results excluding these items. Non-GAAP financial measures may reflect adjustments for items such as asset impairment charges, amortization, stock-based compensation, acquisition expenses, severance, shareholder activist related fees, CEO search fees, other income, as well as other items that management believes are not related to the Company’s ongoing performance.</w:t>
      </w:r>
    </w:p>
    <w:p>
      <w:pPr>
        <w:spacing w:after="0" w:line="282"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00" w:type="dxa"/>
            <w:vAlign w:val="bottom"/>
          </w:tcPr>
          <w:p>
            <w:pPr>
              <w:spacing w:after="0"/>
              <w:rPr>
                <w:sz w:val="20"/>
                <w:szCs w:val="20"/>
                <w:color w:val="auto"/>
              </w:rPr>
            </w:pPr>
          </w:p>
        </w:tc>
        <w:tc>
          <w:tcPr>
            <w:tcW w:w="266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c>
          <w:tcPr>
            <w:tcW w:w="0" w:type="dxa"/>
            <w:vAlign w:val="bottom"/>
          </w:tcPr>
          <w:p>
            <w:pPr>
              <w:spacing w:after="0"/>
              <w:rPr>
                <w:sz w:val="1"/>
                <w:szCs w:val="1"/>
                <w:color w:val="auto"/>
              </w:rPr>
            </w:pPr>
          </w:p>
        </w:tc>
      </w:tr>
      <w:tr>
        <w:trPr>
          <w:trHeight w:val="242"/>
        </w:trPr>
        <w:tc>
          <w:tcPr>
            <w:tcW w:w="4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20"/>
                <w:szCs w:val="20"/>
                <w:b w:val="1"/>
                <w:bCs w:val="1"/>
                <w:color w:val="auto"/>
              </w:rPr>
              <w:t>2024</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20"/>
                <w:szCs w:val="20"/>
                <w:b w:val="1"/>
                <w:bCs w:val="1"/>
                <w:color w:val="auto"/>
              </w:rPr>
              <w:t>2025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48"/>
        </w:trPr>
        <w:tc>
          <w:tcPr>
            <w:tcW w:w="43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c>
          <w:tcPr>
            <w:tcW w:w="0" w:type="dxa"/>
            <w:vAlign w:val="bottom"/>
          </w:tcPr>
          <w:p>
            <w:pPr>
              <w:spacing w:after="0"/>
              <w:rPr>
                <w:sz w:val="1"/>
                <w:szCs w:val="1"/>
                <w:color w:val="auto"/>
              </w:rPr>
            </w:pPr>
          </w:p>
        </w:tc>
      </w:tr>
      <w:tr>
        <w:trPr>
          <w:trHeight w:val="256"/>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0" w:type="dxa"/>
            <w:vAlign w:val="bottom"/>
          </w:tcPr>
          <w:p>
            <w:pPr>
              <w:spacing w:after="0"/>
              <w:rPr>
                <w:sz w:val="1"/>
                <w:szCs w:val="1"/>
                <w:color w:val="auto"/>
              </w:rPr>
            </w:pPr>
          </w:p>
        </w:tc>
      </w:tr>
      <w:tr>
        <w:trPr>
          <w:trHeight w:val="40"/>
        </w:trPr>
        <w:tc>
          <w:tcPr>
            <w:tcW w:w="4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0" w:type="dxa"/>
            <w:vAlign w:val="bottom"/>
          </w:tcPr>
          <w:p>
            <w:pPr>
              <w:spacing w:after="0"/>
              <w:rPr>
                <w:sz w:val="1"/>
                <w:szCs w:val="1"/>
                <w:color w:val="auto"/>
              </w:rPr>
            </w:pPr>
          </w:p>
        </w:tc>
      </w:tr>
      <w:tr>
        <w:trPr>
          <w:trHeight w:val="256"/>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Severance expenses</w:t>
            </w:r>
          </w:p>
        </w:tc>
        <w:tc>
          <w:tcPr>
            <w:tcW w:w="24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40"/>
        </w:trPr>
        <w:tc>
          <w:tcPr>
            <w:tcW w:w="4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Shareholder activist related fees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CEO search fees</w:t>
            </w:r>
          </w:p>
        </w:tc>
        <w:tc>
          <w:tcPr>
            <w:tcW w:w="240" w:type="dxa"/>
            <w:vAlign w:val="bottom"/>
          </w:tcPr>
          <w:p>
            <w:pPr>
              <w:spacing w:after="0"/>
              <w:rPr>
                <w:sz w:val="22"/>
                <w:szCs w:val="22"/>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4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6"/>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56"/>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40"/>
        </w:trPr>
        <w:tc>
          <w:tcPr>
            <w:tcW w:w="4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Acquisition expenses</w:t>
            </w:r>
          </w:p>
        </w:tc>
        <w:tc>
          <w:tcPr>
            <w:tcW w:w="24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63"/>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Non-GAAP net income (loss)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4,494</w:t>
            </w:r>
          </w:p>
        </w:tc>
        <w:tc>
          <w:tcPr>
            <w:tcW w:w="100" w:type="dxa"/>
            <w:vAlign w:val="bottom"/>
          </w:tcPr>
          <w:p>
            <w:pPr>
              <w:spacing w:after="0"/>
              <w:rPr>
                <w:sz w:val="22"/>
                <w:szCs w:val="22"/>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22"/>
                <w:szCs w:val="22"/>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w:t>
            </w:r>
          </w:p>
        </w:tc>
        <w:tc>
          <w:tcPr>
            <w:tcW w:w="100" w:type="dxa"/>
            <w:vAlign w:val="bottom"/>
          </w:tcPr>
          <w:p>
            <w:pPr>
              <w:spacing w:after="0"/>
              <w:rPr>
                <w:sz w:val="22"/>
                <w:szCs w:val="22"/>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67"/>
        </w:trPr>
        <w:tc>
          <w:tcPr>
            <w:tcW w:w="434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4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Non-GAAP net income (loss) per share</w:t>
            </w: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4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1"/>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19,015,496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18,358,543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18,599,906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18,213,922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320" w:top="1099"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240" w:type="dxa"/>
            <w:vAlign w:val="bottom"/>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40" w:type="dxa"/>
            <w:vAlign w:val="bottom"/>
          </w:tcPr>
          <w:p>
            <w:pPr>
              <w:spacing w:after="0"/>
              <w:rPr>
                <w:sz w:val="20"/>
                <w:szCs w:val="20"/>
                <w:color w:val="auto"/>
              </w:rPr>
            </w:pPr>
          </w:p>
        </w:tc>
        <w:tc>
          <w:tcPr>
            <w:tcW w:w="282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42"/>
        </w:trPr>
        <w:tc>
          <w:tcPr>
            <w:tcW w:w="4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8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ind w:right="490"/>
              <w:spacing w:after="0"/>
              <w:rPr>
                <w:sz w:val="20"/>
                <w:szCs w:val="20"/>
                <w:color w:val="auto"/>
              </w:rPr>
            </w:pPr>
            <w:r>
              <w:rPr>
                <w:rFonts w:ascii="Times New Roman" w:cs="Times New Roman" w:eastAsia="Times New Roman" w:hAnsi="Times New Roman"/>
                <w:sz w:val="20"/>
                <w:szCs w:val="20"/>
                <w:b w:val="1"/>
                <w:bCs w:val="1"/>
                <w:color w:val="auto"/>
              </w:rPr>
              <w:t>2025</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48"/>
        </w:trPr>
        <w:tc>
          <w:tcPr>
            <w:tcW w:w="48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69"/>
        </w:trPr>
        <w:tc>
          <w:tcPr>
            <w:tcW w:w="4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100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w:t>
            </w:r>
          </w:p>
        </w:tc>
      </w:tr>
      <w:tr>
        <w:trPr>
          <w:trHeight w:val="25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40"/>
        </w:trPr>
        <w:tc>
          <w:tcPr>
            <w:tcW w:w="4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6"/>
        </w:trPr>
        <w:tc>
          <w:tcPr>
            <w:tcW w:w="4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5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r>
      <w:tr>
        <w:trPr>
          <w:trHeight w:val="40"/>
        </w:trPr>
        <w:tc>
          <w:tcPr>
            <w:tcW w:w="4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6"/>
        </w:trPr>
        <w:tc>
          <w:tcPr>
            <w:tcW w:w="4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Severance expenses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5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Acquisition expenses</w:t>
            </w:r>
          </w:p>
        </w:tc>
        <w:tc>
          <w:tcPr>
            <w:tcW w:w="100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40"/>
        </w:trPr>
        <w:tc>
          <w:tcPr>
            <w:tcW w:w="4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6"/>
        </w:trPr>
        <w:tc>
          <w:tcPr>
            <w:tcW w:w="4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Shareholder activist related fees</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CEO search fees</w:t>
            </w:r>
          </w:p>
        </w:tc>
        <w:tc>
          <w:tcPr>
            <w:tcW w:w="100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76"/>
        </w:trPr>
        <w:tc>
          <w:tcPr>
            <w:tcW w:w="4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6"/>
        </w:trPr>
        <w:tc>
          <w:tcPr>
            <w:tcW w:w="4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10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40"/>
        </w:trPr>
        <w:tc>
          <w:tcPr>
            <w:tcW w:w="484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94"/>
        </w:trPr>
        <w:tc>
          <w:tcPr>
            <w:tcW w:w="48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Adjusted EBITDA</w:t>
            </w:r>
          </w:p>
        </w:tc>
        <w:tc>
          <w:tcPr>
            <w:tcW w:w="1000" w:type="dxa"/>
            <w:vAlign w:val="bottom"/>
            <w:tcBorders>
              <w:bottom w:val="single" w:sz="8" w:color="CCEEFF"/>
            </w:tcBorders>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1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2025-08-07T15:30:27Z</dcterms:created>
  <dcterms:modified xsi:type="dcterms:W3CDTF">2025-08-07T15:30:27Z</dcterms:modified>
</cp:coreProperties>
</file>