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560" w:type="dxa"/>
            <w:vAlign w:val="bottom"/>
          </w:tcPr>
          <w:p>
            <w:pPr>
              <w:jc w:val="center"/>
              <w:ind w:right="4583"/>
              <w:spacing w:after="0"/>
              <w:rPr>
                <w:sz w:val="20"/>
                <w:szCs w:val="20"/>
                <w:color w:val="auto"/>
              </w:rPr>
            </w:pPr>
            <w:r>
              <w:rPr>
                <w:rFonts w:ascii="Times New Roman" w:cs="Times New Roman" w:eastAsia="Times New Roman" w:hAnsi="Times New Roman"/>
                <w:sz w:val="22"/>
                <w:szCs w:val="22"/>
                <w:b w:val="1"/>
                <w:bCs w:val="1"/>
                <w:color w:val="auto"/>
                <w:w w:val="95"/>
              </w:rPr>
              <w:t>UNITED STATES</w:t>
            </w:r>
          </w:p>
        </w:tc>
      </w:tr>
      <w:tr>
        <w:trPr>
          <w:trHeight w:val="252"/>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AND EXCHANGE COMMISSION</w:t>
            </w:r>
          </w:p>
        </w:tc>
      </w:tr>
      <w:tr>
        <w:trPr>
          <w:trHeight w:val="238"/>
        </w:trPr>
        <w:tc>
          <w:tcPr>
            <w:tcW w:w="3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560" w:type="dxa"/>
            <w:vAlign w:val="bottom"/>
          </w:tcPr>
          <w:p>
            <w:pPr>
              <w:jc w:val="center"/>
              <w:ind w:right="4563"/>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223"/>
        </w:trPr>
        <w:tc>
          <w:tcPr>
            <w:tcW w:w="3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560" w:type="dxa"/>
            <w:vAlign w:val="bottom"/>
            <w:tcBorders>
              <w:bottom w:val="single" w:sz="8" w:color="auto"/>
            </w:tcBorders>
          </w:tcPr>
          <w:p>
            <w:pPr>
              <w:spacing w:after="0"/>
              <w:rPr>
                <w:sz w:val="19"/>
                <w:szCs w:val="19"/>
                <w:color w:val="auto"/>
              </w:rPr>
            </w:pPr>
          </w:p>
        </w:tc>
      </w:tr>
      <w:tr>
        <w:trPr>
          <w:trHeight w:val="484"/>
        </w:trPr>
        <w:tc>
          <w:tcPr>
            <w:tcW w:w="3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560" w:type="dxa"/>
            <w:vAlign w:val="bottom"/>
          </w:tcPr>
          <w:p>
            <w:pPr>
              <w:jc w:val="center"/>
              <w:ind w:right="4643"/>
              <w:spacing w:after="0"/>
              <w:rPr>
                <w:sz w:val="20"/>
                <w:szCs w:val="20"/>
                <w:color w:val="auto"/>
              </w:rPr>
            </w:pPr>
            <w:r>
              <w:rPr>
                <w:rFonts w:ascii="Times New Roman" w:cs="Times New Roman" w:eastAsia="Times New Roman" w:hAnsi="Times New Roman"/>
                <w:sz w:val="22"/>
                <w:szCs w:val="22"/>
                <w:b w:val="1"/>
                <w:bCs w:val="1"/>
                <w:color w:val="auto"/>
                <w:w w:val="98"/>
              </w:rPr>
              <w:t>FORM 12b-25</w:t>
            </w:r>
          </w:p>
        </w:tc>
      </w:tr>
      <w:tr>
        <w:trPr>
          <w:trHeight w:val="211"/>
        </w:trPr>
        <w:tc>
          <w:tcPr>
            <w:tcW w:w="3460" w:type="dxa"/>
            <w:vAlign w:val="bottom"/>
            <w:tcBorders>
              <w:bottom w:val="single" w:sz="8" w:color="auto"/>
            </w:tcBorders>
          </w:tcPr>
          <w:p>
            <w:pPr>
              <w:spacing w:after="0"/>
              <w:rPr>
                <w:sz w:val="18"/>
                <w:szCs w:val="18"/>
                <w:color w:val="auto"/>
              </w:rPr>
            </w:pPr>
          </w:p>
        </w:tc>
        <w:tc>
          <w:tcPr>
            <w:tcW w:w="7780" w:type="dxa"/>
            <w:vAlign w:val="bottom"/>
            <w:tcBorders>
              <w:bottom w:val="single" w:sz="8" w:color="auto"/>
            </w:tcBorders>
            <w:gridSpan w:val="2"/>
          </w:tcPr>
          <w:p>
            <w:pPr>
              <w:spacing w:after="0"/>
              <w:rPr>
                <w:sz w:val="18"/>
                <w:szCs w:val="18"/>
                <w:color w:val="auto"/>
              </w:rPr>
            </w:pPr>
          </w:p>
        </w:tc>
      </w:tr>
      <w:tr>
        <w:trPr>
          <w:trHeight w:val="446"/>
        </w:trPr>
        <w:tc>
          <w:tcPr>
            <w:tcW w:w="3460" w:type="dxa"/>
            <w:vAlign w:val="bottom"/>
          </w:tcPr>
          <w:p>
            <w:pPr>
              <w:spacing w:after="0"/>
              <w:rPr>
                <w:sz w:val="24"/>
                <w:szCs w:val="24"/>
                <w:color w:val="auto"/>
              </w:rPr>
            </w:pPr>
          </w:p>
        </w:tc>
        <w:tc>
          <w:tcPr>
            <w:tcW w:w="7780" w:type="dxa"/>
            <w:vAlign w:val="bottom"/>
            <w:gridSpan w:val="2"/>
          </w:tcPr>
          <w:p>
            <w:pPr>
              <w:jc w:val="center"/>
              <w:ind w:right="3363"/>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r>
      <w:tr>
        <w:trPr>
          <w:trHeight w:val="378"/>
        </w:trPr>
        <w:tc>
          <w:tcPr>
            <w:tcW w:w="3460" w:type="dxa"/>
            <w:vAlign w:val="bottom"/>
          </w:tcPr>
          <w:p>
            <w:pPr>
              <w:ind w:left="1060"/>
              <w:spacing w:after="0" w:line="207" w:lineRule="exact"/>
              <w:rPr>
                <w:sz w:val="20"/>
                <w:szCs w:val="20"/>
                <w:color w:val="auto"/>
              </w:rPr>
            </w:pPr>
            <w:r>
              <w:rPr>
                <w:rFonts w:ascii="Times New Roman" w:cs="Times New Roman" w:eastAsia="Times New Roman" w:hAnsi="Times New Roman"/>
                <w:sz w:val="18"/>
                <w:szCs w:val="18"/>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10-K </w:t>
            </w:r>
          </w:p>
        </w:tc>
        <w:tc>
          <w:tcPr>
            <w:tcW w:w="1220" w:type="dxa"/>
            <w:vAlign w:val="bottom"/>
          </w:tcPr>
          <w:p>
            <w:pPr>
              <w:ind w:left="80"/>
              <w:spacing w:after="0" w:line="207" w:lineRule="exact"/>
              <w:rPr>
                <w:sz w:val="20"/>
                <w:szCs w:val="20"/>
                <w:color w:val="auto"/>
              </w:rPr>
            </w:pPr>
            <w:r>
              <w:rPr>
                <w:rFonts w:ascii="MS PGothic" w:cs="MS PGothic" w:eastAsia="MS PGothic" w:hAnsi="MS PGothic"/>
                <w:sz w:val="18"/>
                <w:szCs w:val="18"/>
                <w:color w:val="auto"/>
                <w:w w:val="91"/>
              </w:rPr>
              <w:t>☐</w:t>
            </w:r>
            <w:r>
              <w:rPr>
                <w:rFonts w:ascii="Times New Roman" w:cs="Times New Roman" w:eastAsia="Times New Roman" w:hAnsi="Times New Roman"/>
                <w:sz w:val="18"/>
                <w:szCs w:val="18"/>
                <w:color w:val="auto"/>
                <w:w w:val="91"/>
              </w:rPr>
              <w:t xml:space="preserve">  Form 20-F </w:t>
            </w:r>
          </w:p>
        </w:tc>
        <w:tc>
          <w:tcPr>
            <w:tcW w:w="656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w:t>
            </w:r>
          </w:p>
        </w:tc>
      </w:tr>
      <w:tr>
        <w:trPr>
          <w:trHeight w:val="303"/>
        </w:trPr>
        <w:tc>
          <w:tcPr>
            <w:tcW w:w="3460" w:type="dxa"/>
            <w:vAlign w:val="bottom"/>
          </w:tcPr>
          <w:p>
            <w:pPr>
              <w:ind w:left="2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w:t>
            </w:r>
          </w:p>
        </w:tc>
        <w:tc>
          <w:tcPr>
            <w:tcW w:w="1220" w:type="dxa"/>
            <w:vAlign w:val="bottom"/>
          </w:tcPr>
          <w:p>
            <w:pPr>
              <w:ind w:left="80"/>
              <w:spacing w:after="0" w:line="207" w:lineRule="exact"/>
              <w:rPr>
                <w:sz w:val="20"/>
                <w:szCs w:val="20"/>
                <w:color w:val="auto"/>
              </w:rPr>
            </w:pPr>
            <w:r>
              <w:rPr>
                <w:rFonts w:ascii="MS PGothic" w:cs="MS PGothic" w:eastAsia="MS PGothic" w:hAnsi="MS PGothic"/>
                <w:sz w:val="18"/>
                <w:szCs w:val="18"/>
                <w:color w:val="auto"/>
                <w:w w:val="89"/>
              </w:rPr>
              <w:t>☐</w:t>
            </w:r>
            <w:r>
              <w:rPr>
                <w:rFonts w:ascii="Times New Roman" w:cs="Times New Roman" w:eastAsia="Times New Roman" w:hAnsi="Times New Roman"/>
                <w:sz w:val="18"/>
                <w:szCs w:val="18"/>
                <w:color w:val="auto"/>
                <w:w w:val="89"/>
              </w:rPr>
              <w:t xml:space="preserve">  Form 10-D </w:t>
            </w:r>
          </w:p>
        </w:tc>
        <w:tc>
          <w:tcPr>
            <w:tcW w:w="656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tc>
      </w:tr>
    </w:tbl>
    <w:p>
      <w:pPr>
        <w:spacing w:after="0" w:line="16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8"/>
          <w:szCs w:val="18"/>
          <w:color w:val="auto"/>
        </w:rPr>
        <w:t>For Period Ended: December 31, 2023</w:t>
      </w:r>
    </w:p>
    <w:p>
      <w:pPr>
        <w:spacing w:after="0" w:line="184" w:lineRule="exact"/>
        <w:rPr>
          <w:sz w:val="24"/>
          <w:szCs w:val="24"/>
          <w:color w:val="auto"/>
        </w:rPr>
      </w:pPr>
    </w:p>
    <w:p>
      <w:pPr>
        <w:ind w:left="2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10-K</w:t>
      </w:r>
    </w:p>
    <w:p>
      <w:pPr>
        <w:spacing w:after="0" w:line="70" w:lineRule="exact"/>
        <w:rPr>
          <w:sz w:val="24"/>
          <w:szCs w:val="24"/>
          <w:color w:val="auto"/>
        </w:rPr>
      </w:pPr>
    </w:p>
    <w:p>
      <w:pPr>
        <w:ind w:left="2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20-F</w:t>
      </w:r>
    </w:p>
    <w:p>
      <w:pPr>
        <w:spacing w:after="0" w:line="9" w:lineRule="exact"/>
        <w:rPr>
          <w:sz w:val="24"/>
          <w:szCs w:val="24"/>
          <w:color w:val="auto"/>
        </w:rPr>
      </w:pPr>
    </w:p>
    <w:p>
      <w:pPr>
        <w:ind w:left="2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11-K</w:t>
      </w:r>
    </w:p>
    <w:p>
      <w:pPr>
        <w:spacing w:after="0" w:line="9" w:lineRule="exact"/>
        <w:rPr>
          <w:sz w:val="24"/>
          <w:szCs w:val="24"/>
          <w:color w:val="auto"/>
        </w:rPr>
      </w:pPr>
    </w:p>
    <w:p>
      <w:pPr>
        <w:ind w:left="2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10-Q</w:t>
      </w:r>
    </w:p>
    <w:p>
      <w:pPr>
        <w:spacing w:after="0" w:line="205" w:lineRule="exact"/>
        <w:rPr>
          <w:sz w:val="24"/>
          <w:szCs w:val="24"/>
          <w:color w:val="auto"/>
        </w:rPr>
      </w:pPr>
    </w:p>
    <w:p>
      <w:pPr>
        <w:ind w:left="2260"/>
        <w:spacing w:after="0"/>
        <w:tabs>
          <w:tab w:leader="none" w:pos="4820" w:val="left"/>
          <w:tab w:leader="none" w:pos="5000" w:val="left"/>
          <w:tab w:leader="none" w:pos="5180" w:val="left"/>
          <w:tab w:leader="none" w:pos="5360" w:val="left"/>
          <w:tab w:leader="none" w:pos="5540" w:val="left"/>
          <w:tab w:leader="none" w:pos="5720" w:val="left"/>
          <w:tab w:leader="none" w:pos="5900" w:val="left"/>
          <w:tab w:leader="none" w:pos="6080" w:val="left"/>
        </w:tabs>
        <w:rPr>
          <w:sz w:val="20"/>
          <w:szCs w:val="20"/>
          <w:color w:val="auto"/>
        </w:rPr>
      </w:pPr>
      <w:r>
        <w:rPr>
          <w:rFonts w:ascii="Times New Roman" w:cs="Times New Roman" w:eastAsia="Times New Roman" w:hAnsi="Times New Roman"/>
          <w:sz w:val="18"/>
          <w:szCs w:val="18"/>
          <w:color w:val="auto"/>
        </w:rPr>
        <w:t>For the Transition Period Ended:  </w:t>
        <w:tab/>
        <w:t> </w:t>
        <w:tab/>
        <w:t> </w:t>
        <w:tab/>
        <w:t> </w:t>
        <w:tab/>
        <w:t> </w:t>
        <w:tab/>
        <w:t> </w:t>
        <w:tab/>
        <w:t> </w:t>
        <w:tab/>
        <w:t> </w:t>
      </w:r>
      <w:r>
        <w:rPr>
          <w:sz w:val="20"/>
          <w:szCs w:val="20"/>
          <w:color w:val="auto"/>
        </w:rPr>
        <w:tab/>
      </w:r>
      <w:r>
        <w:rPr>
          <w:rFonts w:ascii="Times New Roman" w:cs="Times New Roman" w:eastAsia="Times New Roman" w:hAnsi="Times New Roman"/>
          <w:sz w:val="6"/>
          <w:szCs w:val="6"/>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56578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23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u w:val="single" w:color="auto"/>
          <w:color w:val="auto"/>
        </w:rPr>
        <w:t>OptimizeRx Corporation</w:t>
      </w:r>
    </w:p>
    <w:p>
      <w:pPr>
        <w:spacing w:after="0" w:line="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(Full Name of Registrant)</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if Applicable)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260 Charles Street, Suite 302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 (</w:t>
      </w:r>
      <w:r>
        <w:rPr>
          <w:rFonts w:ascii="Times New Roman" w:cs="Times New Roman" w:eastAsia="Times New Roman" w:hAnsi="Times New Roman"/>
          <w:sz w:val="18"/>
          <w:szCs w:val="18"/>
          <w:b w:val="1"/>
          <w:bCs w:val="1"/>
          <w:i w:val="1"/>
          <w:iCs w:val="1"/>
          <w:color w:val="auto"/>
        </w:rPr>
        <w:t>Street and Number</w:t>
      </w:r>
      <w:r>
        <w:rPr>
          <w:rFonts w:ascii="Times New Roman" w:cs="Times New Roman" w:eastAsia="Times New Roman" w:hAnsi="Times New Roman"/>
          <w:sz w:val="18"/>
          <w:szCs w:val="18"/>
          <w:b w:val="1"/>
          <w:bCs w:val="1"/>
          <w:color w:val="auto"/>
        </w:rPr>
        <w: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Waltham, MA 02453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1140" w:hanging="552"/>
        <w:spacing w:after="0"/>
        <w:tabs>
          <w:tab w:leader="none" w:pos="114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1140" w:hanging="552"/>
        <w:spacing w:after="0"/>
        <w:tabs>
          <w:tab w:leader="none" w:pos="114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27" w:lineRule="exact"/>
        <w:rPr>
          <w:rFonts w:ascii="Times New Roman" w:cs="Times New Roman" w:eastAsia="Times New Roman" w:hAnsi="Times New Roman"/>
          <w:sz w:val="18"/>
          <w:szCs w:val="18"/>
          <w:color w:val="auto"/>
        </w:rPr>
      </w:pPr>
    </w:p>
    <w:p>
      <w:pPr>
        <w:ind w:left="1140" w:hanging="984"/>
        <w:spacing w:after="0" w:line="185" w:lineRule="auto"/>
        <w:tabs>
          <w:tab w:leader="none" w:pos="114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5"/>
          <w:szCs w:val="15"/>
          <w:color w:val="auto"/>
        </w:rPr>
        <w:t>portion thereof, will be filed on or before the fifteenth calendar day following the prescribed due date; or the subject quarterly report or</w:t>
      </w:r>
    </w:p>
    <w:p>
      <w:pPr>
        <w:spacing w:after="0" w:line="1" w:lineRule="exact"/>
        <w:rPr>
          <w:rFonts w:ascii="MS PGothic" w:cs="MS PGothic" w:eastAsia="MS PGothic" w:hAnsi="MS PGothic"/>
          <w:sz w:val="28"/>
          <w:szCs w:val="28"/>
          <w:color w:val="auto"/>
          <w:vertAlign w:val="subscript"/>
        </w:rPr>
      </w:pPr>
    </w:p>
    <w:p>
      <w:pPr>
        <w:ind w:left="400" w:hanging="82"/>
        <w:spacing w:after="0"/>
        <w:tabs>
          <w:tab w:leader="none" w:pos="400" w:val="left"/>
        </w:tabs>
        <w:numPr>
          <w:ilvl w:val="1"/>
          <w:numId w:val="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 xml:space="preserve"> </w:t>
      </w:r>
      <w:r>
        <w:rPr>
          <w:rFonts w:ascii="Times New Roman" w:cs="Times New Roman" w:eastAsia="Times New Roman" w:hAnsi="Times New Roman"/>
          <w:sz w:val="17"/>
          <w:szCs w:val="17"/>
          <w:color w:val="auto"/>
        </w:rPr>
        <w:t>transition report on Form 10-Q or subject distribution report on Form 10-D, or portion thereof, will be filed on or before the fifth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-685800</wp:posOffset>
            </wp:positionV>
            <wp:extent cx="8890" cy="1097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09728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day following the prescribed due date; and</w:t>
      </w:r>
    </w:p>
    <w:p>
      <w:pPr>
        <w:spacing w:after="0" w:line="205" w:lineRule="exact"/>
        <w:rPr>
          <w:sz w:val="20"/>
          <w:szCs w:val="20"/>
          <w:color w:val="auto"/>
        </w:rPr>
      </w:pPr>
    </w:p>
    <w:p>
      <w:pPr>
        <w:ind w:left="1140" w:hanging="552"/>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 (Attach Extra Sheets if Needed)</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OptimizeRx Corporation (the “Company”) is unable to file its Annual Report on Form 10-K for the year ended December 31, 2023 (the “2023 Annual Report”) within the prescribed time period without unreasonable effort or expense because of the circumstances described below.</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experienced delays in (i) compiling and finalizing accounting documentation associated with its October 2023 acquisition of Healthy Offers, Inc. (dba Medicx Health) and the November 2023 operational realignment to focus on core business lines, and (ii) performing further remediation of the previously disclosed material weakness related to the testing and validation of internal processes tied to certain third-party vendors more fully described in the Company’s Annual Report on Form 10-K for the fiscal year ended December 31, 2022.</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expects to file its Form 10-K prior to the end of the fifteenth calendar day extension period provided by Rule 12b-25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45"/>
        </w:trPr>
        <w:tc>
          <w:tcPr>
            <w:tcW w:w="35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Edward Stelmakh</w:t>
            </w:r>
          </w:p>
        </w:tc>
        <w:tc>
          <w:tcPr>
            <w:tcW w:w="9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248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6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653-5974</w:t>
            </w:r>
          </w:p>
        </w:tc>
      </w:tr>
      <w:tr>
        <w:trPr>
          <w:trHeight w:val="238"/>
        </w:trPr>
        <w:tc>
          <w:tcPr>
            <w:tcW w:w="3540" w:type="dxa"/>
            <w:vAlign w:val="bottom"/>
            <w:tcBorders>
              <w:top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(Area Code)</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(Telephone Number)</w:t>
            </w:r>
          </w:p>
        </w:tc>
      </w:tr>
    </w:tbl>
    <w:p>
      <w:pPr>
        <w:spacing w:after="0" w:line="175" w:lineRule="exact"/>
        <w:rPr>
          <w:sz w:val="20"/>
          <w:szCs w:val="20"/>
          <w:color w:val="auto"/>
        </w:rPr>
      </w:pPr>
    </w:p>
    <w:p>
      <w:pPr>
        <w:ind w:left="460" w:right="120" w:hanging="452"/>
        <w:spacing w:after="0" w:line="273" w:lineRule="auto"/>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w:t>
      </w:r>
    </w:p>
    <w:p>
      <w:pPr>
        <w:spacing w:after="0" w:line="1" w:lineRule="exact"/>
        <w:rPr>
          <w:sz w:val="20"/>
          <w:szCs w:val="20"/>
          <w:color w:val="auto"/>
        </w:rPr>
      </w:pPr>
    </w:p>
    <w:p>
      <w:pPr>
        <w:ind w:left="460"/>
        <w:spacing w:after="0" w:line="207" w:lineRule="exact"/>
        <w:tabs>
          <w:tab w:leader="none" w:pos="2160" w:val="left"/>
        </w:tabs>
        <w:rPr>
          <w:sz w:val="20"/>
          <w:szCs w:val="20"/>
          <w:color w:val="auto"/>
        </w:rPr>
      </w:pPr>
      <w:r>
        <w:rPr>
          <w:rFonts w:ascii="Times New Roman" w:cs="Times New Roman" w:eastAsia="Times New Roman" w:hAnsi="Times New Roman"/>
          <w:sz w:val="18"/>
          <w:szCs w:val="18"/>
          <w:color w:val="auto"/>
        </w:rPr>
        <w:t>no, identify report(s). </w:t>
      </w:r>
      <w:r>
        <w:rPr>
          <w:sz w:val="20"/>
          <w:szCs w:val="20"/>
          <w:color w:val="auto"/>
        </w:rPr>
        <w:tab/>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No</w:t>
      </w:r>
    </w:p>
    <w:p>
      <w:pPr>
        <w:spacing w:after="0" w:line="212" w:lineRule="exact"/>
        <w:rPr>
          <w:sz w:val="20"/>
          <w:szCs w:val="20"/>
          <w:color w:val="auto"/>
        </w:rPr>
      </w:pPr>
    </w:p>
    <w:p>
      <w:pPr>
        <w:ind w:left="460" w:right="460" w:hanging="452"/>
        <w:spacing w:after="0" w:line="261"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ind w:left="460"/>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6" w:lineRule="exact"/>
        <w:rPr>
          <w:rFonts w:ascii="Times New Roman" w:cs="Times New Roman" w:eastAsia="Times New Roman" w:hAnsi="Times New Roman"/>
          <w:sz w:val="18"/>
          <w:szCs w:val="18"/>
          <w:color w:val="auto"/>
        </w:rPr>
      </w:pPr>
    </w:p>
    <w:p>
      <w:pPr>
        <w:ind w:left="460" w:right="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OptimizeRx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28, 2024</w:t>
      </w:r>
      <w:r>
        <w:rPr>
          <w:sz w:val="20"/>
          <w:szCs w:val="20"/>
          <w:color w:val="auto"/>
        </w:rPr>
        <w:tab/>
      </w: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Edward Stelmakh</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
      <w:numFmt w:val="bullet"/>
      <w:start w:val="1"/>
    </w:lvl>
    <w:lvl w:ilvl="2">
      <w:lvlJc w:val="left"/>
      <w:lvlText w:val="(%3)"/>
      <w:numFmt w:val="lowerLetter"/>
      <w:start w:val="1"/>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2024-03-28T07:23:52Z</dcterms:created>
  <dcterms:modified xsi:type="dcterms:W3CDTF">2024-03-28T07:23:52Z</dcterms:modified>
</cp:coreProperties>
</file>