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Silvestro Stephen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65"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60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04/24/2024</w:t>
            </w:r>
          </w:p>
        </w:tc>
        <w:tc>
          <w:tcPr>
            <w:tcW w:w="222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02/15/2024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7,750</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16,906</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as originally filed reported in Table 1 a grant of Common Stock on March 15, 2024. However, this transaction occurred on February 15, 2024.</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February 15, 2025, which is the first anniversary of the date of grant.</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prior Form 4 filed by the Reporting Person failed to carry-forward previously owned shares, resulting in an understatement of the shares beneficially owned by the Reporting Person. The total amount beneficially owned has been adjusted to correct such inadvertent understatement.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05/06/2024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2024-05-06T20:38:44Z</dcterms:created>
  <dcterms:modified xsi:type="dcterms:W3CDTF">2024-05-06T20:38:44Z</dcterms:modified>
</cp:coreProperties>
</file>