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142875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24,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14605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3200" w:type="dxa"/>
            <w:vAlign w:val="bottom"/>
          </w:tcPr>
          <w:p>
            <w:pPr>
              <w:jc w:val="right"/>
              <w:ind w:right="1110"/>
              <w:spacing w:after="0"/>
              <w:rPr>
                <w:sz w:val="20"/>
                <w:szCs w:val="20"/>
                <w:color w:val="auto"/>
              </w:rPr>
            </w:pPr>
            <w:r>
              <w:rPr>
                <w:rFonts w:ascii="Arial" w:cs="Arial" w:eastAsia="Arial" w:hAnsi="Arial"/>
                <w:sz w:val="18"/>
                <w:szCs w:val="18"/>
                <w:color w:val="auto"/>
              </w:rPr>
              <w:t>000-53605</w:t>
            </w:r>
          </w:p>
        </w:tc>
        <w:tc>
          <w:tcPr>
            <w:tcW w:w="120" w:type="dxa"/>
            <w:vAlign w:val="bottom"/>
          </w:tcPr>
          <w:p>
            <w:pPr>
              <w:spacing w:after="0"/>
              <w:rPr>
                <w:sz w:val="21"/>
                <w:szCs w:val="21"/>
                <w:color w:val="auto"/>
              </w:rPr>
            </w:pPr>
          </w:p>
        </w:tc>
        <w:tc>
          <w:tcPr>
            <w:tcW w:w="3980" w:type="dxa"/>
            <w:vAlign w:val="bottom"/>
          </w:tcPr>
          <w:p>
            <w:pPr>
              <w:jc w:val="right"/>
              <w:ind w:right="1470"/>
              <w:spacing w:after="0"/>
              <w:rPr>
                <w:sz w:val="20"/>
                <w:szCs w:val="20"/>
                <w:color w:val="auto"/>
              </w:rPr>
            </w:pPr>
            <w:r>
              <w:rPr>
                <w:rFonts w:ascii="Arial" w:cs="Arial" w:eastAsia="Arial" w:hAnsi="Arial"/>
                <w:sz w:val="18"/>
                <w:szCs w:val="18"/>
                <w:color w:val="auto"/>
              </w:rPr>
              <w:t>26-1265381</w:t>
            </w:r>
          </w:p>
        </w:tc>
      </w:tr>
      <w:tr>
        <w:trPr>
          <w:trHeight w:val="230"/>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1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74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400 Water Street, Suite 200, Rochester, MI</w:t>
            </w:r>
          </w:p>
        </w:tc>
        <w:tc>
          <w:tcPr>
            <w:tcW w:w="3980" w:type="dxa"/>
            <w:vAlign w:val="bottom"/>
          </w:tcPr>
          <w:p>
            <w:pPr>
              <w:jc w:val="right"/>
              <w:ind w:right="1670"/>
              <w:spacing w:after="0"/>
              <w:rPr>
                <w:sz w:val="20"/>
                <w:szCs w:val="20"/>
                <w:color w:val="auto"/>
              </w:rPr>
            </w:pPr>
            <w:r>
              <w:rPr>
                <w:rFonts w:ascii="Arial" w:cs="Arial" w:eastAsia="Arial" w:hAnsi="Arial"/>
                <w:sz w:val="18"/>
                <w:szCs w:val="18"/>
                <w:color w:val="auto"/>
              </w:rPr>
              <w:t>48307</w:t>
            </w:r>
          </w:p>
        </w:tc>
      </w:tr>
      <w:tr>
        <w:trPr>
          <w:trHeight w:val="230"/>
        </w:trPr>
        <w:tc>
          <w:tcPr>
            <w:tcW w:w="73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January 24, 2017, we issued a press release concerning an integration with Eye Care Leaders.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2017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11430</wp:posOffset>
            </wp:positionV>
            <wp:extent cx="4631055" cy="943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105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Integrates with Eye Care Leaders to Deliver Improved Eye Care and Cost Savings on Prescriptions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OptimizeRx’s Digital Health Platform to Integrate with Eye Care Leaders’ EHRs Accessible to 6,800 Ophthalmologists and Optometrists Nationwide</w:t>
      </w:r>
    </w:p>
    <w:p>
      <w:pPr>
        <w:spacing w:after="0" w:line="20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DURHAM, NC and ROCHESTER, MI – January 24, 2017 — </w:t>
      </w:r>
      <w:r>
        <w:rPr>
          <w:rFonts w:ascii="Arial" w:cs="Arial" w:eastAsia="Arial" w:hAnsi="Arial"/>
          <w:sz w:val="18"/>
          <w:szCs w:val="18"/>
          <w:color w:val="auto"/>
        </w:rPr>
        <w:t>Eye Care Leaders (ECL), the leading provider of practice performance solutions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ophthalmologists and optometrists, has integrated with OptimizeRx Corp. (OTCQB: OPRX), the leading aggregator of pharmaceutical-sponsored services in electronic health record (EHR) platforms.</w:t>
      </w:r>
    </w:p>
    <w:p>
      <w:pPr>
        <w:spacing w:after="0" w:line="1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Through a dynamic platform integration, ECL and OptimizeRx will provide cost saving and patient information services within EHRs that are part of ECL’s portfolio of performance solutions for more than 6,800 ophthalmologists and optometrists. ECL brings together the most trusted names in EHR technology, including Medflow, Integrity EMR, MDoffice, ManagementPlus, IO Practiceware and EyeDoc.</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OptimizeRx will operate seamlessly within the EHR platform to provide support for health care providers (HCPs) and valuable services for patients. The EHR will alert HCPs to potential savings and information for patients that can result in reduced prescription costs and improved overall health outcomes. Further, multiple independent studies confirm that leading pharma manufacturers have realized ROI ranging from 300% to 1,200% in terms of pharma-sponsored patient financial support programs that are integrated into the EHR workflow.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core EHR workflow solutions include:</w:t>
      </w:r>
    </w:p>
    <w:p>
      <w:pPr>
        <w:spacing w:after="0" w:line="221" w:lineRule="exact"/>
        <w:rPr>
          <w:sz w:val="20"/>
          <w:szCs w:val="20"/>
          <w:color w:val="auto"/>
        </w:rPr>
      </w:pPr>
    </w:p>
    <w:p>
      <w:pPr>
        <w:ind w:left="420" w:right="320" w:hanging="250"/>
        <w:spacing w:after="0" w:line="282"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Financial Messaging</w:t>
      </w:r>
      <w:r>
        <w:rPr>
          <w:rFonts w:ascii="Arial" w:cs="Arial" w:eastAsia="Arial" w:hAnsi="Arial"/>
          <w:sz w:val="18"/>
          <w:szCs w:val="18"/>
          <w:color w:val="auto"/>
        </w:rPr>
        <w:t>: Copay savings, vouchers and other valuable patient support can be delivered to patients electronically at the point of care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more affordable prescriptions.</w:t>
      </w:r>
    </w:p>
    <w:p>
      <w:pPr>
        <w:spacing w:after="0" w:line="53" w:lineRule="exact"/>
        <w:rPr>
          <w:rFonts w:ascii="Arial" w:cs="Arial" w:eastAsia="Arial" w:hAnsi="Arial"/>
          <w:sz w:val="18"/>
          <w:szCs w:val="18"/>
          <w:color w:val="auto"/>
        </w:rPr>
      </w:pPr>
    </w:p>
    <w:p>
      <w:pPr>
        <w:ind w:left="420" w:right="140" w:hanging="250"/>
        <w:spacing w:after="0" w:line="282"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Brand Messaging</w:t>
      </w:r>
      <w:r>
        <w:rPr>
          <w:rFonts w:ascii="Arial" w:cs="Arial" w:eastAsia="Arial" w:hAnsi="Arial"/>
          <w:sz w:val="18"/>
          <w:szCs w:val="18"/>
          <w:color w:val="auto"/>
        </w:rPr>
        <w:t>: Patient education and key clinical brand messaging materials can be delivered at the point of care, in electronic or printed versions,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pharmaceutical and healthcare companies more effective ways to expand HCP and patient support.</w:t>
      </w:r>
    </w:p>
    <w:p>
      <w:pPr>
        <w:spacing w:after="0" w:line="2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integration with OptimizeRx puts cost savings and patient education tools at the fingertips of thousands of physicians using our EHR platforms,” said Jim Alland, president of Eye Care Leaders. “Incorporating these tools furthers our mission of providing the best, most comprehensive solutions to physicians, while ensuring patients receive the highest level of care and services in the industry.”</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OptimizeRx has grown to more than 350 EHR and eRx network partnerships that reach over 300,000 physicians in North America. OptimizeRx’s services can be integrated quickly and seamlessly into virtually any EHR platform, usually within a matter of hours. OptimizeRx then operates easily within the workflow to alert physicians to cost savings opportunities and patient information.</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leader in the EHR industry, we welcome Eye Care Leaders to our growing OptimizeRx family of EHR partners, which represents the healthcare industry’s largest point-of-prescribe promotional network,” said OptimizeRx CEO, William Febbo. “Given how healthcare providers are now spending more than three hours a day on average engaged in their EHR, ECL can now enable physicians to better connect with their patients and provide valuable cost savings and essential eye health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300,000 healthcare providers. In turn, OptimizeRx promotes patient savings and support from the world’s largest pharmaceutical companies, including Pfizer, Lilly, Novartis, AstraZeneca and many others. For more information, visit www.optimizerx.com.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Eye Care Leaders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Eye Care Leaders (ECL) is a family of companies that serves more than 6,800 ophthalmologists and optometrists, with the common goal of improving the efficiency, profitability and competitiveness of eye care practices. ECL brings together the most trusted names in electronic health records including Medflow, Integrity EMR, MDoffice, ManagementPlus, IO Practiceware and EyeDoc, in addition to a comprehensive suite of business solutions including revenue cycle solutions, analytics and benchmarking, patient retention and acquisition and capital financing. With a sole focus on eye care, ECL understands the challenges physicians face, and brings solutions to complex challenges to help practices reach their goals and succeed. For more information, please visit www.eyecareleaders.com or join us on Facebook, Twitter, and LinkedIn.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 Care Leaders 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Stoecker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Racepoint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EyeCareLeaders@racepointglobal.com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 624-3275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OptimizeRx’s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2019-12-07T10:13:37Z</dcterms:created>
  <dcterms:modified xsi:type="dcterms:W3CDTF">2019-12-07T10:13:37Z</dcterms:modified>
</cp:coreProperties>
</file>