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Amendment No. 1</w:t>
      </w:r>
    </w:p>
    <w:p>
      <w:pPr>
        <w:spacing w:after="0" w:line="23"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FORM S-1/A</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b w:val="1"/>
          <w:bCs w:val="1"/>
          <w:i w:val="1"/>
          <w:iCs w:val="1"/>
          <w:color w:val="auto"/>
        </w:rPr>
        <w:t>UNDER THE SECURITIES ACT OF 1933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4"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4"/>
              </w:rPr>
              <w:t>Nevada</w:t>
            </w:r>
          </w:p>
        </w:tc>
        <w:tc>
          <w:tcPr>
            <w:tcW w:w="1120" w:type="dxa"/>
            <w:vAlign w:val="bottom"/>
          </w:tcPr>
          <w:p>
            <w:pPr>
              <w:spacing w:after="0"/>
              <w:rPr>
                <w:sz w:val="17"/>
                <w:szCs w:val="17"/>
                <w:color w:val="auto"/>
              </w:rPr>
            </w:pPr>
          </w:p>
        </w:tc>
        <w:tc>
          <w:tcPr>
            <w:tcW w:w="2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7389</w:t>
            </w:r>
          </w:p>
        </w:tc>
        <w:tc>
          <w:tcPr>
            <w:tcW w:w="268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89"/>
              </w:rPr>
              <w:t>26-1265381</w:t>
            </w:r>
          </w:p>
        </w:tc>
      </w:tr>
      <w:tr>
        <w:trPr>
          <w:trHeight w:val="20"/>
        </w:trPr>
        <w:tc>
          <w:tcPr>
            <w:tcW w:w="1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2"/>
        </w:trPr>
        <w:tc>
          <w:tcPr>
            <w:tcW w:w="278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(State or other jurisdiction of</w:t>
            </w:r>
          </w:p>
        </w:tc>
        <w:tc>
          <w:tcPr>
            <w:tcW w:w="2480" w:type="dxa"/>
            <w:vAlign w:val="bottom"/>
            <w:gridSpan w:val="3"/>
          </w:tcPr>
          <w:p>
            <w:pPr>
              <w:jc w:val="center"/>
              <w:spacing w:after="0"/>
              <w:rPr>
                <w:sz w:val="20"/>
                <w:szCs w:val="20"/>
                <w:color w:val="auto"/>
              </w:rPr>
            </w:pPr>
            <w:r>
              <w:rPr>
                <w:rFonts w:ascii="Arial" w:cs="Arial" w:eastAsia="Arial" w:hAnsi="Arial"/>
                <w:sz w:val="18"/>
                <w:szCs w:val="18"/>
                <w:color w:val="auto"/>
                <w:w w:val="91"/>
              </w:rPr>
              <w:t>(Primary Standard Industrial</w:t>
            </w:r>
          </w:p>
        </w:tc>
        <w:tc>
          <w:tcPr>
            <w:tcW w:w="100" w:type="dxa"/>
            <w:vAlign w:val="bottom"/>
          </w:tcPr>
          <w:p>
            <w:pPr>
              <w:spacing w:after="0"/>
              <w:rPr>
                <w:sz w:val="19"/>
                <w:szCs w:val="19"/>
                <w:color w:val="auto"/>
              </w:rPr>
            </w:pPr>
          </w:p>
        </w:tc>
        <w:tc>
          <w:tcPr>
            <w:tcW w:w="2580" w:type="dxa"/>
            <w:vAlign w:val="bottom"/>
            <w:gridSpan w:val="4"/>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278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incorporation or organization)</w:t>
            </w:r>
          </w:p>
        </w:tc>
        <w:tc>
          <w:tcPr>
            <w:tcW w:w="2480" w:type="dxa"/>
            <w:vAlign w:val="bottom"/>
            <w:gridSpan w:val="3"/>
          </w:tcPr>
          <w:p>
            <w:pPr>
              <w:jc w:val="center"/>
              <w:spacing w:after="0"/>
              <w:rPr>
                <w:sz w:val="20"/>
                <w:szCs w:val="20"/>
                <w:color w:val="auto"/>
              </w:rPr>
            </w:pPr>
            <w:r>
              <w:rPr>
                <w:rFonts w:ascii="Arial" w:cs="Arial" w:eastAsia="Arial" w:hAnsi="Arial"/>
                <w:sz w:val="18"/>
                <w:szCs w:val="18"/>
                <w:color w:val="auto"/>
                <w:w w:val="91"/>
              </w:rPr>
              <w:t>Classification Code Number)</w:t>
            </w:r>
          </w:p>
        </w:tc>
        <w:tc>
          <w:tcPr>
            <w:tcW w:w="100" w:type="dxa"/>
            <w:vAlign w:val="bottom"/>
          </w:tcPr>
          <w:p>
            <w:pPr>
              <w:spacing w:after="0"/>
              <w:rPr>
                <w:sz w:val="20"/>
                <w:szCs w:val="20"/>
                <w:color w:val="auto"/>
              </w:rPr>
            </w:pPr>
          </w:p>
        </w:tc>
        <w:tc>
          <w:tcPr>
            <w:tcW w:w="2580" w:type="dxa"/>
            <w:vAlign w:val="bottom"/>
            <w:gridSpan w:val="4"/>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b w:val="1"/>
                <w:bCs w:val="1"/>
                <w:color w:val="auto"/>
              </w:rPr>
              <w:t>Cane Clark Agency, LLC</w:t>
            </w:r>
          </w:p>
        </w:tc>
      </w:tr>
      <w:tr>
        <w:trPr>
          <w:trHeight w:val="216"/>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400 Water Street, Suite 200</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b w:val="1"/>
                <w:bCs w:val="1"/>
                <w:color w:val="auto"/>
              </w:rPr>
              <w:t>3273 E. Warm Springs Rd.</w:t>
            </w:r>
          </w:p>
        </w:tc>
      </w:tr>
      <w:tr>
        <w:trPr>
          <w:trHeight w:val="216"/>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Rochester, MI 48307</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b w:val="1"/>
                <w:bCs w:val="1"/>
                <w:color w:val="auto"/>
              </w:rPr>
              <w:t>Las Vegas, NV 89120</w:t>
            </w:r>
          </w:p>
        </w:tc>
      </w:tr>
      <w:tr>
        <w:trPr>
          <w:trHeight w:val="194"/>
        </w:trPr>
        <w:tc>
          <w:tcPr>
            <w:tcW w:w="1120" w:type="dxa"/>
            <w:vAlign w:val="bottom"/>
          </w:tcPr>
          <w:p>
            <w:pPr>
              <w:spacing w:after="0" w:line="194" w:lineRule="exact"/>
              <w:rPr>
                <w:sz w:val="20"/>
                <w:szCs w:val="20"/>
                <w:color w:val="auto"/>
              </w:rPr>
            </w:pPr>
            <w:r>
              <w:rPr>
                <w:rFonts w:ascii="Arial" w:cs="Arial" w:eastAsia="Arial" w:hAnsi="Arial"/>
                <w:sz w:val="18"/>
                <w:szCs w:val="18"/>
                <w:b w:val="1"/>
                <w:bCs w:val="1"/>
                <w:color w:val="auto"/>
                <w:w w:val="87"/>
              </w:rPr>
              <w:t>(248) 651-6568</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40" w:type="dxa"/>
            <w:vAlign w:val="bottom"/>
            <w:gridSpan w:val="4"/>
          </w:tcPr>
          <w:p>
            <w:pPr>
              <w:ind w:left="100"/>
              <w:spacing w:after="0" w:line="194" w:lineRule="exact"/>
              <w:rPr>
                <w:sz w:val="20"/>
                <w:szCs w:val="20"/>
                <w:color w:val="auto"/>
              </w:rPr>
            </w:pPr>
            <w:r>
              <w:rPr>
                <w:rFonts w:ascii="Arial" w:cs="Arial" w:eastAsia="Arial" w:hAnsi="Arial"/>
                <w:sz w:val="18"/>
                <w:szCs w:val="18"/>
                <w:b w:val="1"/>
                <w:bCs w:val="1"/>
                <w:color w:val="auto"/>
              </w:rPr>
              <w:t>(702) 312-6255</w:t>
            </w:r>
          </w:p>
        </w:tc>
        <w:tc>
          <w:tcPr>
            <w:tcW w:w="840" w:type="dxa"/>
            <w:vAlign w:val="bottom"/>
          </w:tcPr>
          <w:p>
            <w:pPr>
              <w:spacing w:after="0"/>
              <w:rPr>
                <w:sz w:val="16"/>
                <w:szCs w:val="16"/>
                <w:color w:val="auto"/>
              </w:rPr>
            </w:pPr>
          </w:p>
        </w:tc>
      </w:tr>
      <w:tr>
        <w:trPr>
          <w:trHeight w:val="20"/>
        </w:trPr>
        <w:tc>
          <w:tcPr>
            <w:tcW w:w="112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22"/>
        </w:trPr>
        <w:tc>
          <w:tcPr>
            <w:tcW w:w="2780" w:type="dxa"/>
            <w:vAlign w:val="bottom"/>
            <w:gridSpan w:val="3"/>
          </w:tcPr>
          <w:p>
            <w:pPr>
              <w:spacing w:after="0"/>
              <w:rPr>
                <w:sz w:val="20"/>
                <w:szCs w:val="20"/>
                <w:color w:val="auto"/>
              </w:rPr>
            </w:pPr>
            <w:r>
              <w:rPr>
                <w:rFonts w:ascii="Arial" w:cs="Arial" w:eastAsia="Arial" w:hAnsi="Arial"/>
                <w:sz w:val="18"/>
                <w:szCs w:val="18"/>
                <w:color w:val="auto"/>
              </w:rPr>
              <w:t>(Address, including zip code, and</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color w:val="auto"/>
                <w:w w:val="89"/>
              </w:rPr>
              <w:t>(Name, address, including zip code,</w:t>
            </w:r>
          </w:p>
        </w:tc>
      </w:tr>
      <w:tr>
        <w:trPr>
          <w:trHeight w:val="216"/>
        </w:trPr>
        <w:tc>
          <w:tcPr>
            <w:tcW w:w="2780" w:type="dxa"/>
            <w:vAlign w:val="bottom"/>
            <w:gridSpan w:val="3"/>
          </w:tcPr>
          <w:p>
            <w:pPr>
              <w:spacing w:after="0"/>
              <w:rPr>
                <w:sz w:val="20"/>
                <w:szCs w:val="20"/>
                <w:color w:val="auto"/>
              </w:rPr>
            </w:pPr>
            <w:r>
              <w:rPr>
                <w:rFonts w:ascii="Arial" w:cs="Arial" w:eastAsia="Arial" w:hAnsi="Arial"/>
                <w:sz w:val="18"/>
                <w:szCs w:val="18"/>
                <w:color w:val="auto"/>
              </w:rPr>
              <w:t>telephone number, including area</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color w:val="auto"/>
                <w:w w:val="98"/>
              </w:rPr>
              <w:t>and telephone number, including</w:t>
            </w:r>
          </w:p>
        </w:tc>
      </w:tr>
      <w:tr>
        <w:trPr>
          <w:trHeight w:val="212"/>
        </w:trPr>
        <w:tc>
          <w:tcPr>
            <w:tcW w:w="2780" w:type="dxa"/>
            <w:vAlign w:val="bottom"/>
            <w:gridSpan w:val="3"/>
          </w:tcPr>
          <w:p>
            <w:pPr>
              <w:spacing w:after="0"/>
              <w:rPr>
                <w:sz w:val="20"/>
                <w:szCs w:val="20"/>
                <w:color w:val="auto"/>
              </w:rPr>
            </w:pPr>
            <w:r>
              <w:rPr>
                <w:rFonts w:ascii="Arial" w:cs="Arial" w:eastAsia="Arial" w:hAnsi="Arial"/>
                <w:sz w:val="18"/>
                <w:szCs w:val="18"/>
                <w:color w:val="auto"/>
                <w:w w:val="98"/>
              </w:rPr>
              <w:t>code, of principal executive offices)</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color w:val="auto"/>
              </w:rPr>
              <w:t>area code, of agent for service)</w:t>
            </w:r>
          </w:p>
        </w:tc>
      </w:tr>
      <w:tr>
        <w:trPr>
          <w:trHeight w:val="220"/>
        </w:trPr>
        <w:tc>
          <w:tcPr>
            <w:tcW w:w="5260" w:type="dxa"/>
            <w:vAlign w:val="bottom"/>
            <w:gridSpan w:val="6"/>
          </w:tcPr>
          <w:p>
            <w:pPr>
              <w:spacing w:after="0"/>
              <w:rPr>
                <w:sz w:val="20"/>
                <w:szCs w:val="20"/>
                <w:color w:val="auto"/>
              </w:rPr>
            </w:pPr>
            <w:r>
              <w:rPr>
                <w:rFonts w:ascii="Arial" w:cs="Arial" w:eastAsia="Arial" w:hAnsi="Arial"/>
                <w:sz w:val="18"/>
                <w:szCs w:val="18"/>
                <w:b w:val="1"/>
                <w:bCs w:val="1"/>
                <w:color w:val="auto"/>
                <w:w w:val="89"/>
              </w:rPr>
              <w:t>Approximate date of commencement of proposed sale to the public:</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260" w:type="dxa"/>
            <w:vAlign w:val="bottom"/>
            <w:gridSpan w:val="6"/>
          </w:tcPr>
          <w:p>
            <w:pPr>
              <w:spacing w:after="0"/>
              <w:rPr>
                <w:sz w:val="20"/>
                <w:szCs w:val="20"/>
                <w:color w:val="auto"/>
              </w:rPr>
            </w:pPr>
            <w:r>
              <w:rPr>
                <w:rFonts w:ascii="Arial" w:cs="Arial" w:eastAsia="Arial" w:hAnsi="Arial"/>
                <w:sz w:val="18"/>
                <w:szCs w:val="18"/>
                <w:color w:val="auto"/>
                <w:w w:val="95"/>
              </w:rPr>
              <w:t>From time to time after this registration statement becomes effective.</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0" w:right="239" w:bottom="1440" w:gutter="0" w:footer="0" w:header="0"/>
        </w:sectPr>
      </w:pPr>
    </w:p>
    <w:p>
      <w:pPr>
        <w:spacing w:after="0" w:line="147"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4">
            <w:col w:w="3340" w:space="120"/>
            <w:col w:w="3120" w:space="720"/>
            <w:col w:w="1400" w:space="720"/>
            <w:col w:w="2000"/>
          </w:cols>
          <w:pgMar w:left="240" w:top="220" w:right="239" w:bottom="1440" w:gutter="0" w:footer="0" w:header="0"/>
          <w:type w:val="continuous"/>
        </w:sectPr>
      </w:pPr>
    </w:p>
    <w:p>
      <w:pPr>
        <w:spacing w:after="0" w:line="52"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 ] (Do not check if a smaller reporting company)</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3240" w:space="220"/>
            <w:col w:w="3660" w:space="180"/>
            <w:col w:w="1980" w:space="140"/>
            <w:col w:w="2000"/>
          </w:cols>
          <w:pgMar w:left="240" w:top="220" w:right="239" w:bottom="1440" w:gutter="0" w:footer="0" w:header="0"/>
          <w:type w:val="continuous"/>
        </w:sectPr>
      </w:pPr>
    </w:p>
    <w:p>
      <w:pPr>
        <w:spacing w:after="0" w:line="2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THIS REGISTRATION STATEMENT SHALL BECOME EFFECTIVE ON SUCH DATE AS THE COMMISSION, ACTING PURSUANT TO SECTION 8(A), MAY DETERMINE.</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With 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Scott Doney,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Cane Clark,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3273 E. Warm Springs Rd.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NV 89120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(702) 312-6255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Facsimile: (702) 944-7100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information in this prospectus is not complete and may be changed. This prospectus is included in a registration statement that we filed with the Securities and Exchange Commission. The Selling Shareholders cannot sell these securities under this registration statement until this registration statement becomes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May 12,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9,137,472 Shares of Common Stock</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prospectus relates to the resale by the Selling Shareholders of up to 9,137,472 shares of our Common Stock, par value $0.001 per share (the “Common Stock”). The Common Stock was acquired by the Selling Shareholders in connection with a private placement offering we completed on March 17, 2014 (the “March 2014 Private Placement”). We are registering the resale of the Common Stock as required by the Registration Rights Agreement we entered into with the Selling Shareholders in connection with the March 2014 Private Placement (the “Registration Rights Agreement”). Of the Common Stock offered herein, 804,139 shares are issuable upon the exercise of warrants held by the placement agents in the March 2014 Private Placement.</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Selling Shareholders may offer and sell or otherwise dispose of the shares described in this prospectus from time to time through public or private transaction at prevailing market prices, at prices related to such prevailing market prices, at varying prices determined at the time of sale, at negotiated prices, or at fixed prices. See “Plan of Distribution” beginning on page 14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of the proceeds from the Common Stock sold by the Selling Shareholders.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agreed to pay certain expenses in connection with this registration statement and to indemnify the Selling Shareholders against certain liabilities. The Selling Shareholders will pay all underwriting discounts and selling commissions, if any, in connection with the sale of the shares of Common Stock.</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Common Stock is traded on the OTC Bulletin Board under the symbol “OPRX.” On May 9, 2014, the last reported sale price of our Common Stock was $1.70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7.</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May 12,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154940</wp:posOffset>
            </wp:positionV>
            <wp:extent cx="2573020" cy="831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302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22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2920" w:type="dxa"/>
            <w:vAlign w:val="bottom"/>
            <w:gridSpan w:val="13"/>
          </w:tcPr>
          <w:p>
            <w:pPr>
              <w:spacing w:after="0"/>
              <w:rPr>
                <w:sz w:val="17"/>
                <w:szCs w:val="17"/>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4</w:t>
            </w:r>
          </w:p>
        </w:tc>
      </w:tr>
      <w:tr>
        <w:trPr>
          <w:trHeight w:val="196"/>
        </w:trPr>
        <w:tc>
          <w:tcPr>
            <w:tcW w:w="2860" w:type="dxa"/>
            <w:vAlign w:val="bottom"/>
          </w:tcPr>
          <w:p>
            <w:pPr>
              <w:spacing w:after="0"/>
              <w:rPr>
                <w:sz w:val="17"/>
                <w:szCs w:val="17"/>
                <w:color w:val="auto"/>
              </w:rPr>
            </w:pPr>
          </w:p>
        </w:tc>
        <w:tc>
          <w:tcPr>
            <w:tcW w:w="360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ABOUT FORWARD-LOOKING STATEMENTS</w:t>
              </w:r>
            </w:hyperlink>
          </w:p>
        </w:tc>
        <w:tc>
          <w:tcPr>
            <w:tcW w:w="1560" w:type="dxa"/>
            <w:vAlign w:val="bottom"/>
            <w:gridSpan w:val="8"/>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5</w:t>
            </w:r>
          </w:p>
        </w:tc>
      </w:tr>
      <w:tr>
        <w:trPr>
          <w:trHeight w:val="20"/>
        </w:trPr>
        <w:tc>
          <w:tcPr>
            <w:tcW w:w="28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3900" w:type="dxa"/>
            <w:vAlign w:val="bottom"/>
            <w:gridSpan w:val="21"/>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7</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12</w:t>
            </w:r>
          </w:p>
        </w:tc>
      </w:tr>
      <w:tr>
        <w:trPr>
          <w:trHeight w:val="20"/>
        </w:trPr>
        <w:tc>
          <w:tcPr>
            <w:tcW w:w="286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DETERMINATION OF OFFERING PRICE</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12</w:t>
            </w:r>
          </w:p>
        </w:tc>
      </w:tr>
      <w:tr>
        <w:trPr>
          <w:trHeight w:val="196"/>
        </w:trPr>
        <w:tc>
          <w:tcPr>
            <w:tcW w:w="28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SELLING SHAREHOLDERS</w:t>
              </w:r>
            </w:hyperlink>
          </w:p>
        </w:tc>
        <w:tc>
          <w:tcPr>
            <w:tcW w:w="1000" w:type="dxa"/>
            <w:vAlign w:val="bottom"/>
            <w:tcBorders>
              <w:top w:val="single" w:sz="8" w:color="0000EE"/>
            </w:tcBorders>
            <w:gridSpan w:val="5"/>
          </w:tcPr>
          <w:p>
            <w:pPr>
              <w:spacing w:after="0"/>
              <w:rPr>
                <w:sz w:val="17"/>
                <w:szCs w:val="17"/>
                <w:color w:val="auto"/>
              </w:rPr>
            </w:pPr>
          </w:p>
        </w:tc>
        <w:tc>
          <w:tcPr>
            <w:tcW w:w="1940" w:type="dxa"/>
            <w:vAlign w:val="bottom"/>
            <w:gridSpan w:val="9"/>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12</w:t>
            </w:r>
          </w:p>
        </w:tc>
      </w:tr>
      <w:tr>
        <w:trPr>
          <w:trHeight w:val="196"/>
        </w:trPr>
        <w:tc>
          <w:tcPr>
            <w:tcW w:w="286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PLAN OF DISTRIBUTION</w:t>
              </w:r>
            </w:hyperlink>
          </w:p>
        </w:tc>
        <w:tc>
          <w:tcPr>
            <w:tcW w:w="3100" w:type="dxa"/>
            <w:vAlign w:val="bottom"/>
            <w:gridSpan w:val="16"/>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14</w:t>
            </w:r>
          </w:p>
        </w:tc>
      </w:tr>
      <w:tr>
        <w:trPr>
          <w:trHeight w:val="196"/>
        </w:trPr>
        <w:tc>
          <w:tcPr>
            <w:tcW w:w="286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LEGAL PROCEEDINGS</w:t>
              </w:r>
            </w:hyperlink>
          </w:p>
        </w:tc>
        <w:tc>
          <w:tcPr>
            <w:tcW w:w="3280" w:type="dxa"/>
            <w:vAlign w:val="bottom"/>
            <w:gridSpan w:val="17"/>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16</w:t>
            </w:r>
          </w:p>
        </w:tc>
      </w:tr>
      <w:tr>
        <w:trPr>
          <w:trHeight w:val="196"/>
        </w:trPr>
        <w:tc>
          <w:tcPr>
            <w:tcW w:w="286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DIRECTORS, EXECUTIVE OFFICERS, PROMOTERS AND</w:t>
              </w:r>
            </w:hyperlink>
          </w:p>
        </w:tc>
        <w:tc>
          <w:tcPr>
            <w:tcW w:w="560" w:type="dxa"/>
            <w:vAlign w:val="bottom"/>
            <w:gridSpan w:val="3"/>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16</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CONTROL PERSONS</w:t>
              </w:r>
            </w:hyperlink>
          </w:p>
        </w:tc>
        <w:tc>
          <w:tcPr>
            <w:tcW w:w="34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496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SECURITY OWNERSHIP OF CERTAIN BENEFICIAL OWNERS</w:t>
              </w:r>
            </w:hyperlink>
          </w:p>
        </w:tc>
        <w:tc>
          <w:tcPr>
            <w:tcW w:w="200" w:type="dxa"/>
            <w:vAlign w:val="bottom"/>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18</w:t>
            </w:r>
          </w:p>
        </w:tc>
      </w:tr>
      <w:tr>
        <w:trPr>
          <w:trHeight w:val="196"/>
        </w:trPr>
        <w:tc>
          <w:tcPr>
            <w:tcW w:w="2860" w:type="dxa"/>
            <w:vAlign w:val="bottom"/>
          </w:tcPr>
          <w:p>
            <w:pPr>
              <w:spacing w:after="0"/>
              <w:rPr>
                <w:sz w:val="17"/>
                <w:szCs w:val="17"/>
                <w:color w:val="auto"/>
              </w:rPr>
            </w:pPr>
          </w:p>
        </w:tc>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AND MANAGEMENT</w:t>
              </w:r>
            </w:hyperlink>
          </w:p>
        </w:tc>
        <w:tc>
          <w:tcPr>
            <w:tcW w:w="3420" w:type="dxa"/>
            <w:vAlign w:val="bottom"/>
            <w:gridSpan w:val="18"/>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25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DESCRIPTION OF SECURITIES</w:t>
              </w:r>
            </w:hyperlink>
          </w:p>
        </w:tc>
        <w:tc>
          <w:tcPr>
            <w:tcW w:w="2640" w:type="dxa"/>
            <w:vAlign w:val="bottom"/>
            <w:gridSpan w:val="10"/>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18</w:t>
            </w:r>
          </w:p>
        </w:tc>
      </w:tr>
      <w:tr>
        <w:trPr>
          <w:trHeight w:val="196"/>
        </w:trPr>
        <w:tc>
          <w:tcPr>
            <w:tcW w:w="2860" w:type="dxa"/>
            <w:vAlign w:val="bottom"/>
          </w:tcPr>
          <w:p>
            <w:pPr>
              <w:spacing w:after="0"/>
              <w:rPr>
                <w:sz w:val="17"/>
                <w:szCs w:val="17"/>
                <w:color w:val="auto"/>
              </w:rPr>
            </w:pPr>
          </w:p>
        </w:tc>
        <w:tc>
          <w:tcPr>
            <w:tcW w:w="406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INTERESTS OF NAMED EXPERTS AND COUNSEL</w:t>
              </w:r>
            </w:hyperlink>
          </w:p>
        </w:tc>
        <w:tc>
          <w:tcPr>
            <w:tcW w:w="1100" w:type="dxa"/>
            <w:vAlign w:val="bottom"/>
            <w:gridSpan w:val="5"/>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21</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DISCLOSURE OF COMMISSION POSITION OF</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22</w:t>
            </w: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INDEMNIFICATION FOR SECURITIES ACT LIABILITIES</w:t>
              </w:r>
            </w:hyperlink>
          </w:p>
        </w:tc>
        <w:tc>
          <w:tcPr>
            <w:tcW w:w="340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45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BUSINESS</w:t>
              </w:r>
            </w:hyperlink>
          </w:p>
        </w:tc>
        <w:tc>
          <w:tcPr>
            <w:tcW w:w="620" w:type="dxa"/>
            <w:vAlign w:val="bottom"/>
            <w:gridSpan w:val="4"/>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22</w:t>
            </w: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CERTAIN RELATIONSHIPS AND RELATED TRANSACTIONS</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29</w:t>
            </w:r>
          </w:p>
        </w:tc>
      </w:tr>
      <w:tr>
        <w:trPr>
          <w:trHeight w:val="196"/>
        </w:trPr>
        <w:tc>
          <w:tcPr>
            <w:tcW w:w="2860" w:type="dxa"/>
            <w:vAlign w:val="bottom"/>
          </w:tcPr>
          <w:p>
            <w:pPr>
              <w:spacing w:after="0"/>
              <w:rPr>
                <w:sz w:val="17"/>
                <w:szCs w:val="17"/>
                <w:color w:val="auto"/>
              </w:rPr>
            </w:pPr>
          </w:p>
        </w:tc>
        <w:tc>
          <w:tcPr>
            <w:tcW w:w="48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MARKET FOR COMMON EQUITY AND RELATED</w:t>
              </w:r>
            </w:hyperlink>
          </w:p>
        </w:tc>
        <w:tc>
          <w:tcPr>
            <w:tcW w:w="300" w:type="dxa"/>
            <w:vAlign w:val="bottom"/>
            <w:gridSpan w:val="2"/>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29</w:t>
            </w:r>
          </w:p>
        </w:tc>
      </w:tr>
      <w:tr>
        <w:trPr>
          <w:trHeight w:val="196"/>
        </w:trPr>
        <w:tc>
          <w:tcPr>
            <w:tcW w:w="2860" w:type="dxa"/>
            <w:vAlign w:val="bottom"/>
          </w:tcPr>
          <w:p>
            <w:pPr>
              <w:spacing w:after="0"/>
              <w:rPr>
                <w:sz w:val="17"/>
                <w:szCs w:val="17"/>
                <w:color w:val="auto"/>
              </w:rPr>
            </w:pPr>
          </w:p>
        </w:tc>
        <w:tc>
          <w:tcPr>
            <w:tcW w:w="4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STOCKHOLDER MATTERS</w:t>
              </w:r>
            </w:hyperlink>
          </w:p>
        </w:tc>
        <w:tc>
          <w:tcPr>
            <w:tcW w:w="1140" w:type="dxa"/>
            <w:vAlign w:val="bottom"/>
            <w:gridSpan w:val="6"/>
          </w:tcPr>
          <w:p>
            <w:pPr>
              <w:spacing w:after="0"/>
              <w:rPr>
                <w:sz w:val="17"/>
                <w:szCs w:val="17"/>
                <w:color w:val="auto"/>
              </w:rPr>
            </w:pPr>
          </w:p>
        </w:tc>
        <w:tc>
          <w:tcPr>
            <w:tcW w:w="34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EXECUTIVE COMPENSATION</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32</w:t>
            </w:r>
          </w:p>
        </w:tc>
      </w:tr>
      <w:tr>
        <w:trPr>
          <w:trHeight w:val="196"/>
        </w:trPr>
        <w:tc>
          <w:tcPr>
            <w:tcW w:w="286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FINANCIAL STATEMENTS</w:t>
              </w:r>
            </w:hyperlink>
          </w:p>
        </w:tc>
        <w:tc>
          <w:tcPr>
            <w:tcW w:w="260" w:type="dxa"/>
            <w:vAlign w:val="bottom"/>
            <w:tcBorders>
              <w:top w:val="single" w:sz="8" w:color="0000EE"/>
            </w:tcBorders>
            <w:gridSpan w:val="4"/>
          </w:tcPr>
          <w:p>
            <w:pPr>
              <w:spacing w:after="0"/>
              <w:rPr>
                <w:sz w:val="17"/>
                <w:szCs w:val="17"/>
                <w:color w:val="auto"/>
              </w:rPr>
            </w:pPr>
          </w:p>
        </w:tc>
        <w:tc>
          <w:tcPr>
            <w:tcW w:w="2720" w:type="dxa"/>
            <w:vAlign w:val="bottom"/>
            <w:gridSpan w:val="11"/>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35</w:t>
            </w:r>
          </w:p>
        </w:tc>
      </w:tr>
      <w:tr>
        <w:trPr>
          <w:trHeight w:val="196"/>
        </w:trPr>
        <w:tc>
          <w:tcPr>
            <w:tcW w:w="2860" w:type="dxa"/>
            <w:vAlign w:val="bottom"/>
          </w:tcPr>
          <w:p>
            <w:pPr>
              <w:spacing w:after="0"/>
              <w:rPr>
                <w:sz w:val="17"/>
                <w:szCs w:val="17"/>
                <w:color w:val="auto"/>
              </w:rPr>
            </w:pPr>
          </w:p>
        </w:tc>
        <w:tc>
          <w:tcPr>
            <w:tcW w:w="496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CHANGES IN AND DISAGREEMENTS WITH ACCOUNTANTS</w:t>
              </w:r>
            </w:hyperlink>
          </w:p>
        </w:tc>
        <w:tc>
          <w:tcPr>
            <w:tcW w:w="200" w:type="dxa"/>
            <w:vAlign w:val="bottom"/>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36</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AVAILABLE INFORMATION</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36</w:t>
            </w:r>
          </w:p>
        </w:tc>
      </w:tr>
      <w:tr>
        <w:trPr>
          <w:trHeight w:val="426"/>
        </w:trPr>
        <w:tc>
          <w:tcPr>
            <w:tcW w:w="286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224"/>
        </w:trPr>
        <w:tc>
          <w:tcPr>
            <w:tcW w:w="6080" w:type="dxa"/>
            <w:vAlign w:val="bottom"/>
            <w:gridSpan w:val="15"/>
          </w:tcPr>
          <w:p>
            <w:pPr>
              <w:jc w:val="right"/>
              <w:ind w:right="32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the SEC. Under this registration process, the selling shareholders may, from time to time, offer and sell up to 9,137,472 shares of our common stock, as described in this prospectus, in one or more offerings. This prospectus provides you with a general description of the securities the selling shareholders may offer. You should read this prospectus carefully before making an investment decision.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7 of this prospectus.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unique consumer and physician platforms and strategies to help patients better afford and comply with their medicines and healthcare products, while offering pharmaceutical and healthcare companies more effective ways to expand physician and patient awareness, access and adherence to their medications and available product support.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core product offering is our SampleMD™ software application which delivers an automated system that replaces traditional physical drug samples by enabling doctors or other healthcare providers to automatically print and electronically distribute sample vouchers or co-pay discount coupons within their ePrescribing/ EHR (electronic health record) system or from their computer desktops. Through SampleMD, pharmaceutical and biotech manufacturers have a digital paperless platform to directly offer patient's critical cost savings, patient education and adherence tools-- right at point of prescribing.</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consumer support website, www.OPTIMIZERx.com and our subscriber base exceeding 2.5 million patients, continues to grow each month and we believe is quickly becoming the preferred way to access branded prescription vouchers, co-pay savings and other support programs.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March 2014 Private Placement Financing and Exercise of Redemption Option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17, 2014 (the “March 2014 Private Placement”), we entered into a Stock Purchase Agreement (the “Purchase Agreement”) with certain accredited investors (the “Purchasers”) pursuant to which we: (i) sold to the Purchasers an aggregate of 8,333,333 shares of our Common Stock at a price per share of $1.20 (the “Common Shares”) for aggregate gross proceeds of $10 million and (ii) issued warrants to purchase up to 804,139 shares of the our Common Stock to our placement agents (the “Agent Warrants”). Placement Agents also received commissions equal to approximately 9.7% of the gross proceeds, for an aggregate commission of approximately $970,000, including reimbursements for their reasonable out of pocket expenses.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used the net proceeds of the March 2014 Private Placement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35 shares of Series A Convertible Preferred Stock, 30 shares of Series B Convertible Preferred Stock, 886,340 shares of common stock, and warrants to purchase 10,000,000 shares of common stock held by Vicis in our company. The balance of the net proceeds will be used for working capital purposes.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March 2014 Private Placement, we entered into a registration rights agreement with the Purchasers (the “Registration Rights Agreement”), pursuant to which we agreed to register for resale the Common Shares acquired by the Purchasers (the “Registrable Securities”).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March 2014 Private Placement and to use our reasonable best efforts to cause the Registration Statement to be declared effective as soon as practicable after the filing thereof, but in any event no later than 90 days following the close of the March 2014 Private Placement (or 120 days following the close of the March 2014 Private Placement if the SEC determines to review the Registration Statement).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the Registration Statement, among other things, (i) has not been filed by 30 days following the close of the March 2014 Private Placement, (ii) has not been declared effective by 90 days following the close of the Offering (or 120 days following the close of the Offering in the event the SEC determines to review the Registration Statement), or (iii) ceases to remain continuously effective as to all Registrable Securities for more than 10 consecutive days or 15 days during any 12-month period, then we have agreed to make payments to each Purchaser as liquidated damages in an amount equal to 1.0% of the aggregate amount invested by each such Purchaser per 30-day period, up to a maximum aggregate liquidated damages amount equal to 6% of the aggregate amount invested by each such Purchaser. In addition, we have agreed to keep the Registration Statement continuously effective until the earliest to occur of (i) the date on which all of the Registrable Securities registered thereunder have been sold and (ii) the date on which all of the Registrable Securities covered by the Registration Statement may be sold without restriction pursuant to Rule 144 under the Securities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3"/>
              </w:rPr>
              <w:t>The Offering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40" w:type="dxa"/>
            <w:vAlign w:val="bottom"/>
            <w:gridSpan w:val="2"/>
          </w:tcPr>
          <w:p>
            <w:pPr>
              <w:spacing w:after="0"/>
              <w:rPr>
                <w:sz w:val="20"/>
                <w:szCs w:val="20"/>
                <w:color w:val="auto"/>
              </w:rPr>
            </w:pPr>
            <w:r>
              <w:rPr>
                <w:rFonts w:ascii="Arial" w:cs="Arial" w:eastAsia="Arial" w:hAnsi="Arial"/>
                <w:sz w:val="18"/>
                <w:szCs w:val="18"/>
                <w:color w:val="auto"/>
                <w:w w:val="98"/>
              </w:rPr>
              <w:t>Common stock offered by the Selling Shareholders</w:t>
            </w: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0"/>
              </w:rPr>
              <w:t>9,137,472 shares of common stock, consisting of 8,333,333 Common Shares and Agent Warrants</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rPr>
              <w:t>to purchase up to 804,139 shares of the our common stock.</w:t>
            </w:r>
          </w:p>
        </w:tc>
        <w:tc>
          <w:tcPr>
            <w:tcW w:w="0" w:type="dxa"/>
            <w:vAlign w:val="bottom"/>
          </w:tcPr>
          <w:p>
            <w:pPr>
              <w:spacing w:after="0"/>
              <w:rPr>
                <w:sz w:val="1"/>
                <w:szCs w:val="1"/>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Selling Shareholders</w:t>
            </w: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Selling Shareholders</w:t>
            </w:r>
            <w:r>
              <w:rPr>
                <w:rFonts w:ascii="Arial" w:cs="Arial" w:eastAsia="Arial" w:hAnsi="Arial"/>
                <w:sz w:val="18"/>
                <w:szCs w:val="18"/>
                <w:color w:val="auto"/>
              </w:rPr>
              <w:t>” beginning on page 12 .</w:t>
            </w:r>
          </w:p>
        </w:tc>
        <w:tc>
          <w:tcPr>
            <w:tcW w:w="0" w:type="dxa"/>
            <w:vAlign w:val="bottom"/>
          </w:tcPr>
          <w:p>
            <w:pPr>
              <w:spacing w:after="0"/>
              <w:rPr>
                <w:sz w:val="1"/>
                <w:szCs w:val="1"/>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Common stock outstanding</w:t>
            </w: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rPr>
              <w:t>22,809,586 common shares as of March 31, 2014.</w:t>
            </w:r>
          </w:p>
        </w:tc>
        <w:tc>
          <w:tcPr>
            <w:tcW w:w="0" w:type="dxa"/>
            <w:vAlign w:val="bottom"/>
          </w:tcPr>
          <w:p>
            <w:pPr>
              <w:spacing w:after="0"/>
              <w:rPr>
                <w:sz w:val="1"/>
                <w:szCs w:val="1"/>
                <w:color w:val="auto"/>
              </w:rPr>
            </w:pPr>
          </w:p>
        </w:tc>
      </w:tr>
      <w:tr>
        <w:trPr>
          <w:trHeight w:val="418"/>
        </w:trPr>
        <w:tc>
          <w:tcPr>
            <w:tcW w:w="404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0"/>
              </w:rPr>
              <w:t>We will not receive any proceeds from the sale or other disposition of the shares of common stock</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4"/>
              </w:rPr>
              <w:t>covered by this prospectus. However, upon any exercise of the Agent Warrants for cash, such</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0"/>
              </w:rPr>
              <w:t>Selling Shareholders would pay us the exercise price of the warrants. Cash received from exercise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5"/>
              </w:rPr>
              <w:t>of Agent Warrants will be used for general corporate purposes. Additionally, the Warrants are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88"/>
              </w:rPr>
              <w:t>exercisable on a cashless basis. If any Agent Warrants are exercised on a cashless basis, we would</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2"/>
              </w:rPr>
              <w:t>not receive any cash payment from such Selling Shareholders upon any exercise of such Agent</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rPr>
              <w:t>Warrants. See “</w:t>
            </w:r>
            <w:r>
              <w:rPr>
                <w:rFonts w:ascii="Arial" w:cs="Arial" w:eastAsia="Arial" w:hAnsi="Arial"/>
                <w:sz w:val="18"/>
                <w:szCs w:val="18"/>
                <w:i w:val="1"/>
                <w:iCs w:val="1"/>
                <w:color w:val="auto"/>
              </w:rPr>
              <w:t>Use of Proceeds</w:t>
            </w:r>
            <w:r>
              <w:rPr>
                <w:rFonts w:ascii="Arial" w:cs="Arial" w:eastAsia="Arial" w:hAnsi="Arial"/>
                <w:sz w:val="18"/>
                <w:szCs w:val="18"/>
                <w:color w:val="auto"/>
              </w:rPr>
              <w:t>” on page 12 .</w:t>
            </w:r>
          </w:p>
        </w:tc>
        <w:tc>
          <w:tcPr>
            <w:tcW w:w="0" w:type="dxa"/>
            <w:vAlign w:val="bottom"/>
          </w:tcPr>
          <w:p>
            <w:pPr>
              <w:spacing w:after="0"/>
              <w:rPr>
                <w:sz w:val="1"/>
                <w:szCs w:val="1"/>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OTC Bulletin Board Symbol</w:t>
            </w: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8"/>
              </w:rPr>
              <w:t>Our Common Stock is quoted on the OTC Bulletin Board under the ticker symbol “OPRX”.</w:t>
            </w:r>
          </w:p>
        </w:tc>
        <w:tc>
          <w:tcPr>
            <w:tcW w:w="0" w:type="dxa"/>
            <w:vAlign w:val="bottom"/>
          </w:tcPr>
          <w:p>
            <w:pPr>
              <w:spacing w:after="0"/>
              <w:rPr>
                <w:sz w:val="1"/>
                <w:szCs w:val="1"/>
                <w:color w:val="auto"/>
              </w:rPr>
            </w:pPr>
          </w:p>
        </w:tc>
      </w:tr>
      <w:tr>
        <w:trPr>
          <w:trHeight w:val="418"/>
        </w:trPr>
        <w:tc>
          <w:tcPr>
            <w:tcW w:w="404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3"/>
              </w:rPr>
              <w:t>You should consider the matters set forth under “</w:t>
            </w:r>
            <w:r>
              <w:rPr>
                <w:rFonts w:ascii="Arial" w:cs="Arial" w:eastAsia="Arial" w:hAnsi="Arial"/>
                <w:sz w:val="18"/>
                <w:szCs w:val="18"/>
                <w:i w:val="1"/>
                <w:iCs w:val="1"/>
                <w:color w:val="auto"/>
                <w:w w:val="93"/>
              </w:rPr>
              <w:t>Risk Factors</w:t>
            </w:r>
            <w:r>
              <w:rPr>
                <w:rFonts w:ascii="Arial" w:cs="Arial" w:eastAsia="Arial" w:hAnsi="Arial"/>
                <w:sz w:val="18"/>
                <w:szCs w:val="18"/>
                <w:color w:val="auto"/>
                <w:w w:val="93"/>
              </w:rPr>
              <w:t>” beginning on page 7 , as well as</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4"/>
              </w:rPr>
              <w:t>other cautionary statements throughout or incorporated by reference in this prospectus, before</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rPr>
              <w:t>deciding to invest in shares of our common stock.</w:t>
            </w:r>
          </w:p>
        </w:tc>
        <w:tc>
          <w:tcPr>
            <w:tcW w:w="0" w:type="dxa"/>
            <w:vAlign w:val="bottom"/>
          </w:tcPr>
          <w:p>
            <w:pPr>
              <w:spacing w:after="0"/>
              <w:rPr>
                <w:sz w:val="1"/>
                <w:szCs w:val="1"/>
                <w:color w:val="auto"/>
              </w:rPr>
            </w:pPr>
          </w:p>
        </w:tc>
      </w:tr>
      <w:tr>
        <w:trPr>
          <w:trHeight w:val="432"/>
        </w:trPr>
        <w:tc>
          <w:tcPr>
            <w:tcW w:w="2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40" w:type="dxa"/>
            <w:vAlign w:val="bottom"/>
            <w:gridSpan w:val="6"/>
          </w:tcPr>
          <w:p>
            <w:pPr>
              <w:jc w:val="center"/>
              <w:ind w:left="310"/>
              <w:spacing w:after="0"/>
              <w:rPr>
                <w:sz w:val="20"/>
                <w:szCs w:val="20"/>
                <w:color w:val="auto"/>
              </w:rPr>
            </w:pPr>
            <w:r>
              <w:rPr>
                <w:rFonts w:ascii="Arial" w:cs="Arial" w:eastAsia="Arial" w:hAnsi="Arial"/>
                <w:sz w:val="18"/>
                <w:szCs w:val="18"/>
                <w:b w:val="1"/>
                <w:bCs w:val="1"/>
                <w:color w:val="auto"/>
                <w:w w:val="92"/>
              </w:rPr>
              <w:t>Summary Financial Information</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080" w:type="dxa"/>
            <w:vAlign w:val="bottom"/>
            <w:gridSpan w:val="3"/>
          </w:tcPr>
          <w:p>
            <w:pPr>
              <w:ind w:left="2860"/>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24"/>
                <w:szCs w:val="24"/>
                <w:color w:val="auto"/>
              </w:rPr>
            </w:pPr>
          </w:p>
        </w:tc>
        <w:tc>
          <w:tcPr>
            <w:tcW w:w="166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December 31, 2012</w:t>
            </w:r>
          </w:p>
        </w:tc>
        <w:tc>
          <w:tcPr>
            <w:tcW w:w="20" w:type="dxa"/>
            <w:vAlign w:val="bottom"/>
          </w:tcPr>
          <w:p>
            <w:pPr>
              <w:spacing w:after="0"/>
              <w:rPr>
                <w:sz w:val="24"/>
                <w:szCs w:val="24"/>
                <w:color w:val="auto"/>
              </w:rPr>
            </w:pPr>
          </w:p>
        </w:tc>
        <w:tc>
          <w:tcPr>
            <w:tcW w:w="4420" w:type="dxa"/>
            <w:vAlign w:val="bottom"/>
            <w:gridSpan w:val="3"/>
          </w:tcPr>
          <w:p>
            <w:pPr>
              <w:jc w:val="right"/>
              <w:ind w:right="2920"/>
              <w:spacing w:after="0"/>
              <w:rPr>
                <w:sz w:val="20"/>
                <w:szCs w:val="20"/>
                <w:color w:val="auto"/>
              </w:rPr>
            </w:pPr>
            <w:r>
              <w:rPr>
                <w:rFonts w:ascii="Arial" w:cs="Arial" w:eastAsia="Arial" w:hAnsi="Arial"/>
                <w:sz w:val="18"/>
                <w:szCs w:val="18"/>
                <w:b w:val="1"/>
                <w:bCs w:val="1"/>
                <w:color w:val="auto"/>
                <w:w w:val="91"/>
              </w:rPr>
              <w:t>December 31, 2013</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1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Cash</w:t>
            </w:r>
          </w:p>
        </w:tc>
        <w:tc>
          <w:tcPr>
            <w:tcW w:w="1040" w:type="dxa"/>
            <w:vAlign w:val="bottom"/>
            <w:tcBorders>
              <w:top w:val="single" w:sz="8" w:color="CCEECC"/>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tcBorders>
            <w:shd w:val="clear" w:color="auto" w:fill="CCEECC"/>
          </w:tcPr>
          <w:p>
            <w:pPr>
              <w:jc w:val="right"/>
              <w:ind w:right="11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tcPr>
          <w:p>
            <w:pPr>
              <w:spacing w:after="0"/>
              <w:rPr>
                <w:sz w:val="18"/>
                <w:szCs w:val="18"/>
                <w:color w:val="auto"/>
              </w:rPr>
            </w:pP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17"/>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2,175,404</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CC"/>
          </w:tcPr>
          <w:p>
            <w:pPr>
              <w:spacing w:after="0"/>
              <w:rPr>
                <w:sz w:val="18"/>
                <w:szCs w:val="18"/>
                <w:color w:val="auto"/>
              </w:rPr>
            </w:pPr>
          </w:p>
        </w:tc>
        <w:tc>
          <w:tcPr>
            <w:tcW w:w="46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1,968,652</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gridSpan w:val="2"/>
            <w:shd w:val="clear" w:color="auto" w:fill="CCEECC"/>
          </w:tcPr>
          <w:p>
            <w:pPr>
              <w:jc w:val="right"/>
              <w:ind w:right="117"/>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770,522</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2,039,368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17"/>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1,404,882</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40" w:type="dxa"/>
            <w:vAlign w:val="bottom"/>
            <w:gridSpan w:val="3"/>
            <w:shd w:val="clear" w:color="auto" w:fill="CCEECC"/>
          </w:tcPr>
          <w:p>
            <w:pPr>
              <w:jc w:val="right"/>
              <w:ind w:right="160"/>
              <w:spacing w:after="0" w:line="198" w:lineRule="exact"/>
              <w:rPr>
                <w:sz w:val="20"/>
                <w:szCs w:val="20"/>
                <w:color w:val="auto"/>
              </w:rPr>
            </w:pPr>
            <w:r>
              <w:rPr>
                <w:rFonts w:ascii="Arial" w:cs="Arial" w:eastAsia="Arial" w:hAnsi="Arial"/>
                <w:sz w:val="18"/>
                <w:szCs w:val="18"/>
                <w:b w:val="1"/>
                <w:bCs w:val="1"/>
                <w:color w:val="auto"/>
              </w:rPr>
              <w:t>Year Ended</w:t>
            </w: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300" w:type="dxa"/>
            <w:vAlign w:val="bottom"/>
            <w:tcBorders>
              <w:right w:val="single" w:sz="8" w:color="CCEECC"/>
            </w:tcBorders>
            <w:shd w:val="clear" w:color="auto" w:fill="CCEECC"/>
          </w:tcPr>
          <w:p>
            <w:pPr>
              <w:jc w:val="right"/>
              <w:spacing w:after="0" w:line="198" w:lineRule="exact"/>
              <w:rPr>
                <w:sz w:val="20"/>
                <w:szCs w:val="20"/>
                <w:color w:val="auto"/>
              </w:rPr>
            </w:pPr>
            <w:r>
              <w:rPr>
                <w:rFonts w:ascii="Arial" w:cs="Arial" w:eastAsia="Arial" w:hAnsi="Arial"/>
                <w:sz w:val="18"/>
                <w:szCs w:val="18"/>
                <w:b w:val="1"/>
                <w:bCs w:val="1"/>
                <w:color w:val="auto"/>
              </w:rPr>
              <w:t>Year Ended</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0" w:type="dxa"/>
            <w:vAlign w:val="bottom"/>
            <w:gridSpan w:val="2"/>
            <w:vMerge w:val="restart"/>
            <w:shd w:val="clear" w:color="auto" w:fill="CCEECC"/>
          </w:tcPr>
          <w:p>
            <w:pPr>
              <w:spacing w:after="0"/>
              <w:rPr>
                <w:sz w:val="20"/>
                <w:szCs w:val="20"/>
                <w:color w:val="auto"/>
              </w:rPr>
            </w:pPr>
            <w:r>
              <w:rPr>
                <w:rFonts w:ascii="Arial" w:cs="Arial" w:eastAsia="Arial" w:hAnsi="Arial"/>
                <w:sz w:val="18"/>
                <w:szCs w:val="18"/>
                <w:b w:val="1"/>
                <w:bCs w:val="1"/>
                <w:color w:val="auto"/>
              </w:rPr>
              <w:t>Statement of Operations</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440" w:type="dxa"/>
            <w:vAlign w:val="bottom"/>
            <w:gridSpan w:val="3"/>
            <w:shd w:val="clear" w:color="auto" w:fill="CCEECC"/>
          </w:tcPr>
          <w:p>
            <w:pPr>
              <w:jc w:val="right"/>
              <w:ind w:right="160"/>
              <w:spacing w:after="0"/>
              <w:rPr>
                <w:sz w:val="20"/>
                <w:szCs w:val="20"/>
                <w:color w:val="auto"/>
              </w:rPr>
            </w:pPr>
            <w:r>
              <w:rPr>
                <w:rFonts w:ascii="Arial" w:cs="Arial" w:eastAsia="Arial" w:hAnsi="Arial"/>
                <w:sz w:val="18"/>
                <w:szCs w:val="18"/>
                <w:b w:val="1"/>
                <w:bCs w:val="1"/>
                <w:color w:val="auto"/>
              </w:rPr>
              <w:t>December 31,</w:t>
            </w: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3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b w:val="1"/>
                <w:bCs w:val="1"/>
                <w:color w:val="auto"/>
              </w:rPr>
              <w:t>December 31,</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200" w:type="dxa"/>
            <w:vAlign w:val="bottom"/>
            <w:gridSpan w:val="2"/>
            <w:vMerge w:val="continue"/>
            <w:shd w:val="clear" w:color="auto" w:fill="CCEECC"/>
          </w:tcPr>
          <w:p>
            <w:pPr>
              <w:spacing w:after="0"/>
              <w:rPr>
                <w:sz w:val="20"/>
                <w:szCs w:val="20"/>
                <w:color w:val="auto"/>
              </w:rPr>
            </w:pPr>
          </w:p>
        </w:tc>
        <w:tc>
          <w:tcPr>
            <w:tcW w:w="240" w:type="dxa"/>
            <w:vAlign w:val="bottom"/>
            <w:shd w:val="clear" w:color="auto" w:fill="CCEECC"/>
          </w:tcPr>
          <w:p>
            <w:pPr>
              <w:spacing w:after="0"/>
              <w:rPr>
                <w:sz w:val="20"/>
                <w:szCs w:val="20"/>
                <w:color w:val="auto"/>
              </w:rPr>
            </w:pPr>
          </w:p>
        </w:tc>
        <w:tc>
          <w:tcPr>
            <w:tcW w:w="220" w:type="dxa"/>
            <w:vAlign w:val="bottom"/>
            <w:tcBorders>
              <w:bottom w:val="single" w:sz="8" w:color="auto"/>
            </w:tcBorders>
            <w:shd w:val="clear" w:color="auto" w:fill="CCEECC"/>
          </w:tcPr>
          <w:p>
            <w:pPr>
              <w:spacing w:after="0"/>
              <w:rPr>
                <w:sz w:val="20"/>
                <w:szCs w:val="20"/>
                <w:color w:val="auto"/>
              </w:rPr>
            </w:pPr>
          </w:p>
        </w:tc>
        <w:tc>
          <w:tcPr>
            <w:tcW w:w="12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b w:val="1"/>
                <w:bCs w:val="1"/>
                <w:color w:val="auto"/>
              </w:rPr>
              <w:t>2012</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80" w:type="dxa"/>
            <w:vAlign w:val="bottom"/>
            <w:tcBorders>
              <w:bottom w:val="single" w:sz="8" w:color="auto"/>
            </w:tcBorders>
            <w:shd w:val="clear" w:color="auto" w:fill="CCEECC"/>
          </w:tcPr>
          <w:p>
            <w:pPr>
              <w:spacing w:after="0"/>
              <w:rPr>
                <w:sz w:val="20"/>
                <w:szCs w:val="20"/>
                <w:color w:val="auto"/>
              </w:rPr>
            </w:pPr>
          </w:p>
        </w:tc>
        <w:tc>
          <w:tcPr>
            <w:tcW w:w="130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b w:val="1"/>
                <w:bCs w:val="1"/>
                <w:color w:val="auto"/>
              </w:rPr>
              <w:t>2013</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Revenue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1,989,086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4,957,016</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0" w:type="dxa"/>
            <w:vAlign w:val="bottom"/>
            <w:gridSpan w:val="2"/>
            <w:shd w:val="clear" w:color="auto" w:fill="CCEECC"/>
          </w:tcPr>
          <w:p>
            <w:pPr>
              <w:spacing w:after="0"/>
              <w:rPr>
                <w:sz w:val="20"/>
                <w:szCs w:val="20"/>
                <w:color w:val="auto"/>
              </w:rPr>
            </w:pPr>
            <w:r>
              <w:rPr>
                <w:rFonts w:ascii="Arial" w:cs="Arial" w:eastAsia="Arial" w:hAnsi="Arial"/>
                <w:sz w:val="18"/>
                <w:szCs w:val="18"/>
                <w:color w:val="auto"/>
                <w:w w:val="95"/>
              </w:rPr>
              <w:t>Income (Loss) for the Period</w:t>
            </w:r>
          </w:p>
        </w:tc>
        <w:tc>
          <w:tcPr>
            <w:tcW w:w="46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(454,553)</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3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8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850"/>
              <w:spacing w:after="0"/>
              <w:rPr>
                <w:sz w:val="20"/>
                <w:szCs w:val="20"/>
                <w:color w:val="auto"/>
              </w:rPr>
            </w:pPr>
            <w:r>
              <w:rPr>
                <w:rFonts w:ascii="Arial" w:cs="Arial" w:eastAsia="Arial" w:hAnsi="Arial"/>
                <w:sz w:val="18"/>
                <w:szCs w:val="18"/>
                <w:color w:val="auto"/>
                <w:w w:val="99"/>
              </w:rPr>
              <w:t>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historically experienced losses and only recently experienced profits, if we are unable to achieve profitability, our financial condition and company could suffer.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the inception of our business we have historically incurred losses. We have only recently experienced profits and increased revenues. Our ability to maintain profitability depends on our ability to generate sales through our technology platform and advertising model while maintaining reasonable expense levels. If we do not achieve sustainable profitability, we may not be able to continue our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recently learned that our financial statements have errors regarding revenue share expenses, our results of operations may be different than disclosed in our financial statements.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recently announced a needed adjustment to the accounting policy so that revenue share expenses are properly accrued each quarter and at the end of the year, versus when they are paid. The method of recording revenue share payments previously aligned with our contractual terms with our platform partners -- which generally required payment 30 days after we received the fees from our sponsored manufacturers in the following quarter. Therefore, for year-end 2012 and each quarter of 2013, there will be a journal entry needed to record the revenue share amounts due on an accrual basis rather than recording these as an expense when they are paid. We have disclosed the restated numbers in our annual report on Form 10-K and will do so for subsequent filings. As such, the financial numbers will be adjusted in our ongoing SEC filings and the results of operations may differ from what we have disclosed.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success depends on the expertise and continued service of our Chief Executive Officer, David Harrell, our Chief Operating Officer, David Lester, and certain other key technical personnel. It may be difficult to find a sufficiently qualified individual to replace management or other key technical personnel in the event of death, disability or resignation, resulting in our being unable to implement our business plan and we having no operations or revenues.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We believe that it will be able to attract competent employees, but no assurance can be given that we will be successful in this regard. If we are unable to engage and retain the necessary personnel, its business may be materially and adversely affected.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work with many leading pharmaceutical companies, including Pfizer, Lilly and Novartis. Our failure to retain existing customers or expand with additional customers could harmfully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and DrFirst. We will need to maintain these relationships as well as diversify them. The inability to do so could adversely impact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to the labyrinth of regulations in healthcare space, state and federal, as well as political sensitivity of healthcare delivery the proposed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1160" w:hanging="571"/>
        <w:spacing w:after="0" w:line="253"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 w:lineRule="exact"/>
        <w:rPr>
          <w:rFonts w:ascii="Arial" w:cs="Arial" w:eastAsia="Arial" w:hAnsi="Arial"/>
          <w:sz w:val="18"/>
          <w:szCs w:val="18"/>
          <w:color w:val="auto"/>
        </w:rPr>
      </w:pPr>
    </w:p>
    <w:p>
      <w:pPr>
        <w:jc w:val="both"/>
        <w:ind w:left="1160" w:hanging="571"/>
        <w:spacing w:after="0" w:line="255"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1160" w:hanging="571"/>
        <w:spacing w:after="0" w:line="258"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9" w:lineRule="exact"/>
        <w:rPr>
          <w:rFonts w:ascii="Arial" w:cs="Arial" w:eastAsia="Arial" w:hAnsi="Arial"/>
          <w:sz w:val="18"/>
          <w:szCs w:val="18"/>
          <w:color w:val="auto"/>
        </w:rPr>
      </w:pPr>
    </w:p>
    <w:p>
      <w:pPr>
        <w:ind w:left="1160" w:hanging="571"/>
        <w:spacing w:after="0" w:line="261"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9" w:lineRule="exact"/>
        <w:rPr>
          <w:rFonts w:ascii="Arial" w:cs="Arial" w:eastAsia="Arial" w:hAnsi="Arial"/>
          <w:sz w:val="18"/>
          <w:szCs w:val="18"/>
          <w:color w:val="auto"/>
        </w:rPr>
      </w:pPr>
    </w:p>
    <w:p>
      <w:pPr>
        <w:ind w:left="1160" w:hanging="571"/>
        <w:spacing w:after="0" w:line="290"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decreases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with uncertain consequences, the outcome of potential judgments may negatively affect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involved in the following lawsuits.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6, 2013, we filed a Complaint for Patent Infringement against Physicians Interactive Inc., Physicians Interactive Holdings,Inc. and Skyscape.com, in which we allege that one or more of those entities has infringed on United States Patent No. 8,341,015. As of September 30, 2013, the defendants responded denying the assertions made in our Complaint, and the matter is currently being litigated in federal court in Detroit, Michigan.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recently learned of an action in New Jersey brought by Milton J. Wilpon and the Milton Wilpon 2000 Trust. Last November 2013, we were served notice that we would be added as an additional party to the case titled Mitlon Wilson et al. v. Continental Capital Corporation, C-289-06, in the Superior Court of New Jersey. There is an existing default judgment of roughly $700,000 plus fees and costs. On March 10, 2014, we were added as a defendant. The complaint adding us alleges that the judgment relates to a settlement agreement dating to 2001. We do not know the subject matter of the dispute that resulted in the settlement agreement. We must file an answer to the complaint on or before April 14, 2014. We plan to vigorously oppose plaintiffs’ attempt to hold us liable for the judgment. We may also seek third party claims against those that are involved in our being named in the lawsuit. We do not know the outcome of this litigation.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lawsuits are ongoing, uncertain and involve a substantial degree of risk. If we are unable to successfully defend these actions, our financial condition and results of operations will suffer.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will be subject to the “Penny Stock” rules once our shares are quoted on the over-the-counter bulletin board, the level of trading activity in our stock may be reduced.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47"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0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shares of common stock covered by this prospectus are being sold by the Selling Shareholders. See “Selling Shareholders” below. We will not receive any proceeds from these sales of shares of our common stock. A portion of the shares covered by this prospectus are issuable upon exercise of the Agent Warrants to purchase our common stock.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Shareholders will pay any underwriting discounts and commissions and expenses incurred by the Selling Shareholders for brokerage, accounting, tax, or legal services or any other expenses incurred by the Selling Shareholders in disposing of the shares. We will bear all other costs, fees, and expenses incurred in effecting the registration of the shares covered by this prospectus, including, without limitation, all registration and filing fees, and fees and expenses of our counsel and our accountants.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will determine at what price they may sell the offered shares, and such sales may be made at prevailing market prices, or at privately negotiated prices.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prepared this prospectus to allow the Selling Shareholders or their successors, assignees or other permitted transferees to sell or otherwise dispose of, from time to time, up to 9,137,472 shares of our Common Stock. Of the shares of common stock being offered under this prospectus 8,333,333 were acquired by the purchasers in our March 2014 Private Placement and 804,139 shares are able to be acquired pursuant to the Agent Warrants we issued in connection with our March 2014 Private Placement, which Agent Warrants are currently exercisable.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shares of common stock sold to the Selling Shareholders in the March 2014 Private Placement were sold pursuant to an exemption from registration provided by Rule 506 of Regulation D under the Securities Act. In connection therewith, the investors made to us certain representations, warranties, covenants, and conditions customary for private placement investments.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22,809,586 shares of Common Stock issued and outstanding as of March 31, 2014. Beneficial ownership is determined under Section 13(d) of the Exchange Act and generally includes voting or investment power with respect to securities and including any securities that grant the Selling Shareholders the right to acquire Common Stock within 60 days of March 31, 2014. Unless otherwise noted, each person or group identified possesses sole voting and investment power with respect to the shares, subject to community property laws where applicable.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know when or in what amounts the Selling Shareholders may sell or otherwise dispose of the shares covered hereby. We currently have no agreements, arrangements or understandings with the Selling Shareholders regarding the sale of any of the shares by them other than the registration rights agreement described below.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shares of common stock being offered under this prospectus may be offered for sale from time to time during the period the registration statement of which this prospectus is a part remains effective, by or for the accounts of the Selling Shareholders named below.</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w w:val="99"/>
              </w:rPr>
              <w:t>Shares of Common Stock</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Beneficially</w:t>
            </w:r>
          </w:p>
        </w:tc>
        <w:tc>
          <w:tcPr>
            <w:tcW w:w="1160" w:type="dxa"/>
            <w:vAlign w:val="bottom"/>
          </w:tcPr>
          <w:p>
            <w:pPr>
              <w:spacing w:after="0"/>
              <w:rPr>
                <w:sz w:val="16"/>
                <w:szCs w:val="16"/>
                <w:color w:val="auto"/>
              </w:rPr>
            </w:pPr>
          </w:p>
        </w:tc>
        <w:tc>
          <w:tcPr>
            <w:tcW w:w="1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Beneficially</w:t>
            </w:r>
          </w:p>
        </w:tc>
        <w:tc>
          <w:tcPr>
            <w:tcW w:w="14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As a 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Owned Prior to</w:t>
            </w:r>
          </w:p>
        </w:tc>
        <w:tc>
          <w:tcPr>
            <w:tcW w:w="1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Owned After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Total 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the Sale of all</w:t>
            </w:r>
          </w:p>
        </w:tc>
        <w:tc>
          <w:tcPr>
            <w:tcW w:w="1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the Sale of all</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After the Sale of</w:t>
            </w:r>
          </w:p>
        </w:tc>
        <w:tc>
          <w:tcPr>
            <w:tcW w:w="0" w:type="dxa"/>
            <w:vAlign w:val="bottom"/>
          </w:tcPr>
          <w:p>
            <w:pPr>
              <w:spacing w:after="0"/>
              <w:rPr>
                <w:sz w:val="1"/>
                <w:szCs w:val="1"/>
                <w:color w:val="auto"/>
              </w:rPr>
            </w:pPr>
          </w:p>
        </w:tc>
      </w:tr>
      <w:tr>
        <w:trPr>
          <w:trHeight w:val="216"/>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of Selling Shareholder</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covered by</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Covered by</w:t>
            </w:r>
          </w:p>
        </w:tc>
        <w:tc>
          <w:tcPr>
            <w:tcW w:w="282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Shares covered byShares covered by</w:t>
            </w:r>
          </w:p>
        </w:tc>
        <w:tc>
          <w:tcPr>
            <w:tcW w:w="0" w:type="dxa"/>
            <w:vAlign w:val="bottom"/>
          </w:tcPr>
          <w:p>
            <w:pPr>
              <w:spacing w:after="0"/>
              <w:rPr>
                <w:sz w:val="1"/>
                <w:szCs w:val="1"/>
                <w:color w:val="auto"/>
              </w:rPr>
            </w:pPr>
          </w:p>
        </w:tc>
      </w:tr>
      <w:tr>
        <w:trPr>
          <w:trHeight w:val="221"/>
        </w:trPr>
        <w:tc>
          <w:tcPr>
            <w:tcW w:w="38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Goldman Partners L.P.(1)</w:t>
            </w:r>
          </w:p>
        </w:tc>
        <w:tc>
          <w:tcPr>
            <w:tcW w:w="20" w:type="dxa"/>
            <w:vAlign w:val="bottom"/>
            <w:tcBorders>
              <w:top w:val="single" w:sz="8" w:color="auto"/>
            </w:tcBorders>
            <w:shd w:val="clear" w:color="auto" w:fill="CCEECC"/>
          </w:tcPr>
          <w:p>
            <w:pPr>
              <w:spacing w:after="0"/>
              <w:rPr>
                <w:sz w:val="18"/>
                <w:szCs w:val="18"/>
                <w:color w:val="auto"/>
              </w:rPr>
            </w:pPr>
          </w:p>
        </w:tc>
        <w:tc>
          <w:tcPr>
            <w:tcW w:w="14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833,333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833,333</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Capital Ventures International(2)</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600,000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600,000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w w:val="91"/>
              </w:rPr>
              <w:t>Michael Patrick Torok &amp; Sara Coleen Torok JT TEN</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420,000</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420,000</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Michael W. Taglich</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208,333</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208,333</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Harvey L. Poppel IRA</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521,500</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521,500</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Bradley Louis Radoff</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3,250,000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3,250,000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Richard Smithline</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Wolverine Flagship Fund Trading Limited(3)</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2,083,500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2,083,500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Robert F. Taglich</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Merriman Capital, Inc.(4)</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591,613</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591,613</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Taglich Brothers, Inc.(5)</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212,526</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212,526</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Goldman Partners L.P. is the record and direct beneficial owner of the shares of common stock. Neal Goldman, as General Partner of Goldman Partners, L.P., has voting and disposition power of the shares owned by Goldman Partners, L.P.</w:t>
      </w:r>
    </w:p>
    <w:p>
      <w:pPr>
        <w:spacing w:after="0" w:line="1"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Heights Capital Management, Inc., the authorized agent of Capital Ventures International, has discretionary authority to vote and dispose of the shares held by Capital Ventures International. Martin Kobinger, in his capacity as Investment Manager of Heights Capital Management, Inc., also has investment discretion and voting power over the shares held by Capital Ventures International. As a result, each of Heights Capital Management, Inc. and Mr. Kobinger may be deemed to have beneficial ownership of the securities held by Capital Ventures International that are covered hereunder. Mr. Kobinger disclaims any such beneficial ownership of such securities.</w:t>
      </w:r>
    </w:p>
    <w:p>
      <w:pPr>
        <w:spacing w:after="0" w:line="1" w:lineRule="exact"/>
        <w:rPr>
          <w:rFonts w:ascii="Arial" w:cs="Arial" w:eastAsia="Arial" w:hAnsi="Arial"/>
          <w:sz w:val="17"/>
          <w:szCs w:val="17"/>
          <w:color w:val="auto"/>
        </w:rPr>
      </w:pPr>
    </w:p>
    <w:p>
      <w:pPr>
        <w:ind w:left="660" w:right="24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Wolverine Asset Management, LLC (“WAM”) is the investment manager of Wolverine Flagship Fund Trading Limited (the “Fund”) and consequently has voting and investment power over these securities. The sole member and manager of WAM is Wolverine Holdings, L.P. (“Wolverine Holdings”). Robert R. Bellick and Christopher L. Gust are deemed to control Wolverine Trading Partners, Inc. (“WTP”), the general partner of Wolverine Holdings, and therefore may be deemed to share voting and dispositive power over these securities. Each of Mr. Bellick, Mr. Gust, WTP, Wolverine Holdings, and WAM disclaims beneficial ownership of the shares held by the Fund.</w:t>
      </w:r>
    </w:p>
    <w:p>
      <w:pPr>
        <w:spacing w:after="0" w:line="1" w:lineRule="exact"/>
        <w:rPr>
          <w:rFonts w:ascii="Arial" w:cs="Arial" w:eastAsia="Arial" w:hAnsi="Arial"/>
          <w:sz w:val="17"/>
          <w:szCs w:val="17"/>
          <w:color w:val="auto"/>
        </w:rPr>
      </w:pPr>
    </w:p>
    <w:p>
      <w:pPr>
        <w:ind w:left="660" w:right="10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Consists of warrants received as our placement agent in our March 2014 Private Placement. Merriman Capital, Inc. is a registered broker-dealer that served as the placement agent in connection with our March 2014 Private Placement. Jon Merriman is the CEO of Merriman Capital, Inc. and an affiliate of a registered-broker-dealer. Mr. Merriman has voting and dispositive power with respect to the warrants.</w:t>
      </w:r>
    </w:p>
    <w:p>
      <w:pPr>
        <w:ind w:left="660" w:right="180" w:hanging="328"/>
        <w:spacing w:after="0" w:line="30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warrants received as our placement agent in our March 2014 Private Placement. Taglich Brothers, Inc. is a registered broker-dealer that served as the placement agent in connection with our March 2014 Private Placement. Michael N. Taglich is a stockholder and executive officer of Taglich Brothers, Inc. and an affiliate of a registered-broker-dealer. Mr. Taglich has voting and dispositive power with respect to the warrants.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Shareholders, or their partners, pledgees, donees, transferees or other successors that receive the shares and their corresponding registration in accordance with the registration rights agreement to which the Selling Shareholder is party (each also a selling shareholder for purposes of this prospectus), may sell up to all of the shares of our common stock shown in the table above pursuant to this Prospectus in one or more transactions from time to time as described below under “Plan of Distribution.” However, the Selling Shareholders are not obligated to sell any of the shares of our common stock offered by this prospectus.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the Selling Shareholders may change from time to time. Any changed information with respect to which we are given notice will be included in prospectus supplements.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registering the shares of Common Stock to permit the resale of these shares of Common Stock by the Selling Shareholders and any of their transferees, pledgees, assignees, donees, and successors-in-interest from time to time after the date of this prospectus. We will not receive any of the proceeds from the sale by the Selling Shareholders of the shares of Common Stock. Upon any exercise of the Agent Warrants by payment of cash, however, we will receive the exercise price of the Agent Warrants. We will bear all fees and expenses incident to our obligation to register the shares of Common Stock.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Selling Shareholder (the “Selling Shareholders”) of the securities and any of their pledgees, assignees and successors-in-interest may, from time to time, sell any or all of their securities covered hereby on the OTC Bulletin Board, OTCQB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Shareholders to sell a specified number of such securities at a stipulated price per security;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Selling Shareholders may also sell securities under Rule 144 under the Securities Act of 1933, as amended (the “Securities Act”), if available, rather than under this prospectus.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Selling Shareholders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6, 2013, we filed a Complaint for Patent Infringement against Physicians Interactive Inc., Physicians Interactive Holdings, Inc. and Skyscape.com, in which we allege that one or more of those entities has infringed on United States Patent No. 8,341,015. As of September 30, 2013, the defendants responded denying the assertions made in our Complaint, but no further action has occurred in the case.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recently learned of an action in New Jersey brought by Milton J. Wilpon and the Milton Wilpon 2000 Trust. Last November 2013, we were served notice that we would be added as an additional party to the case titled Mitlon Wilson et al. v. Continental Capital Corporation, C-289-06, in the Superior Court of New Jersey. There is an existing default judgment of roughly $700,000 plus fees and costs. On March 10, 2014, we were added as a defendant. The complaint adding us alleges that the judgment relates to a settlement agreement dating to 2001. We do not know the subject matter of the dispute that resulted in the settlement agreement. We must file an answer to the complaint on or before April 14, 2014. We plan to vigorously oppose plaintiffs’ attempt to hold us liable for the judgment. We may also seek third party claims against those that are involved in our being named in the lawsuit. We do not know the outcome of this litigation.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2013.</w:t>
      </w:r>
    </w:p>
    <w:p>
      <w:pPr>
        <w:spacing w:after="0" w:line="221"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1200" w:type="dxa"/>
            <w:vAlign w:val="bottom"/>
            <w:gridSpan w:val="2"/>
          </w:tcPr>
          <w:p>
            <w:pPr>
              <w:ind w:left="380"/>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Age</w:t>
            </w:r>
          </w:p>
        </w:tc>
        <w:tc>
          <w:tcPr>
            <w:tcW w:w="3580" w:type="dxa"/>
            <w:vAlign w:val="bottom"/>
          </w:tcPr>
          <w:p>
            <w:pPr>
              <w:ind w:left="80"/>
              <w:spacing w:after="0"/>
              <w:rPr>
                <w:sz w:val="20"/>
                <w:szCs w:val="20"/>
                <w:color w:val="auto"/>
              </w:rPr>
            </w:pPr>
            <w:r>
              <w:rPr>
                <w:rFonts w:ascii="Arial" w:cs="Arial" w:eastAsia="Arial" w:hAnsi="Arial"/>
                <w:sz w:val="18"/>
                <w:szCs w:val="18"/>
                <w:b w:val="1"/>
                <w:bCs w:val="1"/>
                <w:color w:val="auto"/>
              </w:rPr>
              <w:t>Position(s) and Office(s) Held</w:t>
            </w:r>
          </w:p>
        </w:tc>
      </w:tr>
      <w:tr>
        <w:trPr>
          <w:trHeight w:val="195"/>
        </w:trPr>
        <w:tc>
          <w:tcPr>
            <w:tcW w:w="11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8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3580" w:type="dxa"/>
            <w:vAlign w:val="bottom"/>
            <w:tcBorders>
              <w:top w:val="single" w:sz="8" w:color="auto"/>
            </w:tcBorders>
            <w:shd w:val="clear" w:color="auto" w:fill="CCEECC"/>
          </w:tcPr>
          <w:p>
            <w:pPr>
              <w:ind w:left="80"/>
              <w:spacing w:after="0" w:line="195" w:lineRule="exact"/>
              <w:rPr>
                <w:sz w:val="20"/>
                <w:szCs w:val="20"/>
                <w:color w:val="auto"/>
              </w:rPr>
            </w:pPr>
            <w:r>
              <w:rPr>
                <w:rFonts w:ascii="Arial" w:cs="Arial" w:eastAsia="Arial" w:hAnsi="Arial"/>
                <w:sz w:val="18"/>
                <w:szCs w:val="18"/>
                <w:color w:val="auto"/>
                <w:w w:val="96"/>
              </w:rPr>
              <w:t>Chief Operating Officer, Secretary, Treasurer</w:t>
            </w:r>
          </w:p>
        </w:tc>
      </w:tr>
      <w:tr>
        <w:trPr>
          <w:trHeight w:val="230"/>
        </w:trPr>
        <w:tc>
          <w:tcPr>
            <w:tcW w:w="12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David Lester</w:t>
            </w:r>
          </w:p>
        </w:tc>
        <w:tc>
          <w:tcPr>
            <w:tcW w:w="8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56</w:t>
            </w:r>
          </w:p>
        </w:tc>
        <w:tc>
          <w:tcPr>
            <w:tcW w:w="60" w:type="dxa"/>
            <w:vAlign w:val="bottom"/>
            <w:shd w:val="clear" w:color="auto" w:fill="CCEECC"/>
          </w:tcPr>
          <w:p>
            <w:pPr>
              <w:spacing w:after="0"/>
              <w:rPr>
                <w:sz w:val="20"/>
                <w:szCs w:val="20"/>
                <w:color w:val="auto"/>
              </w:rPr>
            </w:pPr>
          </w:p>
        </w:tc>
        <w:tc>
          <w:tcPr>
            <w:tcW w:w="3580" w:type="dxa"/>
            <w:vAlign w:val="bottom"/>
            <w:shd w:val="clear" w:color="auto" w:fill="CCEECC"/>
          </w:tcPr>
          <w:p>
            <w:pPr>
              <w:ind w:left="80"/>
              <w:spacing w:after="0"/>
              <w:rPr>
                <w:sz w:val="20"/>
                <w:szCs w:val="20"/>
                <w:color w:val="auto"/>
              </w:rPr>
            </w:pPr>
            <w:r>
              <w:rPr>
                <w:rFonts w:ascii="Arial" w:cs="Arial" w:eastAsia="Arial" w:hAnsi="Arial"/>
                <w:sz w:val="18"/>
                <w:szCs w:val="18"/>
                <w:color w:val="auto"/>
              </w:rPr>
              <w:t>and Director</w:t>
            </w:r>
          </w:p>
        </w:tc>
      </w:tr>
      <w:tr>
        <w:trPr>
          <w:trHeight w:val="202"/>
        </w:trPr>
        <w:tc>
          <w:tcPr>
            <w:tcW w:w="12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David A.</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80" w:type="dxa"/>
            <w:vAlign w:val="bottom"/>
          </w:tcPr>
          <w:p>
            <w:pPr>
              <w:ind w:left="80"/>
              <w:spacing w:after="0" w:line="201" w:lineRule="exact"/>
              <w:rPr>
                <w:sz w:val="20"/>
                <w:szCs w:val="20"/>
                <w:color w:val="auto"/>
              </w:rPr>
            </w:pPr>
            <w:r>
              <w:rPr>
                <w:rFonts w:ascii="Arial" w:cs="Arial" w:eastAsia="Arial" w:hAnsi="Arial"/>
                <w:sz w:val="18"/>
                <w:szCs w:val="18"/>
                <w:color w:val="auto"/>
              </w:rPr>
              <w:t>Chairman, Chief Executive Officer, Chief</w:t>
            </w:r>
          </w:p>
        </w:tc>
      </w:tr>
      <w:tr>
        <w:trPr>
          <w:trHeight w:val="230"/>
        </w:trPr>
        <w:tc>
          <w:tcPr>
            <w:tcW w:w="1200" w:type="dxa"/>
            <w:vAlign w:val="bottom"/>
            <w:gridSpan w:val="2"/>
          </w:tcPr>
          <w:p>
            <w:pPr>
              <w:ind w:left="80"/>
              <w:spacing w:after="0"/>
              <w:rPr>
                <w:sz w:val="20"/>
                <w:szCs w:val="20"/>
                <w:color w:val="auto"/>
              </w:rPr>
            </w:pPr>
            <w:r>
              <w:rPr>
                <w:rFonts w:ascii="Arial" w:cs="Arial" w:eastAsia="Arial" w:hAnsi="Arial"/>
                <w:sz w:val="18"/>
                <w:szCs w:val="18"/>
                <w:color w:val="auto"/>
              </w:rPr>
              <w:t>Harrell</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60" w:type="dxa"/>
            <w:vAlign w:val="bottom"/>
          </w:tcPr>
          <w:p>
            <w:pPr>
              <w:spacing w:after="0"/>
              <w:rPr>
                <w:sz w:val="20"/>
                <w:szCs w:val="20"/>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rPr>
              <w:t>Strategic Officer and Director</w:t>
            </w:r>
          </w:p>
        </w:tc>
      </w:tr>
      <w:tr>
        <w:trPr>
          <w:trHeight w:val="202"/>
        </w:trPr>
        <w:tc>
          <w:tcPr>
            <w:tcW w:w="1200" w:type="dxa"/>
            <w:vAlign w:val="bottom"/>
            <w:gridSpan w:val="2"/>
            <w:shd w:val="clear" w:color="auto" w:fill="CCEECC"/>
          </w:tcPr>
          <w:p>
            <w:pPr>
              <w:ind w:left="80"/>
              <w:spacing w:after="0" w:line="201" w:lineRule="exact"/>
              <w:rPr>
                <w:sz w:val="20"/>
                <w:szCs w:val="20"/>
                <w:color w:val="auto"/>
              </w:rPr>
            </w:pPr>
            <w:r>
              <w:rPr>
                <w:rFonts w:ascii="Arial" w:cs="Arial" w:eastAsia="Arial" w:hAnsi="Arial"/>
                <w:sz w:val="18"/>
                <w:szCs w:val="18"/>
                <w:color w:val="auto"/>
              </w:rPr>
              <w:t>Terence J.</w:t>
            </w: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3580" w:type="dxa"/>
            <w:vAlign w:val="bottom"/>
            <w:shd w:val="clear" w:color="auto" w:fill="CCEECC"/>
          </w:tcPr>
          <w:p>
            <w:pPr>
              <w:spacing w:after="0"/>
              <w:rPr>
                <w:sz w:val="17"/>
                <w:szCs w:val="17"/>
                <w:color w:val="auto"/>
              </w:rPr>
            </w:pPr>
          </w:p>
        </w:tc>
      </w:tr>
      <w:tr>
        <w:trPr>
          <w:trHeight w:val="230"/>
        </w:trPr>
        <w:tc>
          <w:tcPr>
            <w:tcW w:w="12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Hamilton</w:t>
            </w:r>
          </w:p>
        </w:tc>
        <w:tc>
          <w:tcPr>
            <w:tcW w:w="8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48</w:t>
            </w:r>
          </w:p>
        </w:tc>
        <w:tc>
          <w:tcPr>
            <w:tcW w:w="60" w:type="dxa"/>
            <w:vAlign w:val="bottom"/>
            <w:shd w:val="clear" w:color="auto" w:fill="CCEECC"/>
          </w:tcPr>
          <w:p>
            <w:pPr>
              <w:spacing w:after="0"/>
              <w:rPr>
                <w:sz w:val="20"/>
                <w:szCs w:val="20"/>
                <w:color w:val="auto"/>
              </w:rPr>
            </w:pPr>
          </w:p>
        </w:tc>
        <w:tc>
          <w:tcPr>
            <w:tcW w:w="3580" w:type="dxa"/>
            <w:vAlign w:val="bottom"/>
            <w:shd w:val="clear" w:color="auto" w:fill="CCEECC"/>
          </w:tcPr>
          <w:p>
            <w:pPr>
              <w:ind w:left="80"/>
              <w:spacing w:after="0"/>
              <w:rPr>
                <w:sz w:val="20"/>
                <w:szCs w:val="20"/>
                <w:color w:val="auto"/>
              </w:rPr>
            </w:pPr>
            <w:r>
              <w:rPr>
                <w:rFonts w:ascii="Arial" w:cs="Arial" w:eastAsia="Arial" w:hAnsi="Arial"/>
                <w:sz w:val="18"/>
                <w:szCs w:val="18"/>
                <w:color w:val="auto"/>
              </w:rPr>
              <w:t>Director and VP of Sales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Lester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Harrell founded the Company in January of 2006 and has served as our President and Chief Executive Officer. He became a director when the Company changed from a limited liability to a corporation in 2007.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three (3)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the best of our knowledge, during the past ten years, none of the following occurred with respect to our present or former director, executive officer, or employee: (1) any bankruptcy petition filed by or against any business of which such person was a general partner or executive officer either 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as of March 31, 2014, the beneficial ownership of our common and preferred stock by each executive officer and director, by each person known by us to beneficially own more than 5% of the our common stock and by the executive officers and directors as a group. Unless otherwise noted, the address of each beneficial owner is located at 400 Water Street, Ste. 200, Rochester, MI 48307.</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10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Name and address of</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Amount of</w:t>
            </w:r>
          </w:p>
        </w:tc>
        <w:tc>
          <w:tcPr>
            <w:tcW w:w="1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2100" w:type="dxa"/>
            <w:vAlign w:val="bottom"/>
            <w:gridSpan w:val="3"/>
            <w:vMerge w:val="continue"/>
          </w:tcPr>
          <w:p>
            <w:pPr>
              <w:spacing w:after="0"/>
              <w:rPr>
                <w:sz w:val="15"/>
                <w:szCs w:val="15"/>
                <w:color w:val="auto"/>
              </w:rPr>
            </w:pPr>
          </w:p>
        </w:tc>
        <w:tc>
          <w:tcPr>
            <w:tcW w:w="1440" w:type="dxa"/>
            <w:vAlign w:val="bottom"/>
            <w:gridSpan w:val="2"/>
          </w:tcPr>
          <w:p>
            <w:pPr>
              <w:spacing w:after="0" w:line="181" w:lineRule="exact"/>
              <w:rPr>
                <w:sz w:val="20"/>
                <w:szCs w:val="20"/>
                <w:color w:val="auto"/>
              </w:rPr>
            </w:pPr>
            <w:r>
              <w:rPr>
                <w:rFonts w:ascii="Arial" w:cs="Arial" w:eastAsia="Arial" w:hAnsi="Arial"/>
                <w:sz w:val="18"/>
                <w:szCs w:val="18"/>
                <w:b w:val="1"/>
                <w:bCs w:val="1"/>
                <w:color w:val="auto"/>
              </w:rPr>
              <w:t>beneficial</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class</w:t>
            </w:r>
          </w:p>
        </w:tc>
        <w:tc>
          <w:tcPr>
            <w:tcW w:w="120" w:type="dxa"/>
            <w:vAlign w:val="bottom"/>
            <w:tcBorders>
              <w:bottom w:val="single" w:sz="8" w:color="CCEECC"/>
            </w:tcBorders>
          </w:tcPr>
          <w:p>
            <w:pPr>
              <w:spacing w:after="0"/>
              <w:rPr>
                <w:sz w:val="23"/>
                <w:szCs w:val="23"/>
                <w:color w:val="auto"/>
              </w:rPr>
            </w:pPr>
          </w:p>
        </w:tc>
        <w:tc>
          <w:tcPr>
            <w:tcW w:w="178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b w:val="1"/>
                <w:bCs w:val="1"/>
                <w:color w:val="auto"/>
              </w:rPr>
              <w:t>beneficial owner</w:t>
            </w:r>
            <w:r>
              <w:rPr>
                <w:rFonts w:ascii="Arial" w:cs="Arial" w:eastAsia="Arial" w:hAnsi="Arial"/>
                <w:sz w:val="30"/>
                <w:szCs w:val="30"/>
                <w:b w:val="1"/>
                <w:bCs w:val="1"/>
                <w:color w:val="auto"/>
                <w:vertAlign w:val="superscript"/>
              </w:rPr>
              <w:t>(1)</w:t>
            </w:r>
          </w:p>
        </w:tc>
        <w:tc>
          <w:tcPr>
            <w:tcW w:w="200" w:type="dxa"/>
            <w:vAlign w:val="bottom"/>
            <w:tcBorders>
              <w:bottom w:val="single" w:sz="8" w:color="CCEECC"/>
            </w:tcBorders>
          </w:tcPr>
          <w:p>
            <w:pPr>
              <w:spacing w:after="0"/>
              <w:rPr>
                <w:sz w:val="23"/>
                <w:szCs w:val="23"/>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ownership</w:t>
            </w:r>
          </w:p>
        </w:tc>
        <w:tc>
          <w:tcPr>
            <w:tcW w:w="140" w:type="dxa"/>
            <w:vAlign w:val="bottom"/>
            <w:tcBorders>
              <w:bottom w:val="single" w:sz="8" w:color="CCEECC"/>
            </w:tcBorders>
          </w:tcPr>
          <w:p>
            <w:pPr>
              <w:spacing w:after="0"/>
              <w:rPr>
                <w:sz w:val="23"/>
                <w:szCs w:val="23"/>
                <w:color w:val="auto"/>
              </w:rPr>
            </w:pPr>
          </w:p>
        </w:tc>
        <w:tc>
          <w:tcPr>
            <w:tcW w:w="94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b w:val="1"/>
                <w:bCs w:val="1"/>
                <w:color w:val="auto"/>
              </w:rPr>
              <w:t xml:space="preserve">class </w:t>
            </w:r>
            <w:r>
              <w:rPr>
                <w:rFonts w:ascii="Arial" w:cs="Arial" w:eastAsia="Arial" w:hAnsi="Arial"/>
                <w:sz w:val="30"/>
                <w:szCs w:val="30"/>
                <w:b w:val="1"/>
                <w:bCs w:val="1"/>
                <w:color w:val="auto"/>
                <w:vertAlign w:val="superscript"/>
              </w:rPr>
              <w:t>(2)</w:t>
            </w:r>
          </w:p>
        </w:tc>
        <w:tc>
          <w:tcPr>
            <w:tcW w:w="160" w:type="dxa"/>
            <w:vAlign w:val="bottom"/>
            <w:tcBorders>
              <w:bottom w:val="single" w:sz="8" w:color="CCEECC"/>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120" w:type="dxa"/>
            <w:vAlign w:val="bottom"/>
            <w:shd w:val="clear" w:color="auto" w:fill="CCEECC"/>
          </w:tcPr>
          <w:p>
            <w:pPr>
              <w:spacing w:after="0"/>
              <w:rPr>
                <w:sz w:val="21"/>
                <w:szCs w:val="21"/>
                <w:color w:val="auto"/>
              </w:rPr>
            </w:pPr>
          </w:p>
        </w:tc>
        <w:tc>
          <w:tcPr>
            <w:tcW w:w="1780" w:type="dxa"/>
            <w:vAlign w:val="bottom"/>
            <w:shd w:val="clear" w:color="auto" w:fill="CCEECC"/>
          </w:tcPr>
          <w:p>
            <w:pPr>
              <w:spacing w:after="0" w:line="250" w:lineRule="exact"/>
              <w:rPr>
                <w:sz w:val="20"/>
                <w:szCs w:val="20"/>
                <w:color w:val="auto"/>
              </w:rPr>
            </w:pPr>
            <w:r>
              <w:rPr>
                <w:rFonts w:ascii="Arial" w:cs="Arial" w:eastAsia="Arial" w:hAnsi="Arial"/>
                <w:sz w:val="17"/>
                <w:szCs w:val="17"/>
                <w:color w:val="auto"/>
              </w:rPr>
              <w:t>David Lester</w:t>
            </w:r>
            <w:r>
              <w:rPr>
                <w:rFonts w:ascii="Arial" w:cs="Arial" w:eastAsia="Arial" w:hAnsi="Arial"/>
                <w:sz w:val="28"/>
                <w:szCs w:val="28"/>
                <w:color w:val="auto"/>
                <w:vertAlign w:val="superscript"/>
              </w:rPr>
              <w:t>(3)</w:t>
            </w:r>
          </w:p>
        </w:tc>
        <w:tc>
          <w:tcPr>
            <w:tcW w:w="200" w:type="dxa"/>
            <w:vAlign w:val="bottom"/>
            <w:shd w:val="clear" w:color="auto" w:fill="CCEECC"/>
          </w:tcPr>
          <w:p>
            <w:pPr>
              <w:spacing w:after="0"/>
              <w:rPr>
                <w:sz w:val="21"/>
                <w:szCs w:val="21"/>
                <w:color w:val="auto"/>
              </w:rPr>
            </w:pP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483,348</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tcPr>
          <w:p>
            <w:pPr>
              <w:ind w:left="120"/>
              <w:spacing w:after="0" w:line="256" w:lineRule="exact"/>
              <w:rPr>
                <w:sz w:val="20"/>
                <w:szCs w:val="20"/>
                <w:color w:val="auto"/>
              </w:rPr>
            </w:pPr>
            <w:r>
              <w:rPr>
                <w:rFonts w:ascii="Arial" w:cs="Arial" w:eastAsia="Arial" w:hAnsi="Arial"/>
                <w:sz w:val="18"/>
                <w:szCs w:val="18"/>
                <w:color w:val="auto"/>
              </w:rPr>
              <w:t>David Harrell</w:t>
            </w:r>
            <w:r>
              <w:rPr>
                <w:rFonts w:ascii="Arial" w:cs="Arial" w:eastAsia="Arial" w:hAnsi="Arial"/>
                <w:sz w:val="29"/>
                <w:szCs w:val="29"/>
                <w:color w:val="auto"/>
                <w:vertAlign w:val="superscript"/>
              </w:rPr>
              <w:t>(4)</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3,599,687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57"/>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shd w:val="clear" w:color="auto" w:fill="CCEECC"/>
          </w:tcPr>
          <w:p>
            <w:pPr>
              <w:ind w:left="120"/>
              <w:spacing w:after="0" w:line="256" w:lineRule="exact"/>
              <w:rPr>
                <w:sz w:val="20"/>
                <w:szCs w:val="20"/>
                <w:color w:val="auto"/>
              </w:rPr>
            </w:pPr>
            <w:r>
              <w:rPr>
                <w:rFonts w:ascii="Arial" w:cs="Arial" w:eastAsia="Arial" w:hAnsi="Arial"/>
                <w:sz w:val="18"/>
                <w:szCs w:val="18"/>
                <w:color w:val="auto"/>
              </w:rPr>
              <w:t>Terence J. Hamilton</w:t>
            </w:r>
            <w:r>
              <w:rPr>
                <w:rFonts w:ascii="Arial" w:cs="Arial" w:eastAsia="Arial" w:hAnsi="Arial"/>
                <w:sz w:val="29"/>
                <w:szCs w:val="29"/>
                <w:color w:val="auto"/>
                <w:vertAlign w:val="superscript"/>
              </w:rPr>
              <w:t>(5)</w:t>
            </w: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754,812</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Arial" w:cs="Arial" w:eastAsia="Arial" w:hAnsi="Arial"/>
                <w:sz w:val="18"/>
                <w:szCs w:val="18"/>
                <w:b w:val="1"/>
                <w:bCs w:val="1"/>
                <w:color w:val="auto"/>
              </w:rPr>
              <w:t>Total of All Directors and</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4,837,847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98"/>
        </w:trPr>
        <w:tc>
          <w:tcPr>
            <w:tcW w:w="220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More Than 5% Beneficial</w:t>
            </w:r>
          </w:p>
        </w:tc>
        <w:tc>
          <w:tcPr>
            <w:tcW w:w="120" w:type="dxa"/>
            <w:vAlign w:val="bottom"/>
            <w:shd w:val="clear" w:color="auto" w:fill="CCEECC"/>
          </w:tcPr>
          <w:p>
            <w:pPr>
              <w:spacing w:after="0"/>
              <w:rPr>
                <w:sz w:val="17"/>
                <w:szCs w:val="17"/>
                <w:color w:val="auto"/>
              </w:rPr>
            </w:pPr>
          </w:p>
        </w:tc>
        <w:tc>
          <w:tcPr>
            <w:tcW w:w="178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3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Owners:</w:t>
            </w:r>
          </w:p>
        </w:tc>
        <w:tc>
          <w:tcPr>
            <w:tcW w:w="120" w:type="dxa"/>
            <w:vAlign w:val="bottom"/>
            <w:shd w:val="clear" w:color="auto" w:fill="CCEECC"/>
          </w:tcPr>
          <w:p>
            <w:pPr>
              <w:spacing w:after="0"/>
              <w:rPr>
                <w:sz w:val="20"/>
                <w:szCs w:val="20"/>
                <w:color w:val="auto"/>
              </w:rPr>
            </w:pPr>
          </w:p>
        </w:tc>
        <w:tc>
          <w:tcPr>
            <w:tcW w:w="178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130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94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21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Bradley Louis Radoff</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117 W Loop S, Ste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1625 Houston, TX</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2"/>
          </w:tcPr>
          <w:p>
            <w:pPr>
              <w:ind w:left="120"/>
              <w:spacing w:after="0"/>
              <w:rPr>
                <w:sz w:val="20"/>
                <w:szCs w:val="20"/>
                <w:color w:val="auto"/>
              </w:rPr>
            </w:pPr>
            <w:r>
              <w:rPr>
                <w:rFonts w:ascii="Arial" w:cs="Arial" w:eastAsia="Arial" w:hAnsi="Arial"/>
                <w:sz w:val="18"/>
                <w:szCs w:val="18"/>
                <w:color w:val="auto"/>
              </w:rPr>
              <w:t>77027</w:t>
            </w: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3,250,000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2"/>
        </w:trPr>
        <w:tc>
          <w:tcPr>
            <w:tcW w:w="2200" w:type="dxa"/>
            <w:vAlign w:val="bottom"/>
            <w:shd w:val="clear" w:color="auto" w:fill="CCEECC"/>
          </w:tcPr>
          <w:p>
            <w:pPr>
              <w:spacing w:after="0"/>
              <w:rPr>
                <w:sz w:val="17"/>
                <w:szCs w:val="17"/>
                <w:color w:val="auto"/>
              </w:rPr>
            </w:pPr>
          </w:p>
        </w:tc>
        <w:tc>
          <w:tcPr>
            <w:tcW w:w="2100" w:type="dxa"/>
            <w:vAlign w:val="bottom"/>
            <w:gridSpan w:val="3"/>
            <w:shd w:val="clear" w:color="auto" w:fill="CCEECC"/>
          </w:tcPr>
          <w:p>
            <w:pPr>
              <w:ind w:left="120"/>
              <w:spacing w:after="0" w:line="201" w:lineRule="exact"/>
              <w:rPr>
                <w:sz w:val="20"/>
                <w:szCs w:val="20"/>
                <w:color w:val="auto"/>
              </w:rPr>
            </w:pPr>
            <w:r>
              <w:rPr>
                <w:rFonts w:ascii="Arial" w:cs="Arial" w:eastAsia="Arial" w:hAnsi="Arial"/>
                <w:sz w:val="18"/>
                <w:szCs w:val="18"/>
                <w:color w:val="auto"/>
              </w:rPr>
              <w:t>Wolverine Flagship</w:t>
            </w:r>
          </w:p>
        </w:tc>
        <w:tc>
          <w:tcPr>
            <w:tcW w:w="13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Fund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Trading Limited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175 W Jackson Blvd,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3rd Flr</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Chicago, IL 60604</w:t>
            </w: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2,083,500</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820" w:hanging="812"/>
        <w:spacing w:after="0" w:line="218" w:lineRule="auto"/>
        <w:tabs>
          <w:tab w:leader="none" w:pos="8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As used in this table, "beneficial ownership" means the sole or shared power to vote, or to direct the voting of, a security, or the sole or shared investment power with respect to a security (i.e., the power to dispose of, or to direct the disposition of, a security). In addition, for purposes of this table, a person is deemed, as of any date, to have "beneficial ownership" of any security that such person has the right to acquire within 60 days after such date.</w:t>
      </w:r>
    </w:p>
    <w:p>
      <w:pPr>
        <w:spacing w:after="0" w:line="1" w:lineRule="exact"/>
        <w:rPr>
          <w:rFonts w:ascii="Arial" w:cs="Arial" w:eastAsia="Arial" w:hAnsi="Arial"/>
          <w:sz w:val="30"/>
          <w:szCs w:val="30"/>
          <w:color w:val="auto"/>
          <w:vertAlign w:val="superscript"/>
        </w:rPr>
      </w:pPr>
    </w:p>
    <w:p>
      <w:pPr>
        <w:ind w:left="820" w:hanging="812"/>
        <w:spacing w:after="0" w:line="180" w:lineRule="auto"/>
        <w:tabs>
          <w:tab w:leader="none" w:pos="82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percent of class is based on 22,809,586 voting shares as of March 31, 2014.</w:t>
      </w:r>
    </w:p>
    <w:p>
      <w:pPr>
        <w:spacing w:after="0" w:line="2" w:lineRule="exact"/>
        <w:rPr>
          <w:rFonts w:ascii="Arial" w:cs="Arial" w:eastAsia="Arial" w:hAnsi="Arial"/>
          <w:sz w:val="25"/>
          <w:szCs w:val="25"/>
          <w:color w:val="auto"/>
          <w:vertAlign w:val="superscript"/>
        </w:rPr>
      </w:pPr>
    </w:p>
    <w:p>
      <w:pPr>
        <w:ind w:left="820" w:hanging="812"/>
        <w:spacing w:after="0" w:line="186" w:lineRule="auto"/>
        <w:tabs>
          <w:tab w:leader="none" w:pos="82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Includes 428,348 shares held in his name and options to purchase 55,000 shares of common stock at $1.00 per share.</w:t>
      </w:r>
    </w:p>
    <w:p>
      <w:pPr>
        <w:spacing w:after="0" w:line="2" w:lineRule="exact"/>
        <w:rPr>
          <w:rFonts w:ascii="Arial" w:cs="Arial" w:eastAsia="Arial" w:hAnsi="Arial"/>
          <w:sz w:val="24"/>
          <w:szCs w:val="24"/>
          <w:color w:val="auto"/>
          <w:vertAlign w:val="superscript"/>
        </w:rPr>
      </w:pPr>
    </w:p>
    <w:p>
      <w:pPr>
        <w:ind w:left="820" w:hanging="812"/>
        <w:spacing w:after="0" w:line="187" w:lineRule="auto"/>
        <w:tabs>
          <w:tab w:leader="none" w:pos="8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Includes 3,197,187 shares held in his name, options to purchase 402,500 shares of common stock at prices ranging from of $1.00 to $1.81 per share.</w:t>
      </w:r>
    </w:p>
    <w:p>
      <w:pPr>
        <w:ind w:left="820" w:hanging="812"/>
        <w:spacing w:after="0" w:line="180" w:lineRule="auto"/>
        <w:tabs>
          <w:tab w:leader="none" w:pos="82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Includes 527,312 shares held in his name and options to purchase 227,500 shares of common stock at a price of $1.00 per share.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Capital Stock</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authorized capital stock consists of 500,000,000 shares of common stock and 10,000,000 shares of preferred stock, par value $0.001 per share. As of March 31, 2014 there were 22,809,586 shares of our common stock issued and outstanding and 0 shares of our preferred stock issued and outstanding.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March 2014 Private Placement, we entered into a registration rights agreement with each of the Selling Shareholders (the “Registration Rights Agreement”). The Registration Rights Agreement requires us to file a registration statement (the “Registration Statement”) with the Securities and Exchange Commission (the “SEC”) within forty-five (45) days of the closing date of the March 2014 Private Placement (the “Filing Date”) for the resale by the Selling Shareholders of all of the Common Shares acquired in the March 2014 Private Placement and all shares of Common Stock issuable upon any stock split, dividend or other distribution, recapitalization or similar event with respect thereto (the “Registrable Securities”). We agreed to use our commercially reasonable efforts to cause the Registration Statement to be declared effective by the SEC no later than ninety (90) days after the closing date of the March 2014 Private Placement (the “Effectiveness Date”) subject to certain adjustments. Upon the occurrence of certain events (each an “Event”), including, but not limited to, that the Registration Statement is not filed prior to the Filing Date, we will be required to pay liquidated damages to each of the Selling Shareholders equal to 1.5% of the aggregate purchase price paid by such Selling Shareholders for the Registrable Securities upon the date of the Event and then monthly thereafter until the earlier of: (i) the Event is cured, or (ii) the registrable shares are eligible for resale under Rule 144 without manner of sale or volume limitations. In no event shall the aggregate amount of liquidated damages payable to each of the Selling Shareholders exceed in the aggregate 10% of the aggregate purchase price paid by such Selling Shareholders for the Registrable Securities.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agreed to use our commercially reasonable efforts to keep the Registration Statement effective for resales until the earlier of (1) one year from the closing date (2) the date that all of the shares of our common stock included in the Registration Statement have been resold thereunder or under Rule 144 promulgated under the Securities Act, or (3) the date that all of the shares of our common stock covered by such registration statement may be sold without volume or manner of sale restrictions under Rule 144. The registration rights agreement contains cross-indemnification provisions between us and the Selling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warrants outstanding to purchase 13,658,334shares of our common stock at a weighted average exercise price of $2.44 as of December 31, 2013.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options outstanding to purchase 125,000 shares of our common stock at a weighted average exercise price of $1.00 as of December 31, 2013.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Anti-Takeover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OTC Bulletin Board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Cane Clark LLP, our independent legal counsel, has provided an opinion on the validity of our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Silberstein Ungar, PLLC, Certified Public Accountants and Advisors have audited our financial statements included in this prospectus and registration statement to the extent and for the periods set forth in their audit report. Silberstein Ungar, PLLC has presented their report with respect to our audited financial statements. The report of Silberstein Ungar, PLLC is included in reliance upon their authority as experts in accounting and auditing.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r>
        <w:rPr>
          <w:rFonts w:ascii="Arial" w:cs="Arial" w:eastAsia="Arial" w:hAnsi="Arial"/>
          <w:sz w:val="18"/>
          <w:szCs w:val="18"/>
          <w:color w:val="auto"/>
        </w:rPr>
        <w: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finished the fourth quarter with revenues of $1,810,610 bringing revenue for fiscal 2013 to a total of $4,957,016, an increase of 149% over 2012. We achieved net income of $215,847 for the year. Our year end also recognizes a onetime adjustment relative to our cost of goods sold and reflects a change in accounting procedures for these expenses. Prior reporting was based upon how the revenue share expenses were paid per the agreements held with OPTIMIZERx’s channel partners. The change in accounting process will now accrue the expense as it is incurred.</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continued growth in revenues is again primarily driven by our SampleMD content delivery solution. During the 2013 fiscal year, OPTIMIZERx delivered some 1,122,589 new ePrescriptions with co-pay coupons or free sample vouchers helping patients more affordably start and stay on their prescribed medications.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be very enthusiastic about our growth and the state of our core business. We continue to be resilient in growing our business throughout the year and it is a testament to the core employee base and the dedication of our management and employees alike to move the organization forward. We have gained the confidence of pharmaceutical manufacturers and partners, and continue to add new clients and partners that increases our offering portfolio and expands our network reach.</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second half of the year we have initiated a major technology undertaking to develop SampleMD 2.0. This effort is focused on moving our technology from flash to HTML 5 based that will improve our response times and user interfaces and offer infinite scalability to support our expected growth. Additionally, this work focuses on building modularity for ease of adding new features and functions to the core solution while simplifying the integration process with future partners and other solution providers. On top of building out our updated software solution, we are also updating our infrastructure by replacing and updating our computers in a high availability environment, taking greater precautions for security and building out the architecture to facilitate disaster recovery with a secondary facilitated computer environment. This investment will increase performance, simplify integrations, insure availability and protect the investments of our shareholders. It is anticipated that the release of SampleMD 2.0 be fully implemented by April 2014.</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Initial market reaction to the OPTIMIZERx announcement of its emerging OPTIMIZEHR consulting practice has been very positive as we have engaged in our first two (2) major pharmaceutical manufacture EHR strategy initiatives (pilot projects). Coordinating efforts with our strategic partners, we have collaborated to deliver sound strategy for each of these manufacturers. These efforts have resulted in ongoing and growing commitments by these clients with new and expanded contracts. OPTIMIZERx will continue to work with its partners in building out this practice as more clients are interested in Drug File Integration, Sales Force Training and Strategy.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are expanding our partnership with WPP and have completed account sales training of Grey Health account personnel to resell our services. We are also working with their other agencies, including Sudler, who have expressed a strong interest in additionally collaborating to sell and develop new services. The partnership has also been highly received by the pharmaceutical and EHR industries.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our efforts are reflected in the growth and record revenues experienced during 2013 despite overcoming growth challenges presented in the year. The company remained very resilient and with the dedication of the employees and management, these challenges were overcome and the company remained profitable for the year and continued to generate cash from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Going forward into the New Year, we continue to drive our three primary messages to the pharmaceutical industry:</w:t>
      </w:r>
    </w:p>
    <w:p>
      <w:pPr>
        <w:spacing w:after="0" w:line="225"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SampleMD has the largest capacity to deliver targeted promotional and incentive messaging to physicians at point of prescription through interoperability with multiple disparate electronic health platforms;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Electronic health platforms (EMRs, eRx, Patient Portals) are the most cost-effective way to reach physicians and patients, as opposed to external web sites that have been traditionally the focus of their non-rep marketing, and should therefore be an increasing focus for all pharmaceutical marketing dollars.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Pharmaceutical brands must move their Financial and Educational Support programs into the physicians ePrescribe workflow to increase prescriptions and fill rates. Samples are continuing to be restricted, as are pharmaceutical reps regular access and this is the most effective alternative channel with demonstrated strong ROI.</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we remain committed to working with top organizations to provided better affordability and access to healthcare for the patients we serve. To achieve this, we will continue to work with leading providers in partnering to provide simple to use solutions. As compliance and regulatory requirements (i.e. meaningful use) continue to surround healthcare providers, OptimizeRx continues through its partnerships and internal R&amp;D to become the “HUB” for providing access to these ease-of-use solutions.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these continued efforts, we believe that SampleMD continues to be regarded as the innovative industry leader, setting the standards within this new frontier of digital EMR solution marketing for patient care.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right="2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SampleMD -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which led us during the past year to develop our direct to physician solution called SampleMD.</w:t>
      </w:r>
    </w:p>
    <w:p>
      <w:pPr>
        <w:spacing w:after="0" w:line="165" w:lineRule="exact"/>
        <w:rPr>
          <w:rFonts w:ascii="Arial" w:cs="Arial" w:eastAsia="Arial" w:hAnsi="Arial"/>
          <w:sz w:val="17"/>
          <w:szCs w:val="17"/>
          <w:color w:val="auto"/>
        </w:rPr>
      </w:pPr>
    </w:p>
    <w:p>
      <w:pPr>
        <w:jc w:val="both"/>
        <w:ind w:left="660" w:hanging="328"/>
        <w:spacing w:after="0" w:line="26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w:t>
      </w:r>
    </w:p>
    <w:p>
      <w:pPr>
        <w:spacing w:after="0" w:line="2" w:lineRule="exact"/>
        <w:rPr>
          <w:rFonts w:ascii="Arial" w:cs="Arial" w:eastAsia="Arial" w:hAnsi="Arial"/>
          <w:sz w:val="17"/>
          <w:szCs w:val="17"/>
          <w:color w:val="auto"/>
        </w:rPr>
      </w:pPr>
    </w:p>
    <w:p>
      <w:pPr>
        <w:jc w:val="both"/>
        <w:ind w:left="660" w:hanging="328"/>
        <w:spacing w:after="0" w:line="29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OPTIMIZEHR – Our consulting practice focused at educating and working with pharmaceutical manufacturers on identifying, formulating, and implementing new eRx media strategies for promoting their product. Our consulting services include 1) Drug File Integration - a service to insure that the manufacturers drug is present in every ePrescribing platform available, 2) Sales Force Training – a service to educate the extended field sales force on this new integrated solution and what to look for within their client base to insure maximum exposure of their bands and 3) Strategy Development – a service that assists manufactures in identifying and building a competitive strategy to take advantage of this new digital frontier.</w:t>
      </w:r>
    </w:p>
    <w:p>
      <w:pPr>
        <w:spacing w:after="0" w:line="162" w:lineRule="exact"/>
        <w:rPr>
          <w:rFonts w:ascii="Arial" w:cs="Arial" w:eastAsia="Arial" w:hAnsi="Arial"/>
          <w:sz w:val="16"/>
          <w:szCs w:val="16"/>
          <w:color w:val="auto"/>
        </w:rPr>
      </w:pPr>
    </w:p>
    <w:p>
      <w:pPr>
        <w:jc w:val="both"/>
        <w:ind w:left="660" w:hanging="328"/>
        <w:spacing w:after="0" w:line="29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continue to extend our marketing efforts to build both brand and capabilities awareness to the market. As mentioned above, we continue to actively participate in industry and partner events such as exlPharma and the ACE – Allscripts Users Conference as well as taking a lead sponsor position in the inaugural CBInet eRx and EHR conference in March of 2014. During the course of the year, we also initiated and delivered successful email marketing campaigns, webinar with CMI Compass on What Physicians want within their HER’s, as well as successful public relations and press release communications initiatives. We ran advertising campaigns through Pharma Exec magazine that netted several responses and qualified leads.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2013, we also announced our strategic partnership with WPP/Grey Health Group, a leading agency within the healthcare marketplace. We plan to continue to increase our marketing efforts with all of our strategic partners, as we intend to continue to promote OPTIMIZERx and SampleMD primarily through the following:</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we have attracted and hired a highly seasoned Sales and Marketing Executive who has decades of global pharmaceutical marketing and sales experience at AstraZeneca and others as our Eastern Vice President of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invest in our technology and plan to release SampleMD 2.0 in 2014. This new and improved release will enhance the performance of our first version through quicker response times, easier integration to platform partners, modularity for the addition of new features and functions and an entirely updated user interface to speed and enhance the setup of new programs and campaigns. We will continue to offer reporting portal access to our clients with a new and improved user interface and updated reporting capabilities for monitoring program and campaign performance.</w:t>
      </w:r>
    </w:p>
    <w:p>
      <w:pPr>
        <w:spacing w:after="0" w:line="3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SampleMD 2.0 release will also be supported by a new and updated infrastructure that is a high availability clustered environment with remote disaster recovery enabling us to be back up and running from the worst facility catastrophe in very short order.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continue our commitment to educate both our direct and our extended teams through an understanding of all market dynamics that have the potential to affect our business in both the short and long term. Our primary goal is to help patients better afford and access the medicines their doctors prescribe, as well as other healthcare products and services they need. Based on this goal, we continually seek better ways to meet this mission through the use of improved technology, user feedback, and working closely with the pharmaceutical industry. We are continually seeking new ways we can engage the pharmaceutical industry to provide new support programs to patients in need of their products.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OPTIMIZERx, we are still keen on the opinions and input that we gain from all stakeholders by which our products and solutions cross. From the prescribing clinicians that utilize our solutions to add value to the patients they serve, to the partners we use to leverage their channels for distribution and promotion of the services, we are able to greatly assist the pharmaceutical manufacturing clients that depend on our solutions to increase their brand awareness and assist patients in need of their offerings. This “Voice of the Stakeholder” is a mantra that we leverage in analyzing industry trends and market shifts and identifying enhancements and new offerings through our SampleMD™ solution. This effort involves all of our officers and directors as part of our continual research development team while monitoring new technologies, trends, services, and partnerships that can help us provide additional services and increased value to the healthcare and pharmaceutical industries and to the patients they serve.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technology roadmap for potential new solutions continues to grow as we continued to finalize the two development programs initiated this year featuring a live chat or conversation between the health provider and product manufacturer or service, as well as a one click way to request a representative visit. These solutions address major access barriers that limit doctors’ interaction with the manufacturer and allow the health system or provider to access needed information when they want it. As we are in collaboration with our partners, further content and information delivery solutions are being flushed out as we continue to integrate with new channels and partners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leadership of the Director of Technology and Director of Software Development, whom were added late in 2011 to strengthen our core technical team, we have added an additional developer and a technical intern while leveraging a new development partner in Simple eSolutions, whom provided valuable architecture, system design and database management support on the SampleMD 2.0 effort. We also continued to work with the Engineering and Information Technology department of Oakland University in Rochester Michigan. As the University has opened the doors of its new medical school, it also brings highly skilled technology and application developers whom possess a solid knowledge of medical industry IT requirements.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SampleMD has faced some competition based on the growth in the space primarily by Physicians Interactive. As noted, we have filed a patent infringement suit against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OptimizeRx.com website continues to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that provide online advertising competition to OPTIMIZERx.com, including Quality Health, WebMD, McKesson, and Drugs.com.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these competitors, we do not have major competition in our space of the market. We have been experiencing a growing list of potential partners whom either have content that want to deliver through the SampleMD engine and network, or whom have complementary technology and want to integrate our solution as a channel partner, expanding the reach to clinicians for OPTIMIZERx.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fourth quarter of 2012, we were awarded a patent for our innovative SampleMD solution (US Patent No. 8,341,015). This award highlighted our continued research and development efforts. The awarded claims cover our ability to electronically process, display and distribute eligible prescription savings on the medications and therapies healthcare providers wish to prescribe for their patients. We have also recently submitted and will be preparing additional filings to protect our intellectual property on forthcoming solutions that will further assist and support physicians, pharmacists and patients.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we have hired Harness, Dickey &amp; Pierce, a nationally ranked IP firm, to further expand and protect our intellectual property. Through them, we have filed two additional patents on our technology. We also used the firm to file a patent infringement lawsuit against Physicians Interactive. Management believes the current and expanding IP will allow us to continue being the leader in this rapidly growing space. OPTIMIZERx is a licensed trademark. SampleMD is a licensed trademark.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is developed significantly each month. Since inception, we have developed and launched OFFERx and ADHERxE, and we are further integrating these platforms to provide more robust offerings. OPTIMIZERx.com and OFFERx are patent pending.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2014, we had 13 employees in addition to 4 contracted programmers through our established relationship with Simple eSolutions a technical and programming resources partner. Additionally we have one contracted business development individual targeting new EMR channel and pharma client.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we do not own any real estate. Our principal executive offices are located at 400 Water Street, Suite 200, Rochester, Michigan, 48307. We have entered into a 3 year lease for this 2,886 square foot facility, with a cost of approximately$5,049.25 per month.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year ended December 31, 2013 was $4,957,016, an increase from $1,989,086 from the prior year.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increased revenue for the year ended December 31, 2013 as compared with the prior year is a result of the continued viability of our SampleMD solution and the setup and integration fees for pharmaceutical manufacturers whom are participating within this offering. The bulk of our revenue for the year ended December 31, 2013 came mainly from our core SampleMD solutions as opposed to our new consulting business. We expect revenues to increase on our consulting business for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expenses increased to $2,973,990 for the year ended December 31, 2013 from $2,328,648 for the year ended December 31, 2012. Our major expenses for the year ended December 31, 2013 were salaries, wages and benefits of $1,319,712, professional fees of $552,824, stock-based compensation of $411,412, general and administrative expenses of $288,297, depreciation and amortization of $193,971, and consulting fees of $100,077. Our expenses increased in 2013 as compared with 2012 largely as a result of salaries, wages and benefits, professional fees and stock-based compensation.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operating expenses to increase slightly, with the most increase coming as we will continue to add personnel to strengthen our operations, sales and marketing efforts going forward.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year ended December 31, 2013 was $215,847, compared to net loss of $ $454,553 for the year ended December 31, 2012.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company is starting to show real signs of improvement with positive income this year. With increased sales forecasted for next year, we believe that we will achieve a small improvement to net income in 2014.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2013, we had total current assets of $2,696,978 and total assets in the amount of $4,008,020. Our total current liabilities as of December 31, 2013 were $1,968,652. We had working capital of $728,326 as of December 31, 2013.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activities provided $1,132,628 in cash for the year ended December 31, 2013. Our revenue share payable of $1,103,084, stock-based compensation of $399,092, net income of $215,847 and depreciation and amortization of $193,791 were the primary components of our positive operating cash flow, offset mainly by accounts receivable of $950,166.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Investing activities used $298,648 during the year ended December 31, 2013 largely as a result of patent rights and website development costs.</w:t>
      </w:r>
    </w:p>
    <w:p>
      <w:pPr>
        <w:spacing w:after="0" w:line="23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March 17, 2014, we entered into a securities purchase agreement with accredited investors pursuant to which we sold an aggregate of 8,333,333 shares of our common stock, par value $0.001 per share, for $1.20 per share, or gross proceeds of $10,000,000. We used $6,000,000 of the proceeds to exercise our option to redeem Vicis Capital Master Fund’s holdings in our company. The balance of the proceeds will be used for working capital. With the financing and cash on hand, we have sufficient cash to operate our business for the next twelve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the transactions described below and under the heading “Executive Compensation” (or with respect to which such information is omitted in accordance with SEC regulations), since January 1, 2013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17, 2014, we raised gross proceeds of $10,000,000 in the March 2014 Private Placement with certain accredited investors. We used a portion of the net proceeds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35 shares of Series A Convertible Preferred Stock, 30 shares of Series B Convertible Preferred Stock, 886,340 shares of common stock, and warrants to purchase 10,000,000 shares of common stock held by Vicis in our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2012</w:t>
      </w:r>
    </w:p>
    <w:p>
      <w:pPr>
        <w:spacing w:after="0" w:line="23" w:lineRule="exact"/>
        <w:rPr>
          <w:sz w:val="20"/>
          <w:szCs w:val="20"/>
          <w:color w:val="auto"/>
        </w:rPr>
      </w:pPr>
    </w:p>
    <w:tbl>
      <w:tblPr>
        <w:tblLayout w:type="fixed"/>
        <w:tblInd w:w="2880" w:type="dxa"/>
        <w:tblCellMar>
          <w:top w:w="0" w:type="dxa"/>
          <w:left w:w="0" w:type="dxa"/>
          <w:bottom w:w="0" w:type="dxa"/>
          <w:right w:w="0" w:type="dxa"/>
        </w:tblCellMar>
      </w:tblPr>
      <w:tr>
        <w:trPr>
          <w:trHeight w:val="210"/>
        </w:trPr>
        <w:tc>
          <w:tcPr>
            <w:tcW w:w="19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9"/>
              </w:rPr>
              <w:t>Quarter Ended</w:t>
            </w:r>
          </w:p>
        </w:tc>
        <w:tc>
          <w:tcPr>
            <w:tcW w:w="2440" w:type="dxa"/>
            <w:vAlign w:val="bottom"/>
            <w:tcBorders>
              <w:top w:val="single" w:sz="8" w:color="auto"/>
            </w:tcBorders>
            <w:gridSpan w:val="4"/>
          </w:tcPr>
          <w:p>
            <w:pPr>
              <w:jc w:val="center"/>
              <w:ind w:right="580"/>
              <w:spacing w:after="0"/>
              <w:rPr>
                <w:sz w:val="20"/>
                <w:szCs w:val="20"/>
                <w:color w:val="auto"/>
              </w:rPr>
            </w:pPr>
            <w:r>
              <w:rPr>
                <w:rFonts w:ascii="Arial" w:cs="Arial" w:eastAsia="Arial" w:hAnsi="Arial"/>
                <w:sz w:val="18"/>
                <w:szCs w:val="18"/>
                <w:color w:val="auto"/>
                <w:w w:val="96"/>
              </w:rPr>
              <w:t>High $</w:t>
            </w:r>
          </w:p>
        </w:tc>
        <w:tc>
          <w:tcPr>
            <w:tcW w:w="130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9"/>
              </w:rPr>
              <w:t>Low $</w:t>
            </w:r>
          </w:p>
        </w:tc>
      </w:tr>
      <w:tr>
        <w:trPr>
          <w:trHeight w:val="210"/>
        </w:trPr>
        <w:tc>
          <w:tcPr>
            <w:tcW w:w="1900" w:type="dxa"/>
            <w:vAlign w:val="bottom"/>
            <w:tcBorders>
              <w:top w:val="single" w:sz="8" w:color="auto"/>
            </w:tcBorders>
            <w:gridSpan w:val="2"/>
            <w:shd w:val="clear" w:color="auto" w:fill="CCEECC"/>
          </w:tcPr>
          <w:p>
            <w:pPr>
              <w:jc w:val="center"/>
              <w:ind w:right="40"/>
              <w:spacing w:after="0"/>
              <w:rPr>
                <w:sz w:val="20"/>
                <w:szCs w:val="20"/>
                <w:color w:val="auto"/>
              </w:rPr>
            </w:pPr>
            <w:r>
              <w:rPr>
                <w:rFonts w:ascii="Arial" w:cs="Arial" w:eastAsia="Arial" w:hAnsi="Arial"/>
                <w:sz w:val="18"/>
                <w:szCs w:val="18"/>
                <w:color w:val="auto"/>
                <w:w w:val="89"/>
              </w:rPr>
              <w:t>December 31, 2012</w:t>
            </w:r>
          </w:p>
        </w:tc>
        <w:tc>
          <w:tcPr>
            <w:tcW w:w="60" w:type="dxa"/>
            <w:vAlign w:val="bottom"/>
            <w:tcBorders>
              <w:top w:val="single" w:sz="8" w:color="CCEECC"/>
            </w:tcBorders>
            <w:shd w:val="clear" w:color="auto" w:fill="CCEECC"/>
          </w:tcPr>
          <w:p>
            <w:pPr>
              <w:spacing w:after="0"/>
              <w:rPr>
                <w:sz w:val="18"/>
                <w:szCs w:val="18"/>
                <w:color w:val="auto"/>
              </w:rPr>
            </w:pPr>
          </w:p>
        </w:tc>
        <w:tc>
          <w:tcPr>
            <w:tcW w:w="182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5"/>
              </w:rPr>
              <w:t>1.61</w:t>
            </w:r>
          </w:p>
        </w:tc>
        <w:tc>
          <w:tcPr>
            <w:tcW w:w="4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520" w:type="dxa"/>
            <w:vAlign w:val="bottom"/>
            <w:tcBorders>
              <w:top w:val="single" w:sz="8" w:color="auto"/>
            </w:tcBorders>
            <w:shd w:val="clear" w:color="auto" w:fill="CCEECC"/>
          </w:tcPr>
          <w:p>
            <w:pPr>
              <w:spacing w:after="0"/>
              <w:rPr>
                <w:sz w:val="18"/>
                <w:szCs w:val="18"/>
                <w:color w:val="auto"/>
              </w:rPr>
            </w:pPr>
          </w:p>
        </w:tc>
        <w:tc>
          <w:tcPr>
            <w:tcW w:w="1240" w:type="dxa"/>
            <w:vAlign w:val="bottom"/>
            <w:tcBorders>
              <w:top w:val="single" w:sz="8" w:color="auto"/>
            </w:tcBorders>
            <w:shd w:val="clear" w:color="auto" w:fill="CCEECC"/>
          </w:tcPr>
          <w:p>
            <w:pPr>
              <w:jc w:val="center"/>
              <w:ind w:right="390"/>
              <w:spacing w:after="0"/>
              <w:rPr>
                <w:sz w:val="20"/>
                <w:szCs w:val="20"/>
                <w:color w:val="auto"/>
              </w:rPr>
            </w:pPr>
            <w:r>
              <w:rPr>
                <w:rFonts w:ascii="Arial" w:cs="Arial" w:eastAsia="Arial" w:hAnsi="Arial"/>
                <w:sz w:val="18"/>
                <w:szCs w:val="18"/>
                <w:color w:val="auto"/>
                <w:w w:val="91"/>
              </w:rPr>
              <w:t>0.85</w:t>
            </w:r>
          </w:p>
        </w:tc>
        <w:tc>
          <w:tcPr>
            <w:tcW w:w="60" w:type="dxa"/>
            <w:vAlign w:val="bottom"/>
            <w:tcBorders>
              <w:top w:val="single" w:sz="8" w:color="auto"/>
            </w:tcBorders>
            <w:shd w:val="clear" w:color="auto" w:fill="CCEECC"/>
          </w:tcPr>
          <w:p>
            <w:pPr>
              <w:spacing w:after="0"/>
              <w:rPr>
                <w:sz w:val="18"/>
                <w:szCs w:val="18"/>
                <w:color w:val="auto"/>
              </w:rPr>
            </w:pPr>
          </w:p>
        </w:tc>
      </w:tr>
      <w:tr>
        <w:trPr>
          <w:trHeight w:val="216"/>
        </w:trPr>
        <w:tc>
          <w:tcPr>
            <w:tcW w:w="19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September 30, 2012</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1.85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0.43</w:t>
            </w:r>
          </w:p>
        </w:tc>
        <w:tc>
          <w:tcPr>
            <w:tcW w:w="60" w:type="dxa"/>
            <w:vAlign w:val="bottom"/>
          </w:tcPr>
          <w:p>
            <w:pPr>
              <w:spacing w:after="0"/>
              <w:rPr>
                <w:sz w:val="18"/>
                <w:szCs w:val="18"/>
                <w:color w:val="auto"/>
              </w:rPr>
            </w:pPr>
          </w:p>
        </w:tc>
      </w:tr>
      <w:tr>
        <w:trPr>
          <w:trHeight w:val="216"/>
        </w:trPr>
        <w:tc>
          <w:tcPr>
            <w:tcW w:w="1960" w:type="dxa"/>
            <w:vAlign w:val="bottom"/>
            <w:gridSpan w:val="3"/>
            <w:shd w:val="clear" w:color="auto" w:fill="CCEECC"/>
          </w:tcPr>
          <w:p>
            <w:pPr>
              <w:jc w:val="center"/>
              <w:ind w:right="80"/>
              <w:spacing w:after="0"/>
              <w:rPr>
                <w:sz w:val="20"/>
                <w:szCs w:val="20"/>
                <w:color w:val="auto"/>
              </w:rPr>
            </w:pPr>
            <w:r>
              <w:rPr>
                <w:rFonts w:ascii="Arial" w:cs="Arial" w:eastAsia="Arial" w:hAnsi="Arial"/>
                <w:sz w:val="18"/>
                <w:szCs w:val="18"/>
                <w:color w:val="auto"/>
                <w:w w:val="87"/>
              </w:rPr>
              <w:t>June 30, 2012</w:t>
            </w:r>
          </w:p>
        </w:tc>
        <w:tc>
          <w:tcPr>
            <w:tcW w:w="182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5"/>
              </w:rPr>
              <w:t>1.35</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1240" w:type="dxa"/>
            <w:vAlign w:val="bottom"/>
            <w:shd w:val="clear" w:color="auto" w:fill="CCEECC"/>
          </w:tcPr>
          <w:p>
            <w:pPr>
              <w:jc w:val="center"/>
              <w:ind w:right="390"/>
              <w:spacing w:after="0"/>
              <w:rPr>
                <w:sz w:val="20"/>
                <w:szCs w:val="20"/>
                <w:color w:val="auto"/>
              </w:rPr>
            </w:pPr>
            <w:r>
              <w:rPr>
                <w:rFonts w:ascii="Arial" w:cs="Arial" w:eastAsia="Arial" w:hAnsi="Arial"/>
                <w:sz w:val="18"/>
                <w:szCs w:val="18"/>
                <w:color w:val="auto"/>
                <w:w w:val="91"/>
              </w:rPr>
              <w:t>0.75</w:t>
            </w:r>
          </w:p>
        </w:tc>
        <w:tc>
          <w:tcPr>
            <w:tcW w:w="60" w:type="dxa"/>
            <w:vAlign w:val="bottom"/>
            <w:shd w:val="clear" w:color="auto" w:fill="CCEECC"/>
          </w:tcPr>
          <w:p>
            <w:pPr>
              <w:spacing w:after="0"/>
              <w:rPr>
                <w:sz w:val="18"/>
                <w:szCs w:val="18"/>
                <w:color w:val="auto"/>
              </w:rPr>
            </w:pPr>
          </w:p>
        </w:tc>
      </w:tr>
      <w:tr>
        <w:trPr>
          <w:trHeight w:val="230"/>
        </w:trPr>
        <w:tc>
          <w:tcPr>
            <w:tcW w:w="19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March 31, 2012</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0.53</w:t>
            </w:r>
          </w:p>
        </w:tc>
        <w:tc>
          <w:tcPr>
            <w:tcW w:w="60" w:type="dxa"/>
            <w:vAlign w:val="bottom"/>
          </w:tcPr>
          <w:p>
            <w:pPr>
              <w:spacing w:after="0"/>
              <w:rPr>
                <w:sz w:val="20"/>
                <w:szCs w:val="20"/>
                <w:color w:val="auto"/>
              </w:rPr>
            </w:pPr>
          </w:p>
        </w:tc>
      </w:tr>
      <w:tr>
        <w:trPr>
          <w:trHeight w:val="418"/>
        </w:trPr>
        <w:tc>
          <w:tcPr>
            <w:tcW w:w="4400" w:type="dxa"/>
            <w:vAlign w:val="bottom"/>
            <w:tcBorders>
              <w:bottom w:val="single" w:sz="8" w:color="auto"/>
            </w:tcBorders>
            <w:gridSpan w:val="7"/>
          </w:tcPr>
          <w:p>
            <w:pPr>
              <w:ind w:left="1420"/>
              <w:spacing w:after="0"/>
              <w:rPr>
                <w:sz w:val="20"/>
                <w:szCs w:val="20"/>
                <w:color w:val="auto"/>
              </w:rPr>
            </w:pPr>
            <w:r>
              <w:rPr>
                <w:rFonts w:ascii="Arial" w:cs="Arial" w:eastAsia="Arial" w:hAnsi="Arial"/>
                <w:sz w:val="18"/>
                <w:szCs w:val="18"/>
                <w:color w:val="auto"/>
                <w:w w:val="94"/>
              </w:rPr>
              <w:t>Fiscal Year Ending December 31, 2013</w:t>
            </w: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0"/>
        </w:trPr>
        <w:tc>
          <w:tcPr>
            <w:tcW w:w="19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Quarter Ended</w:t>
            </w:r>
          </w:p>
        </w:tc>
        <w:tc>
          <w:tcPr>
            <w:tcW w:w="2440" w:type="dxa"/>
            <w:vAlign w:val="bottom"/>
            <w:gridSpan w:val="4"/>
          </w:tcPr>
          <w:p>
            <w:pPr>
              <w:jc w:val="center"/>
              <w:ind w:right="580"/>
              <w:spacing w:after="0"/>
              <w:rPr>
                <w:sz w:val="20"/>
                <w:szCs w:val="20"/>
                <w:color w:val="auto"/>
              </w:rPr>
            </w:pPr>
            <w:r>
              <w:rPr>
                <w:rFonts w:ascii="Arial" w:cs="Arial" w:eastAsia="Arial" w:hAnsi="Arial"/>
                <w:sz w:val="18"/>
                <w:szCs w:val="18"/>
                <w:color w:val="auto"/>
                <w:w w:val="96"/>
              </w:rPr>
              <w:t>High $</w:t>
            </w: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Low $</w:t>
            </w:r>
          </w:p>
        </w:tc>
      </w:tr>
      <w:tr>
        <w:trPr>
          <w:trHeight w:val="210"/>
        </w:trPr>
        <w:tc>
          <w:tcPr>
            <w:tcW w:w="182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9"/>
              </w:rPr>
              <w:t>December 31, 2013</w:t>
            </w:r>
          </w:p>
        </w:tc>
        <w:tc>
          <w:tcPr>
            <w:tcW w:w="8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82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5"/>
              </w:rPr>
              <w:t>1.65</w:t>
            </w:r>
          </w:p>
        </w:tc>
        <w:tc>
          <w:tcPr>
            <w:tcW w:w="4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520" w:type="dxa"/>
            <w:vAlign w:val="bottom"/>
            <w:tcBorders>
              <w:top w:val="single" w:sz="8" w:color="auto"/>
            </w:tcBorders>
            <w:shd w:val="clear" w:color="auto" w:fill="CCEECC"/>
          </w:tcPr>
          <w:p>
            <w:pPr>
              <w:spacing w:after="0"/>
              <w:rPr>
                <w:sz w:val="18"/>
                <w:szCs w:val="18"/>
                <w:color w:val="auto"/>
              </w:rPr>
            </w:pPr>
          </w:p>
        </w:tc>
        <w:tc>
          <w:tcPr>
            <w:tcW w:w="1240" w:type="dxa"/>
            <w:vAlign w:val="bottom"/>
            <w:tcBorders>
              <w:top w:val="single" w:sz="8" w:color="auto"/>
            </w:tcBorders>
            <w:shd w:val="clear" w:color="auto" w:fill="CCEECC"/>
          </w:tcPr>
          <w:p>
            <w:pPr>
              <w:jc w:val="center"/>
              <w:ind w:right="390"/>
              <w:spacing w:after="0"/>
              <w:rPr>
                <w:sz w:val="20"/>
                <w:szCs w:val="20"/>
                <w:color w:val="auto"/>
              </w:rPr>
            </w:pPr>
            <w:r>
              <w:rPr>
                <w:rFonts w:ascii="Arial" w:cs="Arial" w:eastAsia="Arial" w:hAnsi="Arial"/>
                <w:sz w:val="18"/>
                <w:szCs w:val="18"/>
                <w:color w:val="auto"/>
                <w:w w:val="91"/>
              </w:rPr>
              <w:t>0.91</w:t>
            </w:r>
          </w:p>
        </w:tc>
        <w:tc>
          <w:tcPr>
            <w:tcW w:w="60" w:type="dxa"/>
            <w:vAlign w:val="bottom"/>
            <w:tcBorders>
              <w:top w:val="single" w:sz="8" w:color="CCEECC"/>
            </w:tcBorders>
            <w:shd w:val="clear" w:color="auto" w:fill="CCEECC"/>
          </w:tcPr>
          <w:p>
            <w:pPr>
              <w:spacing w:after="0"/>
              <w:rPr>
                <w:sz w:val="18"/>
                <w:szCs w:val="18"/>
                <w:color w:val="auto"/>
              </w:rPr>
            </w:pPr>
          </w:p>
        </w:tc>
      </w:tr>
      <w:tr>
        <w:trPr>
          <w:trHeight w:val="216"/>
        </w:trPr>
        <w:tc>
          <w:tcPr>
            <w:tcW w:w="19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September 30, 2013</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0.88</w:t>
            </w:r>
          </w:p>
        </w:tc>
        <w:tc>
          <w:tcPr>
            <w:tcW w:w="60" w:type="dxa"/>
            <w:vAlign w:val="bottom"/>
          </w:tcPr>
          <w:p>
            <w:pPr>
              <w:spacing w:after="0"/>
              <w:rPr>
                <w:sz w:val="18"/>
                <w:szCs w:val="18"/>
                <w:color w:val="auto"/>
              </w:rPr>
            </w:pPr>
          </w:p>
        </w:tc>
      </w:tr>
      <w:tr>
        <w:trPr>
          <w:trHeight w:val="216"/>
        </w:trPr>
        <w:tc>
          <w:tcPr>
            <w:tcW w:w="1960" w:type="dxa"/>
            <w:vAlign w:val="bottom"/>
            <w:gridSpan w:val="3"/>
            <w:shd w:val="clear" w:color="auto" w:fill="CCEECC"/>
          </w:tcPr>
          <w:p>
            <w:pPr>
              <w:jc w:val="center"/>
              <w:ind w:right="80"/>
              <w:spacing w:after="0"/>
              <w:rPr>
                <w:sz w:val="20"/>
                <w:szCs w:val="20"/>
                <w:color w:val="auto"/>
              </w:rPr>
            </w:pPr>
            <w:r>
              <w:rPr>
                <w:rFonts w:ascii="Arial" w:cs="Arial" w:eastAsia="Arial" w:hAnsi="Arial"/>
                <w:sz w:val="18"/>
                <w:szCs w:val="18"/>
                <w:color w:val="auto"/>
                <w:w w:val="87"/>
              </w:rPr>
              <w:t>June 30, 2013</w:t>
            </w:r>
          </w:p>
        </w:tc>
        <w:tc>
          <w:tcPr>
            <w:tcW w:w="182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5"/>
              </w:rPr>
              <w:t>1.91</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1240" w:type="dxa"/>
            <w:vAlign w:val="bottom"/>
            <w:shd w:val="clear" w:color="auto" w:fill="CCEECC"/>
          </w:tcPr>
          <w:p>
            <w:pPr>
              <w:jc w:val="center"/>
              <w:ind w:right="390"/>
              <w:spacing w:after="0"/>
              <w:rPr>
                <w:sz w:val="20"/>
                <w:szCs w:val="20"/>
                <w:color w:val="auto"/>
              </w:rPr>
            </w:pPr>
            <w:r>
              <w:rPr>
                <w:rFonts w:ascii="Arial" w:cs="Arial" w:eastAsia="Arial" w:hAnsi="Arial"/>
                <w:sz w:val="18"/>
                <w:szCs w:val="18"/>
                <w:color w:val="auto"/>
                <w:w w:val="91"/>
              </w:rPr>
              <w:t>1.12</w:t>
            </w:r>
          </w:p>
        </w:tc>
        <w:tc>
          <w:tcPr>
            <w:tcW w:w="60" w:type="dxa"/>
            <w:vAlign w:val="bottom"/>
            <w:shd w:val="clear" w:color="auto" w:fill="CCEECC"/>
          </w:tcPr>
          <w:p>
            <w:pPr>
              <w:spacing w:after="0"/>
              <w:rPr>
                <w:sz w:val="18"/>
                <w:szCs w:val="18"/>
                <w:color w:val="auto"/>
              </w:rPr>
            </w:pPr>
          </w:p>
        </w:tc>
      </w:tr>
      <w:tr>
        <w:trPr>
          <w:trHeight w:val="230"/>
        </w:trPr>
        <w:tc>
          <w:tcPr>
            <w:tcW w:w="19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March 31, 2013</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1.42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0.96</w:t>
            </w:r>
          </w:p>
        </w:tc>
        <w:tc>
          <w:tcPr>
            <w:tcW w:w="6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May 9, 2014, the last sales price per share of our common stock was $1.70.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we had 22,809,586 shares of our common stock issued and outstanding, held by 316 shareholders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184"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Plan, we may issue up to an aggregate total of 1,500,000 incentive or non-qualified options to purchase our common stock or stock awards.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2013</w:t>
            </w: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rPr>
              <w:t>A</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B</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C</w:t>
            </w:r>
          </w:p>
        </w:tc>
      </w:tr>
      <w:tr>
        <w:trPr>
          <w:trHeight w:val="195"/>
        </w:trPr>
        <w:tc>
          <w:tcPr>
            <w:tcW w:w="2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Number of securities</w:t>
            </w:r>
          </w:p>
        </w:tc>
        <w:tc>
          <w:tcPr>
            <w:tcW w:w="2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remaining available</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securities to be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 future issuance</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issued upon</w:t>
            </w:r>
          </w:p>
        </w:tc>
        <w:tc>
          <w:tcPr>
            <w:tcW w:w="40" w:type="dxa"/>
            <w:vAlign w:val="bottom"/>
          </w:tcPr>
          <w:p>
            <w:pPr>
              <w:spacing w:after="0"/>
              <w:rPr>
                <w:sz w:val="18"/>
                <w:szCs w:val="18"/>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Weighted-average</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under equity</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exercise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exercise price of</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compensation plans</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outstanding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outstanding</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(excluding securities</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options, warrants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options, warrants</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reflected in column</w:t>
            </w:r>
          </w:p>
        </w:tc>
      </w:tr>
      <w:tr>
        <w:trPr>
          <w:trHeight w:val="230"/>
        </w:trPr>
        <w:tc>
          <w:tcPr>
            <w:tcW w:w="4580" w:type="dxa"/>
            <w:vAlign w:val="bottom"/>
            <w:gridSpan w:val="2"/>
          </w:tcPr>
          <w:p>
            <w:pPr>
              <w:ind w:left="2300"/>
              <w:spacing w:after="0"/>
              <w:rPr>
                <w:sz w:val="20"/>
                <w:szCs w:val="20"/>
                <w:color w:val="auto"/>
              </w:rPr>
            </w:pPr>
            <w:r>
              <w:rPr>
                <w:rFonts w:ascii="Arial" w:cs="Arial" w:eastAsia="Arial" w:hAnsi="Arial"/>
                <w:sz w:val="18"/>
                <w:szCs w:val="18"/>
                <w:color w:val="auto"/>
              </w:rPr>
              <w:t>Plan Category</w:t>
            </w: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and rights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and right</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(A))</w:t>
            </w:r>
          </w:p>
        </w:tc>
      </w:tr>
      <w:tr>
        <w:trPr>
          <w:trHeight w:val="182"/>
        </w:trPr>
        <w:tc>
          <w:tcPr>
            <w:tcW w:w="4580" w:type="dxa"/>
            <w:vAlign w:val="bottom"/>
            <w:gridSpan w:val="2"/>
          </w:tcPr>
          <w:p>
            <w:pPr>
              <w:ind w:left="2300"/>
              <w:spacing w:after="0" w:line="182" w:lineRule="exact"/>
              <w:rPr>
                <w:sz w:val="20"/>
                <w:szCs w:val="20"/>
                <w:color w:val="auto"/>
              </w:rPr>
            </w:pPr>
            <w:r>
              <w:rPr>
                <w:rFonts w:ascii="Arial" w:cs="Arial" w:eastAsia="Arial" w:hAnsi="Arial"/>
                <w:sz w:val="18"/>
                <w:szCs w:val="18"/>
                <w:color w:val="auto"/>
              </w:rPr>
              <w:t>Equity compensation plans</w:t>
            </w:r>
          </w:p>
        </w:tc>
        <w:tc>
          <w:tcPr>
            <w:tcW w:w="1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580" w:type="dxa"/>
            <w:vAlign w:val="bottom"/>
            <w:gridSpan w:val="2"/>
          </w:tcPr>
          <w:p>
            <w:pPr>
              <w:ind w:left="2300"/>
              <w:spacing w:after="0"/>
              <w:rPr>
                <w:sz w:val="20"/>
                <w:szCs w:val="20"/>
                <w:color w:val="auto"/>
              </w:rPr>
            </w:pPr>
            <w:r>
              <w:rPr>
                <w:rFonts w:ascii="Arial" w:cs="Arial" w:eastAsia="Arial" w:hAnsi="Arial"/>
                <w:sz w:val="18"/>
                <w:szCs w:val="18"/>
                <w:color w:val="auto"/>
                <w:w w:val="98"/>
              </w:rPr>
              <w:t>approved by security holders</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182"/>
        </w:trPr>
        <w:tc>
          <w:tcPr>
            <w:tcW w:w="2300" w:type="dxa"/>
            <w:vAlign w:val="bottom"/>
          </w:tcPr>
          <w:p>
            <w:pPr>
              <w:spacing w:after="0"/>
              <w:rPr>
                <w:sz w:val="15"/>
                <w:szCs w:val="15"/>
                <w:color w:val="auto"/>
              </w:rPr>
            </w:pPr>
          </w:p>
        </w:tc>
        <w:tc>
          <w:tcPr>
            <w:tcW w:w="2280" w:type="dxa"/>
            <w:vAlign w:val="bottom"/>
            <w:tcBorders>
              <w:top w:val="single" w:sz="8" w:color="CCEECC"/>
            </w:tcBorders>
            <w:shd w:val="clear" w:color="auto" w:fill="CCEECC"/>
          </w:tcPr>
          <w:p>
            <w:pPr>
              <w:ind w:left="80"/>
              <w:spacing w:after="0" w:line="182" w:lineRule="exact"/>
              <w:rPr>
                <w:sz w:val="20"/>
                <w:szCs w:val="20"/>
                <w:color w:val="auto"/>
              </w:rPr>
            </w:pPr>
            <w:r>
              <w:rPr>
                <w:rFonts w:ascii="Arial" w:cs="Arial" w:eastAsia="Arial" w:hAnsi="Arial"/>
                <w:sz w:val="18"/>
                <w:szCs w:val="18"/>
                <w:color w:val="auto"/>
              </w:rPr>
              <w:t>Equity compensation plans</w:t>
            </w:r>
          </w:p>
        </w:tc>
        <w:tc>
          <w:tcPr>
            <w:tcW w:w="13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2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560" w:type="dxa"/>
            <w:vAlign w:val="bottom"/>
            <w:tcBorders>
              <w:top w:val="single" w:sz="8" w:color="auto"/>
              <w:right w:val="single" w:sz="8" w:color="CCEECC"/>
            </w:tcBorders>
            <w:shd w:val="clear" w:color="auto" w:fill="CCEECC"/>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300" w:type="dxa"/>
            <w:vAlign w:val="bottom"/>
          </w:tcPr>
          <w:p>
            <w:pPr>
              <w:spacing w:after="0"/>
              <w:rPr>
                <w:sz w:val="18"/>
                <w:szCs w:val="18"/>
                <w:color w:val="auto"/>
              </w:rPr>
            </w:pPr>
          </w:p>
        </w:tc>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not approved by security</w:t>
            </w:r>
          </w:p>
        </w:tc>
        <w:tc>
          <w:tcPr>
            <w:tcW w:w="13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560" w:type="dxa"/>
            <w:vAlign w:val="bottom"/>
            <w:tcBorders>
              <w:right w:val="single" w:sz="8" w:color="CCEECC"/>
            </w:tcBorders>
            <w:shd w:val="clear" w:color="auto" w:fill="CCEEC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holders</w:t>
            </w:r>
          </w:p>
        </w:tc>
        <w:tc>
          <w:tcPr>
            <w:tcW w:w="14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13,783,334</w:t>
            </w:r>
          </w:p>
        </w:tc>
        <w:tc>
          <w:tcPr>
            <w:tcW w:w="40" w:type="dxa"/>
            <w:vAlign w:val="bottom"/>
            <w:shd w:val="clear" w:color="auto" w:fill="CCEECC"/>
          </w:tcPr>
          <w:p>
            <w:pPr>
              <w:spacing w:after="0"/>
              <w:rPr>
                <w:sz w:val="20"/>
                <w:szCs w:val="20"/>
                <w:color w:val="auto"/>
              </w:rPr>
            </w:pPr>
          </w:p>
        </w:tc>
        <w:tc>
          <w:tcPr>
            <w:tcW w:w="1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CC"/>
          </w:tcPr>
          <w:p>
            <w:pPr>
              <w:spacing w:after="0"/>
              <w:rPr>
                <w:sz w:val="20"/>
                <w:szCs w:val="20"/>
                <w:color w:val="auto"/>
              </w:rPr>
            </w:pPr>
          </w:p>
        </w:tc>
        <w:tc>
          <w:tcPr>
            <w:tcW w:w="1560" w:type="dxa"/>
            <w:vAlign w:val="bottom"/>
            <w:tcBorders>
              <w:right w:val="single" w:sz="8" w:color="CCEECC"/>
            </w:tcBorders>
            <w:shd w:val="clear" w:color="auto" w:fill="CCEECC"/>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13,783,334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and Mr. Terry Hamilton was awarded 215,625 shares of our common stock. The restricted stock awards will vest 50% on the date six months and one day after the date of grant, and the remaining 50% one year after the first vesting date.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20, 2013, we entered into a Separation Agreement with Mr. Shad Stastney regarding the terms and conditions of his departure from our company (the “Agreement”). Under the Agreement, among other things, we agreed to issue to Mr. Stastney 500,000 shares of our common stock, half now and the rest by January 1, 2014.</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17, 2014, we entered into a securities purchase agreement with accredited investors, pursuant to which we sold an aggregate of 8,333,333 shares of the Company’s common stock, par value $0.001 per share, for $1.20 per Share, or gross proceeds of $10,000,000. We issued warrants to purchase 804,139 shares of our common stock with an exercise price of $1.20 per share and a term of 5 years to placement agents in the raise.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2013 and 2012.</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195"/>
        </w:trPr>
        <w:tc>
          <w:tcPr>
            <w:tcW w:w="1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Option</w:t>
            </w:r>
          </w:p>
        </w:tc>
        <w:tc>
          <w:tcPr>
            <w:tcW w:w="1120" w:type="dxa"/>
            <w:vAlign w:val="bottom"/>
            <w:tcBorders>
              <w:top w:val="single" w:sz="8" w:color="auto"/>
            </w:tcBorders>
            <w:gridSpan w:val="2"/>
          </w:tcPr>
          <w:p>
            <w:pPr>
              <w:jc w:val="center"/>
              <w:ind w:right="60"/>
              <w:spacing w:after="0" w:line="195" w:lineRule="exact"/>
              <w:rPr>
                <w:sz w:val="20"/>
                <w:szCs w:val="20"/>
                <w:color w:val="auto"/>
              </w:rPr>
            </w:pPr>
            <w:r>
              <w:rPr>
                <w:rFonts w:ascii="Arial" w:cs="Arial" w:eastAsia="Arial" w:hAnsi="Arial"/>
                <w:sz w:val="18"/>
                <w:szCs w:val="18"/>
                <w:color w:val="auto"/>
                <w:w w:val="96"/>
              </w:rPr>
              <w:t>Non-Equity</w:t>
            </w:r>
          </w:p>
        </w:tc>
        <w:tc>
          <w:tcPr>
            <w:tcW w:w="1120" w:type="dxa"/>
            <w:vAlign w:val="bottom"/>
            <w:tcBorders>
              <w:top w:val="single" w:sz="8" w:color="auto"/>
            </w:tcBorders>
            <w:gridSpan w:val="2"/>
          </w:tcPr>
          <w:p>
            <w:pPr>
              <w:jc w:val="center"/>
              <w:ind w:right="60"/>
              <w:spacing w:after="0" w:line="195" w:lineRule="exact"/>
              <w:rPr>
                <w:sz w:val="20"/>
                <w:szCs w:val="20"/>
                <w:color w:val="auto"/>
              </w:rPr>
            </w:pPr>
            <w:r>
              <w:rPr>
                <w:rFonts w:ascii="Arial" w:cs="Arial" w:eastAsia="Arial" w:hAnsi="Arial"/>
                <w:sz w:val="18"/>
                <w:szCs w:val="18"/>
                <w:color w:val="auto"/>
                <w:w w:val="93"/>
              </w:rPr>
              <w:t>Nonqualified</w:t>
            </w:r>
          </w:p>
        </w:tc>
        <w:tc>
          <w:tcPr>
            <w:tcW w:w="1120" w:type="dxa"/>
            <w:vAlign w:val="bottom"/>
            <w:tcBorders>
              <w:top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9"/>
              </w:rPr>
              <w:t>All Other</w:t>
            </w: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Name and</w:t>
            </w:r>
          </w:p>
        </w:tc>
        <w:tc>
          <w:tcPr>
            <w:tcW w:w="580" w:type="dxa"/>
            <w:vAlign w:val="bottom"/>
            <w:gridSpan w:val="2"/>
            <w:vMerge w:val="restart"/>
          </w:tcPr>
          <w:p>
            <w:pPr>
              <w:ind w:left="120"/>
              <w:spacing w:after="0"/>
              <w:rPr>
                <w:sz w:val="20"/>
                <w:szCs w:val="20"/>
                <w:color w:val="auto"/>
              </w:rPr>
            </w:pPr>
            <w:r>
              <w:rPr>
                <w:rFonts w:ascii="Arial" w:cs="Arial" w:eastAsia="Arial" w:hAnsi="Arial"/>
                <w:sz w:val="18"/>
                <w:szCs w:val="18"/>
                <w:color w:val="auto"/>
              </w:rPr>
              <w:t>Year</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Salary</w:t>
            </w:r>
          </w:p>
        </w:tc>
        <w:tc>
          <w:tcPr>
            <w:tcW w:w="640" w:type="dxa"/>
            <w:vAlign w:val="bottom"/>
            <w:gridSpan w:val="2"/>
            <w:vMerge w:val="restart"/>
          </w:tcPr>
          <w:p>
            <w:pPr>
              <w:ind w:left="60"/>
              <w:spacing w:after="0"/>
              <w:rPr>
                <w:sz w:val="20"/>
                <w:szCs w:val="20"/>
                <w:color w:val="auto"/>
              </w:rPr>
            </w:pPr>
            <w:r>
              <w:rPr>
                <w:rFonts w:ascii="Arial" w:cs="Arial" w:eastAsia="Arial" w:hAnsi="Arial"/>
                <w:sz w:val="18"/>
                <w:szCs w:val="18"/>
                <w:color w:val="auto"/>
              </w:rPr>
              <w:t>Bonus</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Stock</w:t>
            </w:r>
          </w:p>
        </w:tc>
        <w:tc>
          <w:tcPr>
            <w:tcW w:w="680" w:type="dxa"/>
            <w:vAlign w:val="bottom"/>
            <w:gridSpan w:val="2"/>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w w:val="93"/>
              </w:rPr>
              <w:t>Incentive Plan</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Deferred</w:t>
            </w:r>
          </w:p>
        </w:tc>
        <w:tc>
          <w:tcPr>
            <w:tcW w:w="1120" w:type="dxa"/>
            <w:vAlign w:val="bottom"/>
            <w:gridSpan w:val="2"/>
            <w:vMerge w:val="continue"/>
          </w:tcPr>
          <w:p>
            <w:pPr>
              <w:spacing w:after="0"/>
              <w:rPr>
                <w:sz w:val="18"/>
                <w:szCs w:val="18"/>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7"/>
        </w:trPr>
        <w:tc>
          <w:tcPr>
            <w:tcW w:w="1220" w:type="dxa"/>
            <w:vAlign w:val="bottom"/>
            <w:gridSpan w:val="2"/>
          </w:tcPr>
          <w:p>
            <w:pPr>
              <w:ind w:left="20"/>
              <w:spacing w:after="0" w:line="177" w:lineRule="exact"/>
              <w:rPr>
                <w:sz w:val="20"/>
                <w:szCs w:val="20"/>
                <w:color w:val="auto"/>
              </w:rPr>
            </w:pPr>
            <w:r>
              <w:rPr>
                <w:rFonts w:ascii="Arial" w:cs="Arial" w:eastAsia="Arial" w:hAnsi="Arial"/>
                <w:sz w:val="18"/>
                <w:szCs w:val="18"/>
                <w:color w:val="auto"/>
              </w:rPr>
              <w:t>principal</w:t>
            </w:r>
          </w:p>
        </w:tc>
        <w:tc>
          <w:tcPr>
            <w:tcW w:w="580" w:type="dxa"/>
            <w:vAlign w:val="bottom"/>
            <w:gridSpan w:val="2"/>
            <w:vMerge w:val="continue"/>
          </w:tcPr>
          <w:p>
            <w:pPr>
              <w:spacing w:after="0"/>
              <w:rPr>
                <w:sz w:val="15"/>
                <w:szCs w:val="15"/>
                <w:color w:val="auto"/>
              </w:rPr>
            </w:pPr>
          </w:p>
        </w:tc>
        <w:tc>
          <w:tcPr>
            <w:tcW w:w="640" w:type="dxa"/>
            <w:vAlign w:val="bottom"/>
          </w:tcPr>
          <w:p>
            <w:pPr>
              <w:jc w:val="center"/>
              <w:spacing w:after="0" w:line="177"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00" w:type="dxa"/>
            <w:vAlign w:val="bottom"/>
            <w:gridSpan w:val="2"/>
          </w:tcPr>
          <w:p>
            <w:pPr>
              <w:jc w:val="center"/>
              <w:ind w:right="80"/>
              <w:spacing w:after="0" w:line="177" w:lineRule="exact"/>
              <w:rPr>
                <w:sz w:val="20"/>
                <w:szCs w:val="20"/>
                <w:color w:val="auto"/>
              </w:rPr>
            </w:pPr>
            <w:r>
              <w:rPr>
                <w:rFonts w:ascii="Arial" w:cs="Arial" w:eastAsia="Arial" w:hAnsi="Arial"/>
                <w:sz w:val="18"/>
                <w:szCs w:val="18"/>
                <w:color w:val="auto"/>
                <w:w w:val="89"/>
              </w:rPr>
              <w:t>Awards</w:t>
            </w:r>
          </w:p>
        </w:tc>
        <w:tc>
          <w:tcPr>
            <w:tcW w:w="680" w:type="dxa"/>
            <w:vAlign w:val="bottom"/>
            <w:gridSpan w:val="2"/>
          </w:tcPr>
          <w:p>
            <w:pPr>
              <w:jc w:val="center"/>
              <w:ind w:right="20"/>
              <w:spacing w:after="0" w:line="177" w:lineRule="exact"/>
              <w:rPr>
                <w:sz w:val="20"/>
                <w:szCs w:val="20"/>
                <w:color w:val="auto"/>
              </w:rPr>
            </w:pPr>
            <w:r>
              <w:rPr>
                <w:rFonts w:ascii="Arial" w:cs="Arial" w:eastAsia="Arial" w:hAnsi="Arial"/>
                <w:sz w:val="18"/>
                <w:szCs w:val="18"/>
                <w:color w:val="auto"/>
                <w:w w:val="89"/>
              </w:rPr>
              <w:t>Awards</w:t>
            </w:r>
          </w:p>
        </w:tc>
        <w:tc>
          <w:tcPr>
            <w:tcW w:w="3360" w:type="dxa"/>
            <w:vAlign w:val="bottom"/>
            <w:gridSpan w:val="6"/>
          </w:tcPr>
          <w:p>
            <w:pPr>
              <w:jc w:val="center"/>
              <w:ind w:right="20"/>
              <w:spacing w:after="0" w:line="177" w:lineRule="exact"/>
              <w:rPr>
                <w:sz w:val="20"/>
                <w:szCs w:val="20"/>
                <w:color w:val="auto"/>
              </w:rPr>
            </w:pPr>
            <w:r>
              <w:rPr>
                <w:rFonts w:ascii="Arial" w:cs="Arial" w:eastAsia="Arial" w:hAnsi="Arial"/>
                <w:sz w:val="18"/>
                <w:szCs w:val="18"/>
                <w:color w:val="auto"/>
                <w:w w:val="92"/>
              </w:rPr>
              <w:t>Compensation Compensation Compensation</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position</w:t>
            </w: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40" w:type="dxa"/>
            <w:vAlign w:val="bottom"/>
          </w:tcPr>
          <w:p>
            <w:pPr>
              <w:spacing w:after="0"/>
              <w:rPr>
                <w:sz w:val="23"/>
                <w:szCs w:val="23"/>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20" w:type="dxa"/>
            <w:vAlign w:val="bottom"/>
          </w:tcPr>
          <w:p>
            <w:pPr>
              <w:jc w:val="center"/>
              <w:spacing w:after="0" w:line="268" w:lineRule="exact"/>
              <w:rPr>
                <w:sz w:val="20"/>
                <w:szCs w:val="20"/>
                <w:color w:val="auto"/>
              </w:rPr>
            </w:pPr>
            <w:r>
              <w:rPr>
                <w:rFonts w:ascii="Arial" w:cs="Arial" w:eastAsia="Arial" w:hAnsi="Arial"/>
                <w:sz w:val="18"/>
                <w:szCs w:val="18"/>
                <w:color w:val="auto"/>
                <w:w w:val="81"/>
              </w:rPr>
              <w:t>($)</w:t>
            </w:r>
            <w:r>
              <w:rPr>
                <w:rFonts w:ascii="Arial" w:cs="Arial" w:eastAsia="Arial" w:hAnsi="Arial"/>
                <w:sz w:val="30"/>
                <w:szCs w:val="30"/>
                <w:color w:val="auto"/>
                <w:w w:val="81"/>
                <w:vertAlign w:val="superscript"/>
              </w:rPr>
              <w:t>(2)</w:t>
            </w:r>
          </w:p>
        </w:tc>
        <w:tc>
          <w:tcPr>
            <w:tcW w:w="60" w:type="dxa"/>
            <w:vAlign w:val="bottom"/>
          </w:tcPr>
          <w:p>
            <w:pPr>
              <w:spacing w:after="0"/>
              <w:rPr>
                <w:sz w:val="23"/>
                <w:szCs w:val="23"/>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Earnings ($)</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195"/>
        </w:trPr>
        <w:tc>
          <w:tcPr>
            <w:tcW w:w="1180" w:type="dxa"/>
            <w:vAlign w:val="bottom"/>
            <w:tcBorders>
              <w:top w:val="single" w:sz="8" w:color="auto"/>
            </w:tcBorders>
            <w:shd w:val="clear" w:color="auto" w:fill="CCEECC"/>
          </w:tcPr>
          <w:p>
            <w:pPr>
              <w:ind w:left="20"/>
              <w:spacing w:after="0" w:line="195" w:lineRule="exact"/>
              <w:rPr>
                <w:sz w:val="20"/>
                <w:szCs w:val="20"/>
                <w:color w:val="auto"/>
              </w:rPr>
            </w:pPr>
            <w:r>
              <w:rPr>
                <w:rFonts w:ascii="Arial" w:cs="Arial" w:eastAsia="Arial" w:hAnsi="Arial"/>
                <w:sz w:val="18"/>
                <w:szCs w:val="18"/>
                <w:color w:val="auto"/>
                <w:w w:val="97"/>
              </w:rPr>
              <w:t>Shad Stastney</w:t>
            </w:r>
          </w:p>
        </w:tc>
        <w:tc>
          <w:tcPr>
            <w:tcW w:w="40" w:type="dxa"/>
            <w:vAlign w:val="bottom"/>
            <w:tcBorders>
              <w:top w:val="single" w:sz="8" w:color="CCEECC"/>
            </w:tcBorders>
            <w:shd w:val="clear" w:color="auto" w:fill="CCEECC"/>
          </w:tcPr>
          <w:p>
            <w:pPr>
              <w:spacing w:after="0"/>
              <w:rPr>
                <w:sz w:val="16"/>
                <w:szCs w:val="16"/>
                <w:color w:val="auto"/>
              </w:rPr>
            </w:pPr>
          </w:p>
        </w:tc>
        <w:tc>
          <w:tcPr>
            <w:tcW w:w="54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60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62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60" w:type="dxa"/>
            <w:vAlign w:val="bottom"/>
            <w:tcBorders>
              <w:top w:val="single" w:sz="8" w:color="auto"/>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Former</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Chairman,</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w w:val="94"/>
              </w:rPr>
              <w:t>President, CEO</w:t>
            </w:r>
          </w:p>
        </w:tc>
        <w:tc>
          <w:tcPr>
            <w:tcW w:w="540" w:type="dxa"/>
            <w:vAlign w:val="bottom"/>
            <w:vMerge w:val="restart"/>
            <w:shd w:val="clear" w:color="auto" w:fill="CCEECC"/>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shd w:val="clear" w:color="auto" w:fill="CCEECC"/>
          </w:tcPr>
          <w:p>
            <w:pPr>
              <w:spacing w:after="0"/>
              <w:rPr>
                <w:sz w:val="18"/>
                <w:szCs w:val="18"/>
                <w:color w:val="auto"/>
              </w:rPr>
            </w:pPr>
          </w:p>
        </w:tc>
        <w:tc>
          <w:tcPr>
            <w:tcW w:w="64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CC"/>
          </w:tcPr>
          <w:p>
            <w:pPr>
              <w:ind w:left="20"/>
              <w:spacing w:after="0" w:line="176" w:lineRule="exact"/>
              <w:rPr>
                <w:sz w:val="20"/>
                <w:szCs w:val="20"/>
                <w:color w:val="auto"/>
              </w:rPr>
            </w:pPr>
            <w:r>
              <w:rPr>
                <w:rFonts w:ascii="Arial" w:cs="Arial" w:eastAsia="Arial" w:hAnsi="Arial"/>
                <w:sz w:val="18"/>
                <w:szCs w:val="18"/>
                <w:color w:val="auto"/>
              </w:rPr>
              <w:t>and Director</w:t>
            </w:r>
          </w:p>
        </w:tc>
        <w:tc>
          <w:tcPr>
            <w:tcW w:w="54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vMerge w:val="continue"/>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0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2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60" w:type="dxa"/>
            <w:vAlign w:val="bottom"/>
            <w:vMerge w:val="continue"/>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540" w:type="dxa"/>
            <w:vAlign w:val="bottom"/>
            <w:shd w:val="clear" w:color="auto" w:fill="CCEECC"/>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126,762</w:t>
            </w:r>
          </w:p>
        </w:tc>
        <w:tc>
          <w:tcPr>
            <w:tcW w:w="60" w:type="dxa"/>
            <w:vAlign w:val="bottom"/>
            <w:shd w:val="clear" w:color="auto" w:fill="CCEECC"/>
          </w:tcPr>
          <w:p>
            <w:pPr>
              <w:spacing w:after="0"/>
              <w:rPr>
                <w:sz w:val="19"/>
                <w:szCs w:val="19"/>
                <w:color w:val="auto"/>
              </w:rPr>
            </w:pPr>
          </w:p>
        </w:tc>
        <w:tc>
          <w:tcPr>
            <w:tcW w:w="60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62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126,762</w:t>
            </w:r>
          </w:p>
        </w:tc>
        <w:tc>
          <w:tcPr>
            <w:tcW w:w="0" w:type="dxa"/>
            <w:vAlign w:val="bottom"/>
          </w:tcPr>
          <w:p>
            <w:pPr>
              <w:spacing w:after="0"/>
              <w:rPr>
                <w:sz w:val="1"/>
                <w:szCs w:val="1"/>
                <w:color w:val="auto"/>
              </w:rPr>
            </w:pPr>
          </w:p>
        </w:tc>
      </w:tr>
      <w:tr>
        <w:trPr>
          <w:trHeight w:val="202"/>
        </w:trPr>
        <w:tc>
          <w:tcPr>
            <w:tcW w:w="12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David Lester</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COO,</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Secretary,</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Treasurer and</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0"/>
              </w:rPr>
              <w:t>10,000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167,500</w:t>
            </w:r>
          </w:p>
        </w:tc>
        <w:tc>
          <w:tcPr>
            <w:tcW w:w="0" w:type="dxa"/>
            <w:vAlign w:val="bottom"/>
          </w:tcPr>
          <w:p>
            <w:pPr>
              <w:spacing w:after="0"/>
              <w:rPr>
                <w:sz w:val="1"/>
                <w:szCs w:val="1"/>
                <w:color w:val="auto"/>
              </w:rPr>
            </w:pPr>
          </w:p>
        </w:tc>
      </w:tr>
      <w:tr>
        <w:trPr>
          <w:trHeight w:val="176"/>
        </w:trPr>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Director</w:t>
            </w: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92"/>
              </w:rPr>
              <w:t>172,500</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15,000</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CCEECC"/>
          </w:tcPr>
          <w:p>
            <w:pPr>
              <w:ind w:left="20"/>
              <w:spacing w:after="0" w:line="201" w:lineRule="exact"/>
              <w:rPr>
                <w:sz w:val="20"/>
                <w:szCs w:val="20"/>
                <w:color w:val="auto"/>
              </w:rPr>
            </w:pPr>
            <w:r>
              <w:rPr>
                <w:rFonts w:ascii="Arial" w:cs="Arial" w:eastAsia="Arial" w:hAnsi="Arial"/>
                <w:sz w:val="18"/>
                <w:szCs w:val="18"/>
                <w:color w:val="auto"/>
              </w:rPr>
              <w:t>David A.</w:t>
            </w:r>
          </w:p>
        </w:tc>
        <w:tc>
          <w:tcPr>
            <w:tcW w:w="54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Harrell</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Chairman,</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Chief</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Executive</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Officer, Chief</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Strategic</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Officer and</w:t>
            </w:r>
          </w:p>
        </w:tc>
        <w:tc>
          <w:tcPr>
            <w:tcW w:w="540" w:type="dxa"/>
            <w:vAlign w:val="bottom"/>
            <w:vMerge w:val="restart"/>
            <w:shd w:val="clear" w:color="auto" w:fill="CCEECC"/>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shd w:val="clear" w:color="auto" w:fill="CCEECC"/>
          </w:tcPr>
          <w:p>
            <w:pPr>
              <w:spacing w:after="0"/>
              <w:rPr>
                <w:sz w:val="18"/>
                <w:szCs w:val="18"/>
                <w:color w:val="auto"/>
              </w:rPr>
            </w:pPr>
          </w:p>
        </w:tc>
        <w:tc>
          <w:tcPr>
            <w:tcW w:w="64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89"/>
              </w:rPr>
              <w:t>166,698</w:t>
            </w:r>
          </w:p>
        </w:tc>
        <w:tc>
          <w:tcPr>
            <w:tcW w:w="60" w:type="dxa"/>
            <w:vAlign w:val="bottom"/>
            <w:shd w:val="clear" w:color="auto" w:fill="CCEECC"/>
          </w:tcPr>
          <w:p>
            <w:pPr>
              <w:spacing w:after="0"/>
              <w:rPr>
                <w:sz w:val="18"/>
                <w:szCs w:val="18"/>
                <w:color w:val="auto"/>
              </w:rPr>
            </w:pPr>
          </w:p>
        </w:tc>
        <w:tc>
          <w:tcPr>
            <w:tcW w:w="60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90"/>
              </w:rPr>
              <w:t>50,000</w:t>
            </w: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216,698</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CC"/>
          </w:tcPr>
          <w:p>
            <w:pPr>
              <w:ind w:left="20"/>
              <w:spacing w:after="0" w:line="176" w:lineRule="exact"/>
              <w:rPr>
                <w:sz w:val="20"/>
                <w:szCs w:val="20"/>
                <w:color w:val="auto"/>
              </w:rPr>
            </w:pPr>
            <w:r>
              <w:rPr>
                <w:rFonts w:ascii="Arial" w:cs="Arial" w:eastAsia="Arial" w:hAnsi="Arial"/>
                <w:sz w:val="18"/>
                <w:szCs w:val="18"/>
                <w:color w:val="auto"/>
              </w:rPr>
              <w:t>Director</w:t>
            </w:r>
          </w:p>
        </w:tc>
        <w:tc>
          <w:tcPr>
            <w:tcW w:w="54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vMerge w:val="continue"/>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0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2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6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92"/>
              </w:rPr>
              <w:t>199,255</w:t>
            </w:r>
          </w:p>
        </w:tc>
        <w:tc>
          <w:tcPr>
            <w:tcW w:w="0" w:type="dxa"/>
            <w:vAlign w:val="bottom"/>
          </w:tcPr>
          <w:p>
            <w:pPr>
              <w:spacing w:after="0"/>
              <w:rPr>
                <w:sz w:val="1"/>
                <w:szCs w:val="1"/>
                <w:color w:val="auto"/>
              </w:rPr>
            </w:pPr>
          </w:p>
        </w:tc>
      </w:tr>
      <w:tr>
        <w:trPr>
          <w:trHeight w:val="230"/>
        </w:trPr>
        <w:tc>
          <w:tcPr>
            <w:tcW w:w="11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540" w:type="dxa"/>
            <w:vAlign w:val="bottom"/>
            <w:shd w:val="clear" w:color="auto" w:fill="CCEECC"/>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180,104</w:t>
            </w:r>
          </w:p>
        </w:tc>
        <w:tc>
          <w:tcPr>
            <w:tcW w:w="60" w:type="dxa"/>
            <w:vAlign w:val="bottom"/>
            <w:shd w:val="clear" w:color="auto" w:fill="CCEECC"/>
          </w:tcPr>
          <w:p>
            <w:pPr>
              <w:spacing w:after="0"/>
              <w:rPr>
                <w:sz w:val="19"/>
                <w:szCs w:val="19"/>
                <w:color w:val="auto"/>
              </w:rPr>
            </w:pPr>
          </w:p>
        </w:tc>
        <w:tc>
          <w:tcPr>
            <w:tcW w:w="6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0"/>
              </w:rPr>
              <w:t>19,151</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62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6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Terence J.</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Hamilton</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VP of Sales and</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8"/>
              </w:rPr>
              <w:t>7,000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164,500</w:t>
            </w:r>
          </w:p>
        </w:tc>
        <w:tc>
          <w:tcPr>
            <w:tcW w:w="0" w:type="dxa"/>
            <w:vAlign w:val="bottom"/>
          </w:tcPr>
          <w:p>
            <w:pPr>
              <w:spacing w:after="0"/>
              <w:rPr>
                <w:sz w:val="1"/>
                <w:szCs w:val="1"/>
                <w:color w:val="auto"/>
              </w:rPr>
            </w:pPr>
          </w:p>
        </w:tc>
      </w:tr>
      <w:tr>
        <w:trPr>
          <w:trHeight w:val="176"/>
        </w:trPr>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Director</w:t>
            </w: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92"/>
              </w:rPr>
              <w:t>168,500</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11,000</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14, 2013, we entered into a written Employment Agreement with Shad Stastney. Pursuant to the terms and conditions of the Employment Agreement:</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Stastney will serve as Chairman and Chief Executive Officer of our company for a period of twelve (12)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Stastney will earn a base salary of $175,000;</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issue to Mr. Stastney an option to acquire two million (2,000,000) shares of our common stock at an exercise price per share of $1.00 with a term of 5 years;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Stastney will be entitled to participate in any employee benefit plans, as established by our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Stastney also agreed to keep certain information confidential and not compete with or solicit from our company for a period of time.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August 14, 2013, we amended the employment agreement with Mr. Stastney. Pursuant to the terms and conditions of the Amendment to Employment Agreement with Shad Stastney:</w:t>
      </w:r>
    </w:p>
    <w:p>
      <w:pPr>
        <w:spacing w:after="0" w:line="170"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Stastney agreed to non-competition and non-solicitation restrictions with our company during the term of his employment and two years thereafter;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 of Mr. Stastney’s employment shall be for one year, and shall automatically renew for each year thereafter unless terminated on thirty day’s notice before the end of the term;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Stastney shall be entitled to two years of severance pay if he is terminated with or without cause.</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20, 2013, we entered into a Separation Agreement with Mr. Stastney regarding the terms and conditions of his departure from the Company (the “Agreement”). Pursuant to the provisions of the Agreement, we agreed with Mr. Stastney as follows:</w:t>
      </w:r>
    </w:p>
    <w:p>
      <w:pPr>
        <w:spacing w:after="0" w:line="170"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the date of the Agreement, Mr. Stastney is no longer an officer or director of our company and all prior agreements with Mr. Stastney are terminated in their entirety;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Stastney shall receive 500,000 shares of our common stock, half now and the rest by January 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agreed to use our best efforts to register Mr. Stastney’s shares on Form S-8 by March 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agreed to pay Mr. Stastney $126,762 and his reasonable out of pocket expenses incurred on our behalf;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parties agreed to a mutual release of all claims and Mr. Stastney further agreed to certain covenants as provided for in the Agreement; and</w:t>
      </w:r>
    </w:p>
    <w:p>
      <w:pPr>
        <w:spacing w:after="0" w:line="32" w:lineRule="exact"/>
        <w:rPr>
          <w:rFonts w:ascii="Arial" w:cs="Arial" w:eastAsia="Arial" w:hAnsi="Arial"/>
          <w:sz w:val="16"/>
          <w:szCs w:val="16"/>
          <w:color w:val="auto"/>
        </w:rPr>
      </w:pPr>
    </w:p>
    <w:p>
      <w:pPr>
        <w:ind w:left="660" w:right="2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Stastney will be involved with our company in a limited role as a consultant for one year to assist us on financing, strategic and legal initiatives and to help the transition with several ongoing projects.</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6, 2009, we entered into an employment agreement with Mr. Lester to serve as our Chief Executive Officer. The agreement was amended on January 14, 2013 to account for his new positions as COO, Secretary and Treasurer.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Lester. Pursuant to the terms and conditions of the Amendment to Employment Agreement with David Lester:</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Lester will serve as Chief Operating Officer of our company;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Lester will earn a base salary of $157,500 per year.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14, 2013, we amended the employment agreement with Mr. Hamilton. Pursuant to the terms and conditions of the Amendment to Employment Agreement with Terry Hamilton:</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Hamilton will earn a base salary of $157,500 per year.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14, 2013 we granted restricted stock awards under our 2013 Incentive Plan. Mr. Hamilton was awarded 215,625 shares of our common stock. The restricted stock awards will vest 50% on the date six months and one day after the date of grant, and the remaining 50% one year after the first vesting date.</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1, 2008, we entered into an employment agreement with Mr. Harrell to serve as our CEO. The agreement was amended on January 14, 2013 to account for his new positions as CSO and Vice Chairman. The terms of his compensation, which is still in effect, are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Harrell Pursuant to the terms and conditions of the Amendment to Employment Agreement with David Harrell:</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The restricted stock awards will vest 50% on the date six months and one day after the date of grant, and the remaining 50% one year after the first vesting date.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2013.</w:t>
      </w:r>
    </w:p>
    <w:p>
      <w:pPr>
        <w:spacing w:after="0" w:line="166"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0" w:type="dxa"/>
            <w:vAlign w:val="bottom"/>
            <w:gridSpan w:val="11"/>
          </w:tcPr>
          <w:p>
            <w:pPr>
              <w:jc w:val="center"/>
              <w:ind w:right="50"/>
              <w:spacing w:after="0"/>
              <w:rPr>
                <w:sz w:val="20"/>
                <w:szCs w:val="20"/>
                <w:color w:val="auto"/>
              </w:rPr>
            </w:pPr>
            <w:r>
              <w:rPr>
                <w:rFonts w:ascii="Arial" w:cs="Arial" w:eastAsia="Arial" w:hAnsi="Arial"/>
                <w:sz w:val="18"/>
                <w:szCs w:val="18"/>
                <w:b w:val="1"/>
                <w:bCs w:val="1"/>
                <w:color w:val="auto"/>
                <w:w w:val="99"/>
              </w:rPr>
              <w:t>OUTSTANDING EQUITY AWARDS AT FISCAL YEAR-END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gridSpan w:val="4"/>
          </w:tcPr>
          <w:p>
            <w:pPr>
              <w:ind w:left="340"/>
              <w:spacing w:after="0"/>
              <w:rPr>
                <w:sz w:val="20"/>
                <w:szCs w:val="20"/>
                <w:color w:val="auto"/>
              </w:rPr>
            </w:pPr>
            <w:r>
              <w:rPr>
                <w:rFonts w:ascii="Arial" w:cs="Arial" w:eastAsia="Arial" w:hAnsi="Arial"/>
                <w:sz w:val="18"/>
                <w:szCs w:val="18"/>
                <w:b w:val="1"/>
                <w:bCs w:val="1"/>
                <w:color w:val="auto"/>
              </w:rPr>
              <w:t>OPTION AWARDS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gridSpan w:val="4"/>
          </w:tcPr>
          <w:p>
            <w:pPr>
              <w:ind w:left="40"/>
              <w:spacing w:after="0"/>
              <w:rPr>
                <w:sz w:val="20"/>
                <w:szCs w:val="20"/>
                <w:color w:val="auto"/>
              </w:rPr>
            </w:pPr>
            <w:r>
              <w:rPr>
                <w:rFonts w:ascii="Arial" w:cs="Arial" w:eastAsia="Arial" w:hAnsi="Arial"/>
                <w:sz w:val="18"/>
                <w:szCs w:val="18"/>
                <w:b w:val="1"/>
                <w:bCs w:val="1"/>
                <w:color w:val="auto"/>
              </w:rPr>
              <w:t>STOCK AWARDS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Equity</w:t>
            </w:r>
          </w:p>
        </w:tc>
        <w:tc>
          <w:tcPr>
            <w:tcW w:w="800" w:type="dxa"/>
            <w:vAlign w:val="bottom"/>
            <w:gridSpan w:val="2"/>
          </w:tcPr>
          <w:p>
            <w:pPr>
              <w:spacing w:after="0"/>
              <w:rPr>
                <w:sz w:val="20"/>
                <w:szCs w:val="20"/>
                <w:color w:val="auto"/>
              </w:rPr>
            </w:pPr>
            <w:r>
              <w:rPr>
                <w:rFonts w:ascii="Arial" w:cs="Arial" w:eastAsia="Arial" w:hAnsi="Arial"/>
                <w:sz w:val="18"/>
                <w:szCs w:val="18"/>
                <w:color w:val="auto"/>
              </w:rPr>
              <w:t>Equity</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Incentive</w:t>
            </w:r>
          </w:p>
        </w:tc>
        <w:tc>
          <w:tcPr>
            <w:tcW w:w="800" w:type="dxa"/>
            <w:vAlign w:val="bottom"/>
            <w:gridSpan w:val="2"/>
          </w:tcPr>
          <w:p>
            <w:pPr>
              <w:spacing w:after="0"/>
              <w:rPr>
                <w:sz w:val="20"/>
                <w:szCs w:val="20"/>
                <w:color w:val="auto"/>
              </w:rPr>
            </w:pPr>
            <w:r>
              <w:rPr>
                <w:rFonts w:ascii="Arial" w:cs="Arial" w:eastAsia="Arial" w:hAnsi="Arial"/>
                <w:sz w:val="18"/>
                <w:szCs w:val="18"/>
                <w:color w:val="auto"/>
              </w:rPr>
              <w:t>Incentive</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Plan</w:t>
            </w:r>
          </w:p>
        </w:tc>
        <w:tc>
          <w:tcPr>
            <w:tcW w:w="800" w:type="dxa"/>
            <w:vAlign w:val="bottom"/>
            <w:gridSpan w:val="2"/>
          </w:tcPr>
          <w:p>
            <w:pPr>
              <w:spacing w:after="0"/>
              <w:rPr>
                <w:sz w:val="20"/>
                <w:szCs w:val="20"/>
                <w:color w:val="auto"/>
              </w:rPr>
            </w:pPr>
            <w:r>
              <w:rPr>
                <w:rFonts w:ascii="Arial" w:cs="Arial" w:eastAsia="Arial" w:hAnsi="Arial"/>
                <w:sz w:val="18"/>
                <w:szCs w:val="18"/>
                <w:color w:val="auto"/>
              </w:rPr>
              <w:t>Plan</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90"/>
              </w:rPr>
              <w:t>Market</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Awards:</w:t>
            </w:r>
          </w:p>
        </w:tc>
        <w:tc>
          <w:tcPr>
            <w:tcW w:w="800" w:type="dxa"/>
            <w:vAlign w:val="bottom"/>
            <w:gridSpan w:val="2"/>
          </w:tcPr>
          <w:p>
            <w:pPr>
              <w:spacing w:after="0"/>
              <w:rPr>
                <w:sz w:val="20"/>
                <w:szCs w:val="20"/>
                <w:color w:val="auto"/>
              </w:rPr>
            </w:pPr>
            <w:r>
              <w:rPr>
                <w:rFonts w:ascii="Arial" w:cs="Arial" w:eastAsia="Arial" w:hAnsi="Arial"/>
                <w:sz w:val="18"/>
                <w:szCs w:val="18"/>
                <w:color w:val="auto"/>
              </w:rPr>
              <w:t>Awards: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Value</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Number</w:t>
            </w:r>
          </w:p>
        </w:tc>
        <w:tc>
          <w:tcPr>
            <w:tcW w:w="800" w:type="dxa"/>
            <w:vAlign w:val="bottom"/>
            <w:gridSpan w:val="2"/>
          </w:tcPr>
          <w:p>
            <w:pPr>
              <w:spacing w:after="0"/>
              <w:rPr>
                <w:sz w:val="20"/>
                <w:szCs w:val="20"/>
                <w:color w:val="auto"/>
              </w:rPr>
            </w:pPr>
            <w:r>
              <w:rPr>
                <w:rFonts w:ascii="Arial" w:cs="Arial" w:eastAsia="Arial" w:hAnsi="Arial"/>
                <w:sz w:val="18"/>
                <w:szCs w:val="18"/>
                <w:color w:val="auto"/>
              </w:rPr>
              <w:t>Market or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9"/>
              </w:rPr>
              <w:t>Number</w:t>
            </w:r>
          </w:p>
        </w:tc>
        <w:tc>
          <w:tcPr>
            <w:tcW w:w="620" w:type="dxa"/>
            <w:vAlign w:val="bottom"/>
          </w:tcPr>
          <w:p>
            <w:pPr>
              <w:ind w:left="100"/>
              <w:spacing w:after="0"/>
              <w:rPr>
                <w:sz w:val="20"/>
                <w:szCs w:val="20"/>
                <w:color w:val="auto"/>
              </w:rPr>
            </w:pPr>
            <w:r>
              <w:rPr>
                <w:rFonts w:ascii="Arial" w:cs="Arial" w:eastAsia="Arial" w:hAnsi="Arial"/>
                <w:sz w:val="18"/>
                <w:szCs w:val="18"/>
                <w:color w:val="auto"/>
              </w:rPr>
              <w:t>of</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of</w:t>
            </w:r>
          </w:p>
        </w:tc>
        <w:tc>
          <w:tcPr>
            <w:tcW w:w="800" w:type="dxa"/>
            <w:vAlign w:val="bottom"/>
            <w:gridSpan w:val="2"/>
          </w:tcPr>
          <w:p>
            <w:pPr>
              <w:spacing w:after="0"/>
              <w:rPr>
                <w:sz w:val="20"/>
                <w:szCs w:val="20"/>
                <w:color w:val="auto"/>
              </w:rPr>
            </w:pPr>
            <w:r>
              <w:rPr>
                <w:rFonts w:ascii="Arial" w:cs="Arial" w:eastAsia="Arial" w:hAnsi="Arial"/>
                <w:sz w:val="18"/>
                <w:szCs w:val="18"/>
                <w:color w:val="auto"/>
              </w:rPr>
              <w:t>Payout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Incentive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of</w:t>
            </w:r>
          </w:p>
        </w:tc>
        <w:tc>
          <w:tcPr>
            <w:tcW w:w="620" w:type="dxa"/>
            <w:vAlign w:val="bottom"/>
          </w:tcPr>
          <w:p>
            <w:pPr>
              <w:ind w:left="100"/>
              <w:spacing w:after="0"/>
              <w:rPr>
                <w:sz w:val="20"/>
                <w:szCs w:val="20"/>
                <w:color w:val="auto"/>
              </w:rPr>
            </w:pPr>
            <w:r>
              <w:rPr>
                <w:rFonts w:ascii="Arial" w:cs="Arial" w:eastAsia="Arial" w:hAnsi="Arial"/>
                <w:sz w:val="18"/>
                <w:szCs w:val="18"/>
                <w:color w:val="auto"/>
                <w:w w:val="87"/>
              </w:rPr>
              <w:t>Shares</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Unearned</w:t>
            </w:r>
          </w:p>
        </w:tc>
        <w:tc>
          <w:tcPr>
            <w:tcW w:w="800" w:type="dxa"/>
            <w:vAlign w:val="bottom"/>
            <w:gridSpan w:val="2"/>
          </w:tcPr>
          <w:p>
            <w:pPr>
              <w:spacing w:after="0"/>
              <w:rPr>
                <w:sz w:val="20"/>
                <w:szCs w:val="20"/>
                <w:color w:val="auto"/>
              </w:rPr>
            </w:pPr>
            <w:r>
              <w:rPr>
                <w:rFonts w:ascii="Arial" w:cs="Arial" w:eastAsia="Arial" w:hAnsi="Arial"/>
                <w:sz w:val="18"/>
                <w:szCs w:val="18"/>
                <w:color w:val="auto"/>
              </w:rPr>
              <w:t>Value of</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Plan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Shares</w:t>
            </w:r>
          </w:p>
        </w:tc>
        <w:tc>
          <w:tcPr>
            <w:tcW w:w="620" w:type="dxa"/>
            <w:vAlign w:val="bottom"/>
          </w:tcPr>
          <w:p>
            <w:pPr>
              <w:ind w:left="100"/>
              <w:spacing w:after="0"/>
              <w:rPr>
                <w:sz w:val="20"/>
                <w:szCs w:val="20"/>
                <w:color w:val="auto"/>
              </w:rPr>
            </w:pPr>
            <w:r>
              <w:rPr>
                <w:rFonts w:ascii="Arial" w:cs="Arial" w:eastAsia="Arial" w:hAnsi="Arial"/>
                <w:sz w:val="18"/>
                <w:szCs w:val="18"/>
                <w:color w:val="auto"/>
              </w:rPr>
              <w:t>or</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Shares,</w:t>
            </w:r>
          </w:p>
        </w:tc>
        <w:tc>
          <w:tcPr>
            <w:tcW w:w="800" w:type="dxa"/>
            <w:vAlign w:val="bottom"/>
            <w:gridSpan w:val="2"/>
          </w:tcPr>
          <w:p>
            <w:pPr>
              <w:spacing w:after="0"/>
              <w:rPr>
                <w:sz w:val="20"/>
                <w:szCs w:val="20"/>
                <w:color w:val="auto"/>
              </w:rPr>
            </w:pPr>
            <w:r>
              <w:rPr>
                <w:rFonts w:ascii="Arial" w:cs="Arial" w:eastAsia="Arial" w:hAnsi="Arial"/>
                <w:sz w:val="18"/>
                <w:szCs w:val="18"/>
                <w:color w:val="auto"/>
                <w:w w:val="98"/>
              </w:rPr>
              <w:t>Unearned</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Awards: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or Units</w:t>
            </w:r>
          </w:p>
        </w:tc>
        <w:tc>
          <w:tcPr>
            <w:tcW w:w="620" w:type="dxa"/>
            <w:vAlign w:val="bottom"/>
          </w:tcPr>
          <w:p>
            <w:pPr>
              <w:ind w:left="100"/>
              <w:spacing w:after="0"/>
              <w:rPr>
                <w:sz w:val="20"/>
                <w:szCs w:val="20"/>
                <w:color w:val="auto"/>
              </w:rPr>
            </w:pPr>
            <w:r>
              <w:rPr>
                <w:rFonts w:ascii="Arial" w:cs="Arial" w:eastAsia="Arial" w:hAnsi="Arial"/>
                <w:sz w:val="18"/>
                <w:szCs w:val="18"/>
                <w:color w:val="auto"/>
              </w:rPr>
              <w:t>Units</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Units or</w:t>
            </w:r>
          </w:p>
        </w:tc>
        <w:tc>
          <w:tcPr>
            <w:tcW w:w="800" w:type="dxa"/>
            <w:vAlign w:val="bottom"/>
            <w:gridSpan w:val="2"/>
          </w:tcPr>
          <w:p>
            <w:pPr>
              <w:spacing w:after="0"/>
              <w:rPr>
                <w:sz w:val="20"/>
                <w:szCs w:val="20"/>
                <w:color w:val="auto"/>
              </w:rPr>
            </w:pPr>
            <w:r>
              <w:rPr>
                <w:rFonts w:ascii="Arial" w:cs="Arial" w:eastAsia="Arial" w:hAnsi="Arial"/>
                <w:sz w:val="18"/>
                <w:szCs w:val="18"/>
                <w:color w:val="auto"/>
              </w:rPr>
              <w:t>Shares,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of</w:t>
            </w:r>
          </w:p>
        </w:tc>
        <w:tc>
          <w:tcPr>
            <w:tcW w:w="620" w:type="dxa"/>
            <w:vAlign w:val="bottom"/>
          </w:tcPr>
          <w:p>
            <w:pPr>
              <w:ind w:left="100"/>
              <w:spacing w:after="0"/>
              <w:rPr>
                <w:sz w:val="20"/>
                <w:szCs w:val="20"/>
                <w:color w:val="auto"/>
              </w:rPr>
            </w:pPr>
            <w:r>
              <w:rPr>
                <w:rFonts w:ascii="Arial" w:cs="Arial" w:eastAsia="Arial" w:hAnsi="Arial"/>
                <w:sz w:val="18"/>
                <w:szCs w:val="18"/>
                <w:color w:val="auto"/>
              </w:rPr>
              <w:t>of</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spacing w:after="0"/>
              <w:rPr>
                <w:sz w:val="20"/>
                <w:szCs w:val="20"/>
                <w:color w:val="auto"/>
              </w:rPr>
            </w:pPr>
            <w:r>
              <w:rPr>
                <w:rFonts w:ascii="Arial" w:cs="Arial" w:eastAsia="Arial" w:hAnsi="Arial"/>
                <w:sz w:val="18"/>
                <w:szCs w:val="18"/>
                <w:color w:val="auto"/>
              </w:rPr>
              <w:t>Units or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Stock</w:t>
            </w:r>
          </w:p>
        </w:tc>
        <w:tc>
          <w:tcPr>
            <w:tcW w:w="620" w:type="dxa"/>
            <w:vAlign w:val="bottom"/>
          </w:tcPr>
          <w:p>
            <w:pPr>
              <w:ind w:left="100"/>
              <w:spacing w:after="0"/>
              <w:rPr>
                <w:sz w:val="20"/>
                <w:szCs w:val="20"/>
                <w:color w:val="auto"/>
              </w:rPr>
            </w:pPr>
            <w:r>
              <w:rPr>
                <w:rFonts w:ascii="Arial" w:cs="Arial" w:eastAsia="Arial" w:hAnsi="Arial"/>
                <w:sz w:val="18"/>
                <w:szCs w:val="18"/>
                <w:color w:val="auto"/>
              </w:rPr>
              <w:t>Stock</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Rights</w:t>
            </w:r>
          </w:p>
        </w:tc>
        <w:tc>
          <w:tcPr>
            <w:tcW w:w="800" w:type="dxa"/>
            <w:vAlign w:val="bottom"/>
            <w:gridSpan w:val="2"/>
          </w:tcPr>
          <w:p>
            <w:pPr>
              <w:spacing w:after="0"/>
              <w:rPr>
                <w:sz w:val="20"/>
                <w:szCs w:val="20"/>
                <w:color w:val="auto"/>
              </w:rPr>
            </w:pPr>
            <w:r>
              <w:rPr>
                <w:rFonts w:ascii="Arial" w:cs="Arial" w:eastAsia="Arial" w:hAnsi="Arial"/>
                <w:sz w:val="18"/>
                <w:szCs w:val="18"/>
                <w:color w:val="auto"/>
              </w:rPr>
              <w:t>Other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That</w:t>
            </w:r>
          </w:p>
        </w:tc>
        <w:tc>
          <w:tcPr>
            <w:tcW w:w="620" w:type="dxa"/>
            <w:vAlign w:val="bottom"/>
          </w:tcPr>
          <w:p>
            <w:pPr>
              <w:ind w:left="100"/>
              <w:spacing w:after="0"/>
              <w:rPr>
                <w:sz w:val="20"/>
                <w:szCs w:val="20"/>
                <w:color w:val="auto"/>
              </w:rPr>
            </w:pPr>
            <w:r>
              <w:rPr>
                <w:rFonts w:ascii="Arial" w:cs="Arial" w:eastAsia="Arial" w:hAnsi="Arial"/>
                <w:sz w:val="18"/>
                <w:szCs w:val="18"/>
                <w:color w:val="auto"/>
              </w:rPr>
              <w:t>That</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That</w:t>
            </w:r>
          </w:p>
        </w:tc>
        <w:tc>
          <w:tcPr>
            <w:tcW w:w="800" w:type="dxa"/>
            <w:vAlign w:val="bottom"/>
            <w:gridSpan w:val="2"/>
          </w:tcPr>
          <w:p>
            <w:pPr>
              <w:spacing w:after="0"/>
              <w:rPr>
                <w:sz w:val="20"/>
                <w:szCs w:val="20"/>
                <w:color w:val="auto"/>
              </w:rPr>
            </w:pPr>
            <w:r>
              <w:rPr>
                <w:rFonts w:ascii="Arial" w:cs="Arial" w:eastAsia="Arial" w:hAnsi="Arial"/>
                <w:sz w:val="18"/>
                <w:szCs w:val="18"/>
                <w:color w:val="auto"/>
              </w:rPr>
              <w:t>Rights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w w:val="91"/>
              </w:rPr>
              <w:t>Unexercised</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Unexercised</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7"/>
              </w:rPr>
              <w:t>Unexercised</w:t>
            </w:r>
          </w:p>
        </w:tc>
        <w:tc>
          <w:tcPr>
            <w:tcW w:w="820" w:type="dxa"/>
            <w:vAlign w:val="bottom"/>
            <w:gridSpan w:val="2"/>
          </w:tcPr>
          <w:p>
            <w:pPr>
              <w:spacing w:after="0"/>
              <w:rPr>
                <w:sz w:val="20"/>
                <w:szCs w:val="20"/>
                <w:color w:val="auto"/>
              </w:rPr>
            </w:pPr>
            <w:r>
              <w:rPr>
                <w:rFonts w:ascii="Arial" w:cs="Arial" w:eastAsia="Arial" w:hAnsi="Arial"/>
                <w:sz w:val="18"/>
                <w:szCs w:val="18"/>
                <w:color w:val="auto"/>
              </w:rPr>
              <w:t>Option</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Have</w:t>
            </w:r>
          </w:p>
        </w:tc>
        <w:tc>
          <w:tcPr>
            <w:tcW w:w="620" w:type="dxa"/>
            <w:vAlign w:val="bottom"/>
          </w:tcPr>
          <w:p>
            <w:pPr>
              <w:ind w:left="100"/>
              <w:spacing w:after="0"/>
              <w:rPr>
                <w:sz w:val="20"/>
                <w:szCs w:val="20"/>
                <w:color w:val="auto"/>
              </w:rPr>
            </w:pPr>
            <w:r>
              <w:rPr>
                <w:rFonts w:ascii="Arial" w:cs="Arial" w:eastAsia="Arial" w:hAnsi="Arial"/>
                <w:sz w:val="18"/>
                <w:szCs w:val="18"/>
                <w:color w:val="auto"/>
              </w:rPr>
              <w:t>Have</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Have</w:t>
            </w:r>
          </w:p>
        </w:tc>
        <w:tc>
          <w:tcPr>
            <w:tcW w:w="800" w:type="dxa"/>
            <w:vAlign w:val="bottom"/>
            <w:gridSpan w:val="2"/>
          </w:tcPr>
          <w:p>
            <w:pPr>
              <w:spacing w:after="0"/>
              <w:rPr>
                <w:sz w:val="20"/>
                <w:szCs w:val="20"/>
                <w:color w:val="auto"/>
              </w:rPr>
            </w:pPr>
            <w:r>
              <w:rPr>
                <w:rFonts w:ascii="Arial" w:cs="Arial" w:eastAsia="Arial" w:hAnsi="Arial"/>
                <w:sz w:val="18"/>
                <w:szCs w:val="18"/>
                <w:color w:val="auto"/>
              </w:rPr>
              <w:t>That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Unearned</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Exercise</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Option</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Not</w:t>
            </w:r>
          </w:p>
        </w:tc>
        <w:tc>
          <w:tcPr>
            <w:tcW w:w="620" w:type="dxa"/>
            <w:vAlign w:val="bottom"/>
          </w:tcPr>
          <w:p>
            <w:pPr>
              <w:ind w:left="100"/>
              <w:spacing w:after="0"/>
              <w:rPr>
                <w:sz w:val="20"/>
                <w:szCs w:val="20"/>
                <w:color w:val="auto"/>
              </w:rPr>
            </w:pPr>
            <w:r>
              <w:rPr>
                <w:rFonts w:ascii="Arial" w:cs="Arial" w:eastAsia="Arial" w:hAnsi="Arial"/>
                <w:sz w:val="18"/>
                <w:szCs w:val="18"/>
                <w:color w:val="auto"/>
              </w:rPr>
              <w:t>Not</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Not</w:t>
            </w:r>
          </w:p>
        </w:tc>
        <w:tc>
          <w:tcPr>
            <w:tcW w:w="800" w:type="dxa"/>
            <w:vAlign w:val="bottom"/>
            <w:gridSpan w:val="2"/>
          </w:tcPr>
          <w:p>
            <w:pPr>
              <w:spacing w:after="0"/>
              <w:rPr>
                <w:sz w:val="20"/>
                <w:szCs w:val="20"/>
                <w:color w:val="auto"/>
              </w:rPr>
            </w:pPr>
            <w:r>
              <w:rPr>
                <w:rFonts w:ascii="Arial" w:cs="Arial" w:eastAsia="Arial" w:hAnsi="Arial"/>
                <w:sz w:val="18"/>
                <w:szCs w:val="18"/>
                <w:color w:val="auto"/>
              </w:rPr>
              <w:t>Have Not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820" w:type="dxa"/>
            <w:vAlign w:val="bottom"/>
            <w:gridSpan w:val="2"/>
          </w:tcPr>
          <w:p>
            <w:pPr>
              <w:spacing w:after="0"/>
              <w:rPr>
                <w:sz w:val="20"/>
                <w:szCs w:val="20"/>
                <w:color w:val="auto"/>
              </w:rPr>
            </w:pPr>
            <w:r>
              <w:rPr>
                <w:rFonts w:ascii="Arial" w:cs="Arial" w:eastAsia="Arial" w:hAnsi="Arial"/>
                <w:sz w:val="18"/>
                <w:szCs w:val="18"/>
                <w:color w:val="auto"/>
              </w:rPr>
              <w:t>Price</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Expiration</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Vested</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Vested</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Vested</w:t>
            </w:r>
          </w:p>
        </w:tc>
        <w:tc>
          <w:tcPr>
            <w:tcW w:w="800" w:type="dxa"/>
            <w:vAlign w:val="bottom"/>
            <w:gridSpan w:val="2"/>
          </w:tcPr>
          <w:p>
            <w:pPr>
              <w:spacing w:after="0"/>
              <w:rPr>
                <w:sz w:val="20"/>
                <w:szCs w:val="20"/>
                <w:color w:val="auto"/>
              </w:rPr>
            </w:pPr>
            <w:r>
              <w:rPr>
                <w:rFonts w:ascii="Arial" w:cs="Arial" w:eastAsia="Arial" w:hAnsi="Arial"/>
                <w:sz w:val="18"/>
                <w:szCs w:val="18"/>
                <w:color w:val="auto"/>
              </w:rPr>
              <w:t>Vested</w:t>
            </w:r>
          </w:p>
        </w:tc>
      </w:tr>
      <w:tr>
        <w:trPr>
          <w:trHeight w:val="230"/>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Name</w:t>
            </w: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w w:val="98"/>
              </w:rPr>
              <w:t>Exercisable</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w w:val="94"/>
              </w:rPr>
              <w:t>Unexercisable</w:t>
            </w:r>
          </w:p>
        </w:tc>
        <w:tc>
          <w:tcPr>
            <w:tcW w:w="100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Date</w:t>
            </w: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39"/>
        </w:trPr>
        <w:tc>
          <w:tcPr>
            <w:tcW w:w="78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1000" w:type="dxa"/>
            <w:vAlign w:val="bottom"/>
            <w:tcBorders>
              <w:top w:val="single" w:sz="8" w:color="auto"/>
            </w:tcBorders>
            <w:shd w:val="clear" w:color="auto" w:fill="CCEECC"/>
          </w:tcPr>
          <w:p>
            <w:pPr>
              <w:ind w:left="220"/>
              <w:spacing w:after="0"/>
              <w:rPr>
                <w:sz w:val="20"/>
                <w:szCs w:val="20"/>
                <w:color w:val="auto"/>
              </w:rPr>
            </w:pPr>
            <w:r>
              <w:rPr>
                <w:rFonts w:ascii="Arial" w:cs="Arial" w:eastAsia="Arial" w:hAnsi="Arial"/>
                <w:sz w:val="18"/>
                <w:szCs w:val="18"/>
                <w:color w:val="auto"/>
              </w:rPr>
              <w:t>375,000</w:t>
            </w:r>
          </w:p>
        </w:tc>
        <w:tc>
          <w:tcPr>
            <w:tcW w:w="40" w:type="dxa"/>
            <w:vAlign w:val="bottom"/>
            <w:tcBorders>
              <w:top w:val="single" w:sz="8" w:color="CCEECC"/>
            </w:tcBorders>
            <w:shd w:val="clear" w:color="auto" w:fill="CCEECC"/>
          </w:tcPr>
          <w:p>
            <w:pPr>
              <w:spacing w:after="0"/>
              <w:rPr>
                <w:sz w:val="20"/>
                <w:szCs w:val="20"/>
                <w:color w:val="auto"/>
              </w:rPr>
            </w:pPr>
          </w:p>
        </w:tc>
        <w:tc>
          <w:tcPr>
            <w:tcW w:w="114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1000" w:type="dxa"/>
            <w:vAlign w:val="bottom"/>
            <w:tcBorders>
              <w:top w:val="single" w:sz="8" w:color="auto"/>
            </w:tcBorders>
            <w:shd w:val="clear" w:color="auto" w:fill="CCEECC"/>
          </w:tcPr>
          <w:p>
            <w:pPr>
              <w:spacing w:after="0"/>
              <w:rPr>
                <w:sz w:val="20"/>
                <w:szCs w:val="20"/>
                <w:color w:val="auto"/>
              </w:rPr>
            </w:pPr>
          </w:p>
        </w:tc>
        <w:tc>
          <w:tcPr>
            <w:tcW w:w="100" w:type="dxa"/>
            <w:vAlign w:val="bottom"/>
            <w:tcBorders>
              <w:top w:val="single" w:sz="8" w:color="CCEECC"/>
            </w:tcBorders>
            <w:shd w:val="clear" w:color="auto" w:fill="CCEECC"/>
          </w:tcPr>
          <w:p>
            <w:pPr>
              <w:spacing w:after="0"/>
              <w:rPr>
                <w:sz w:val="20"/>
                <w:szCs w:val="20"/>
                <w:color w:val="auto"/>
              </w:rPr>
            </w:pPr>
          </w:p>
        </w:tc>
        <w:tc>
          <w:tcPr>
            <w:tcW w:w="700" w:type="dxa"/>
            <w:vAlign w:val="bottom"/>
            <w:tcBorders>
              <w:top w:val="single" w:sz="8" w:color="auto"/>
            </w:tcBorders>
            <w:shd w:val="clear" w:color="auto" w:fill="CCEECC"/>
          </w:tcPr>
          <w:p>
            <w:pPr>
              <w:jc w:val="center"/>
              <w:spacing w:after="0" w:line="240" w:lineRule="exact"/>
              <w:rPr>
                <w:sz w:val="20"/>
                <w:szCs w:val="20"/>
                <w:color w:val="auto"/>
              </w:rPr>
            </w:pPr>
            <w:r>
              <w:rPr>
                <w:rFonts w:ascii="Arial" w:cs="Arial" w:eastAsia="Arial" w:hAnsi="Arial"/>
                <w:sz w:val="17"/>
                <w:szCs w:val="17"/>
                <w:color w:val="auto"/>
                <w:w w:val="89"/>
              </w:rPr>
              <w:t>$0.35</w:t>
            </w:r>
            <w:r>
              <w:rPr>
                <w:rFonts w:ascii="Arial" w:cs="Arial" w:eastAsia="Arial" w:hAnsi="Arial"/>
                <w:sz w:val="27"/>
                <w:szCs w:val="27"/>
                <w:color w:val="auto"/>
                <w:w w:val="89"/>
                <w:vertAlign w:val="superscript"/>
              </w:rPr>
              <w:t>(1)</w:t>
            </w:r>
          </w:p>
        </w:tc>
        <w:tc>
          <w:tcPr>
            <w:tcW w:w="120" w:type="dxa"/>
            <w:vAlign w:val="bottom"/>
            <w:tcBorders>
              <w:top w:val="single" w:sz="8" w:color="CCEECC"/>
            </w:tcBorders>
            <w:shd w:val="clear" w:color="auto" w:fill="CCEECC"/>
          </w:tcPr>
          <w:p>
            <w:pPr>
              <w:spacing w:after="0"/>
              <w:rPr>
                <w:sz w:val="20"/>
                <w:szCs w:val="20"/>
                <w:color w:val="auto"/>
              </w:rPr>
            </w:pPr>
          </w:p>
        </w:tc>
        <w:tc>
          <w:tcPr>
            <w:tcW w:w="860" w:type="dxa"/>
            <w:vAlign w:val="bottom"/>
            <w:tcBorders>
              <w:top w:val="single" w:sz="8" w:color="auto"/>
            </w:tcBorders>
            <w:shd w:val="clear" w:color="auto" w:fill="CCEECC"/>
          </w:tcPr>
          <w:p>
            <w:pPr>
              <w:jc w:val="right"/>
              <w:ind w:right="90"/>
              <w:spacing w:after="0"/>
              <w:rPr>
                <w:sz w:val="20"/>
                <w:szCs w:val="20"/>
                <w:color w:val="auto"/>
              </w:rPr>
            </w:pPr>
            <w:r>
              <w:rPr>
                <w:rFonts w:ascii="Arial" w:cs="Arial" w:eastAsia="Arial" w:hAnsi="Arial"/>
                <w:sz w:val="18"/>
                <w:szCs w:val="18"/>
                <w:color w:val="auto"/>
              </w:rPr>
              <w:t>10/1/14</w:t>
            </w:r>
          </w:p>
        </w:tc>
        <w:tc>
          <w:tcPr>
            <w:tcW w:w="60" w:type="dxa"/>
            <w:vAlign w:val="bottom"/>
            <w:tcBorders>
              <w:top w:val="single" w:sz="8" w:color="CCEECC"/>
            </w:tcBorders>
            <w:shd w:val="clear" w:color="auto" w:fill="CCEECC"/>
          </w:tcPr>
          <w:p>
            <w:pPr>
              <w:spacing w:after="0"/>
              <w:rPr>
                <w:sz w:val="20"/>
                <w:szCs w:val="20"/>
                <w:color w:val="auto"/>
              </w:rPr>
            </w:pPr>
          </w:p>
        </w:tc>
        <w:tc>
          <w:tcPr>
            <w:tcW w:w="68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620" w:type="dxa"/>
            <w:vAlign w:val="bottom"/>
            <w:tcBorders>
              <w:top w:val="single" w:sz="8" w:color="auto"/>
            </w:tcBorders>
            <w:shd w:val="clear" w:color="auto" w:fill="CCEECC"/>
          </w:tcPr>
          <w:p>
            <w:pPr>
              <w:spacing w:after="0"/>
              <w:rPr>
                <w:sz w:val="20"/>
                <w:szCs w:val="20"/>
                <w:color w:val="auto"/>
              </w:rPr>
            </w:pPr>
          </w:p>
        </w:tc>
        <w:tc>
          <w:tcPr>
            <w:tcW w:w="100" w:type="dxa"/>
            <w:vAlign w:val="bottom"/>
            <w:tcBorders>
              <w:top w:val="single" w:sz="8" w:color="CCEECC"/>
            </w:tcBorders>
            <w:shd w:val="clear" w:color="auto" w:fill="CCEECC"/>
          </w:tcPr>
          <w:p>
            <w:pPr>
              <w:spacing w:after="0"/>
              <w:rPr>
                <w:sz w:val="20"/>
                <w:szCs w:val="20"/>
                <w:color w:val="auto"/>
              </w:rPr>
            </w:pPr>
          </w:p>
        </w:tc>
        <w:tc>
          <w:tcPr>
            <w:tcW w:w="700" w:type="dxa"/>
            <w:vAlign w:val="bottom"/>
            <w:tcBorders>
              <w:top w:val="single" w:sz="8" w:color="auto"/>
            </w:tcBorders>
            <w:shd w:val="clear" w:color="auto" w:fill="CCEECC"/>
          </w:tcPr>
          <w:p>
            <w:pPr>
              <w:spacing w:after="0"/>
              <w:rPr>
                <w:sz w:val="20"/>
                <w:szCs w:val="20"/>
                <w:color w:val="auto"/>
              </w:rPr>
            </w:pPr>
          </w:p>
        </w:tc>
        <w:tc>
          <w:tcPr>
            <w:tcW w:w="160" w:type="dxa"/>
            <w:vAlign w:val="bottom"/>
            <w:tcBorders>
              <w:top w:val="single" w:sz="8" w:color="CCEECC"/>
            </w:tcBorders>
            <w:shd w:val="clear" w:color="auto" w:fill="CCEECC"/>
          </w:tcPr>
          <w:p>
            <w:pPr>
              <w:spacing w:after="0"/>
              <w:rPr>
                <w:sz w:val="20"/>
                <w:szCs w:val="20"/>
                <w:color w:val="auto"/>
              </w:rPr>
            </w:pPr>
          </w:p>
        </w:tc>
        <w:tc>
          <w:tcPr>
            <w:tcW w:w="74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r>
      <w:tr>
        <w:trPr>
          <w:trHeight w:val="239"/>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David</w:t>
            </w:r>
          </w:p>
        </w:tc>
        <w:tc>
          <w:tcPr>
            <w:tcW w:w="1000" w:type="dxa"/>
            <w:vAlign w:val="bottom"/>
            <w:shd w:val="clear" w:color="auto" w:fill="CCEECC"/>
          </w:tcPr>
          <w:p>
            <w:pPr>
              <w:ind w:left="220"/>
              <w:spacing w:after="0"/>
              <w:rPr>
                <w:sz w:val="20"/>
                <w:szCs w:val="20"/>
                <w:color w:val="auto"/>
              </w:rPr>
            </w:pPr>
            <w:r>
              <w:rPr>
                <w:rFonts w:ascii="Arial" w:cs="Arial" w:eastAsia="Arial" w:hAnsi="Arial"/>
                <w:sz w:val="18"/>
                <w:szCs w:val="18"/>
                <w:color w:val="auto"/>
              </w:rPr>
              <w:t>125,000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line="240" w:lineRule="exact"/>
              <w:rPr>
                <w:sz w:val="20"/>
                <w:szCs w:val="20"/>
                <w:color w:val="auto"/>
              </w:rPr>
            </w:pPr>
            <w:r>
              <w:rPr>
                <w:rFonts w:ascii="Arial" w:cs="Arial" w:eastAsia="Arial" w:hAnsi="Arial"/>
                <w:sz w:val="17"/>
                <w:szCs w:val="17"/>
                <w:color w:val="auto"/>
                <w:w w:val="89"/>
              </w:rPr>
              <w:t>$0.35</w:t>
            </w:r>
            <w:r>
              <w:rPr>
                <w:rFonts w:ascii="Arial" w:cs="Arial" w:eastAsia="Arial" w:hAnsi="Arial"/>
                <w:sz w:val="27"/>
                <w:szCs w:val="27"/>
                <w:color w:val="auto"/>
                <w:w w:val="89"/>
                <w:vertAlign w:val="superscript"/>
              </w:rPr>
              <w:t>(1)</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w w:val="99"/>
              </w:rPr>
              <w:t>12/22/14</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30"/>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Lester</w:t>
            </w: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7"/>
              </w:rPr>
              <w:t>55,000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5/31/16</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02"/>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ind w:left="220"/>
              <w:spacing w:after="0" w:line="201" w:lineRule="exact"/>
              <w:rPr>
                <w:sz w:val="20"/>
                <w:szCs w:val="20"/>
                <w:color w:val="auto"/>
              </w:rPr>
            </w:pPr>
            <w:r>
              <w:rPr>
                <w:rFonts w:ascii="Arial" w:cs="Arial" w:eastAsia="Arial" w:hAnsi="Arial"/>
                <w:sz w:val="18"/>
                <w:szCs w:val="18"/>
                <w:color w:val="auto"/>
              </w:rPr>
              <w:t>100,000</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3"/>
              </w:rPr>
              <w:t>$1.00</w:t>
            </w:r>
          </w:p>
        </w:tc>
        <w:tc>
          <w:tcPr>
            <w:tcW w:w="120" w:type="dxa"/>
            <w:vAlign w:val="bottom"/>
          </w:tcPr>
          <w:p>
            <w:pPr>
              <w:spacing w:after="0"/>
              <w:rPr>
                <w:sz w:val="17"/>
                <w:szCs w:val="17"/>
                <w:color w:val="auto"/>
              </w:rPr>
            </w:pPr>
          </w:p>
        </w:tc>
        <w:tc>
          <w:tcPr>
            <w:tcW w:w="8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3/5/14</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David</w:t>
            </w:r>
          </w:p>
        </w:tc>
        <w:tc>
          <w:tcPr>
            <w:tcW w:w="1000" w:type="dxa"/>
            <w:vAlign w:val="bottom"/>
          </w:tcPr>
          <w:p>
            <w:pPr>
              <w:ind w:left="220"/>
              <w:spacing w:after="0"/>
              <w:rPr>
                <w:sz w:val="20"/>
                <w:szCs w:val="20"/>
                <w:color w:val="auto"/>
              </w:rPr>
            </w:pPr>
            <w:r>
              <w:rPr>
                <w:rFonts w:ascii="Arial" w:cs="Arial" w:eastAsia="Arial" w:hAnsi="Arial"/>
                <w:sz w:val="18"/>
                <w:szCs w:val="18"/>
                <w:color w:val="auto"/>
              </w:rPr>
              <w:t>200,000</w:t>
            </w: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$1.81</w:t>
            </w: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4/26/15</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Harrell</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102,500</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$1.00</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5/31/16</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121,875</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92"/>
              </w:rPr>
              <w:t>225,468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840" w:type="dxa"/>
            <w:vAlign w:val="bottom"/>
            <w:gridSpan w:val="2"/>
            <w:shd w:val="clear" w:color="auto" w:fill="CCEECC"/>
          </w:tcPr>
          <w:p>
            <w:pPr>
              <w:ind w:left="100"/>
              <w:spacing w:after="0" w:line="201" w:lineRule="exact"/>
              <w:rPr>
                <w:sz w:val="20"/>
                <w:szCs w:val="20"/>
                <w:color w:val="auto"/>
              </w:rPr>
            </w:pPr>
            <w:r>
              <w:rPr>
                <w:rFonts w:ascii="Arial" w:cs="Arial" w:eastAsia="Arial" w:hAnsi="Arial"/>
                <w:sz w:val="18"/>
                <w:szCs w:val="18"/>
                <w:color w:val="auto"/>
              </w:rPr>
              <w:t>Terence</w:t>
            </w:r>
          </w:p>
        </w:tc>
        <w:tc>
          <w:tcPr>
            <w:tcW w:w="10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16"/>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J.</w:t>
            </w:r>
          </w:p>
        </w:tc>
        <w:tc>
          <w:tcPr>
            <w:tcW w:w="1000" w:type="dxa"/>
            <w:vAlign w:val="bottom"/>
            <w:shd w:val="clear" w:color="auto" w:fill="CCEECC"/>
          </w:tcPr>
          <w:p>
            <w:pPr>
              <w:ind w:left="220"/>
              <w:spacing w:after="0"/>
              <w:rPr>
                <w:sz w:val="20"/>
                <w:szCs w:val="20"/>
                <w:color w:val="auto"/>
              </w:rPr>
            </w:pPr>
            <w:r>
              <w:rPr>
                <w:rFonts w:ascii="Arial" w:cs="Arial" w:eastAsia="Arial" w:hAnsi="Arial"/>
                <w:sz w:val="18"/>
                <w:szCs w:val="18"/>
                <w:color w:val="auto"/>
              </w:rPr>
              <w:t>150,000</w:t>
            </w:r>
          </w:p>
        </w:tc>
        <w:tc>
          <w:tcPr>
            <w:tcW w:w="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3"/>
              </w:rPr>
              <w:t>$1.00</w:t>
            </w:r>
          </w:p>
        </w:tc>
        <w:tc>
          <w:tcPr>
            <w:tcW w:w="120" w:type="dxa"/>
            <w:vAlign w:val="bottom"/>
            <w:shd w:val="clear" w:color="auto" w:fill="CCEECC"/>
          </w:tcPr>
          <w:p>
            <w:pPr>
              <w:spacing w:after="0"/>
              <w:rPr>
                <w:sz w:val="18"/>
                <w:szCs w:val="18"/>
                <w:color w:val="auto"/>
              </w:rPr>
            </w:pPr>
          </w:p>
        </w:tc>
        <w:tc>
          <w:tcPr>
            <w:tcW w:w="86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3/5/14</w:t>
            </w:r>
          </w:p>
        </w:tc>
        <w:tc>
          <w:tcPr>
            <w:tcW w:w="6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r>
      <w:tr>
        <w:trPr>
          <w:trHeight w:val="230"/>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Hamilton</w:t>
            </w: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2"/>
              </w:rPr>
              <w:t>127,500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$1.00</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5/31/16</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r>
              <w:rPr>
                <w:rFonts w:ascii="Arial" w:cs="Arial" w:eastAsia="Arial" w:hAnsi="Arial"/>
                <w:sz w:val="18"/>
                <w:szCs w:val="18"/>
                <w:color w:val="auto"/>
              </w:rPr>
              <w:t>215,625</w:t>
            </w: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r>
              <w:rPr>
                <w:rFonts w:ascii="Arial" w:cs="Arial" w:eastAsia="Arial" w:hAnsi="Arial"/>
                <w:sz w:val="18"/>
                <w:szCs w:val="18"/>
                <w:color w:val="auto"/>
                <w:w w:val="92"/>
              </w:rPr>
              <w:t>398,906</w:t>
            </w: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bl>
    <w:p>
      <w:pPr>
        <w:spacing w:after="0" w:line="229" w:lineRule="exact"/>
        <w:rPr>
          <w:sz w:val="20"/>
          <w:szCs w:val="20"/>
          <w:color w:val="auto"/>
        </w:rPr>
      </w:pPr>
    </w:p>
    <w:p>
      <w:pPr>
        <w:ind w:left="5620" w:right="4500" w:hanging="4926"/>
        <w:spacing w:after="0" w:line="738" w:lineRule="auto"/>
        <w:tabs>
          <w:tab w:leader="none" w:pos="910"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These are warrants that were revalued on October 1, 2009 to $0.35 per share.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233" w:right="6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7"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F-1</w:t>
      </w:r>
      <w:r>
        <w:rPr>
          <w:sz w:val="20"/>
          <w:szCs w:val="20"/>
          <w:color w:val="auto"/>
        </w:rPr>
        <w:tab/>
      </w:r>
      <w:hyperlink w:anchor="page36">
        <w:r>
          <w:rPr>
            <w:rFonts w:ascii="Arial" w:cs="Arial" w:eastAsia="Arial" w:hAnsi="Arial"/>
            <w:sz w:val="16"/>
            <w:szCs w:val="16"/>
            <w:u w:val="single" w:color="auto"/>
            <w:color w:val="0000EE"/>
          </w:rPr>
          <w:t>Report of Independent Registered Public Accounting Firm;</w:t>
        </w:r>
      </w:hyperlink>
    </w:p>
    <w:p>
      <w:pPr>
        <w:spacing w:after="0" w:line="9"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F-2</w:t>
      </w:r>
      <w:r>
        <w:rPr>
          <w:sz w:val="20"/>
          <w:szCs w:val="20"/>
          <w:color w:val="auto"/>
        </w:rPr>
        <w:tab/>
      </w:r>
      <w:hyperlink w:anchor="page37">
        <w:r>
          <w:rPr>
            <w:rFonts w:ascii="Arial" w:cs="Arial" w:eastAsia="Arial" w:hAnsi="Arial"/>
            <w:sz w:val="16"/>
            <w:szCs w:val="16"/>
            <w:u w:val="single" w:color="auto"/>
            <w:color w:val="0000EE"/>
          </w:rPr>
          <w:t>Consolidated Balance Sheets as of December 31, 2013 and 2012;</w:t>
        </w:r>
      </w:hyperlink>
    </w:p>
    <w:p>
      <w:pPr>
        <w:spacing w:after="0" w:line="9"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F-3</w:t>
      </w:r>
      <w:r>
        <w:rPr>
          <w:sz w:val="20"/>
          <w:szCs w:val="20"/>
          <w:color w:val="auto"/>
        </w:rPr>
        <w:tab/>
      </w:r>
      <w:hyperlink w:anchor="page38">
        <w:r>
          <w:rPr>
            <w:rFonts w:ascii="Arial" w:cs="Arial" w:eastAsia="Arial" w:hAnsi="Arial"/>
            <w:sz w:val="16"/>
            <w:szCs w:val="16"/>
            <w:u w:val="single" w:color="auto"/>
            <w:color w:val="0000EE"/>
          </w:rPr>
          <w:t>Consolidated Statements of Operations for the years ended December 31, 2013 and 2012;</w:t>
        </w:r>
      </w:hyperlink>
    </w:p>
    <w:p>
      <w:pPr>
        <w:spacing w:after="0" w:line="9"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F-4</w:t>
      </w:r>
      <w:r>
        <w:rPr>
          <w:sz w:val="20"/>
          <w:szCs w:val="20"/>
          <w:color w:val="auto"/>
        </w:rPr>
        <w:tab/>
      </w:r>
      <w:hyperlink w:anchor="page39">
        <w:r>
          <w:rPr>
            <w:rFonts w:ascii="Arial" w:cs="Arial" w:eastAsia="Arial" w:hAnsi="Arial"/>
            <w:sz w:val="16"/>
            <w:szCs w:val="16"/>
            <w:u w:val="single" w:color="auto"/>
            <w:color w:val="0000EE"/>
          </w:rPr>
          <w:t>Consolidated Statement of Stockholders’ Equity as of December 31, 2013;</w:t>
        </w:r>
      </w:hyperlink>
    </w:p>
    <w:p>
      <w:pPr>
        <w:spacing w:after="0" w:line="9"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F-5</w:t>
      </w:r>
      <w:r>
        <w:rPr>
          <w:sz w:val="20"/>
          <w:szCs w:val="20"/>
          <w:color w:val="auto"/>
        </w:rPr>
        <w:tab/>
      </w:r>
      <w:hyperlink w:anchor="page40">
        <w:r>
          <w:rPr>
            <w:rFonts w:ascii="Arial" w:cs="Arial" w:eastAsia="Arial" w:hAnsi="Arial"/>
            <w:sz w:val="16"/>
            <w:szCs w:val="16"/>
            <w:u w:val="single" w:color="auto"/>
            <w:color w:val="0000EE"/>
          </w:rPr>
          <w:t>Consolidated Statements of Cash Flows for the years ended December 31, 2013 and 2012; and</w:t>
        </w:r>
      </w:hyperlink>
    </w:p>
    <w:p>
      <w:pPr>
        <w:spacing w:after="0" w:line="9"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F-6</w:t>
      </w:r>
      <w:r>
        <w:rPr>
          <w:sz w:val="20"/>
          <w:szCs w:val="20"/>
          <w:color w:val="auto"/>
        </w:rPr>
        <w:tab/>
      </w:r>
      <w:hyperlink w:anchor="page41">
        <w:r>
          <w:rPr>
            <w:rFonts w:ascii="Arial" w:cs="Arial" w:eastAsia="Arial" w:hAnsi="Arial"/>
            <w:sz w:val="16"/>
            <w:szCs w:val="16"/>
            <w:u w:val="single" w:color="auto"/>
            <w:color w:val="0000EE"/>
          </w:rPr>
          <w:t>Consolidated Notes to Financial Statements.</w:t>
        </w:r>
      </w:hyperlink>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2224B"/>
        </w:rPr>
        <w:t>Silberstein Ungar, PLLC CPAs and Business Advisors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Phone (248) 203-0080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www.sucpas.com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OptimizeRx Corporation as of December 31, 2013 and 2012, and the related consolidated statements of operations, stockholders’ equity, and cash flows for the years then ended. These financial statements are the responsibility of the Company’s management. Our responsibility is to express an opinion on these financial statements based on our audits.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2013 and 2012 and the results of their operations and cash flows for the years then ended, in conformity with accounting principles generally accepted in the United States.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Consolidated Balance Sheet as of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December 31, 2013 and 2012</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ind w:left="20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vMerge w:val="restart"/>
          </w:tcPr>
          <w:p>
            <w:pPr>
              <w:ind w:left="2160"/>
              <w:spacing w:after="0"/>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2012</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CC"/>
          </w:tcPr>
          <w:p>
            <w:pPr>
              <w:jc w:val="right"/>
              <w:ind w:right="145"/>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gridSpan w:val="2"/>
            <w:shd w:val="clear" w:color="auto" w:fill="CCEECC"/>
          </w:tcPr>
          <w:p>
            <w:pPr>
              <w:jc w:val="right"/>
              <w:ind w:right="125"/>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1,566,964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616,798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Prepaid expenses</w:t>
            </w:r>
          </w:p>
        </w:tc>
        <w:tc>
          <w:tcPr>
            <w:tcW w:w="4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Current Assets</w:t>
            </w:r>
          </w:p>
        </w:tc>
        <w:tc>
          <w:tcPr>
            <w:tcW w:w="4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2,696,978</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969,219</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CC"/>
          </w:tcPr>
          <w:p>
            <w:pPr>
              <w:spacing w:after="0"/>
              <w:rPr>
                <w:sz w:val="20"/>
                <w:szCs w:val="20"/>
                <w:color w:val="auto"/>
              </w:rPr>
            </w:pPr>
            <w:r>
              <w:rPr>
                <w:rFonts w:ascii="Arial" w:cs="Arial" w:eastAsia="Arial" w:hAnsi="Arial"/>
                <w:sz w:val="18"/>
                <w:szCs w:val="18"/>
                <w:color w:val="auto"/>
              </w:rPr>
              <w:t>Property and equipment, net</w:t>
            </w:r>
          </w:p>
        </w:tc>
        <w:tc>
          <w:tcPr>
            <w:tcW w:w="4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20,685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Patent rights, net</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Web development costs, net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404,986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387,215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Security deposit</w:t>
            </w:r>
          </w:p>
        </w:tc>
        <w:tc>
          <w:tcPr>
            <w:tcW w:w="4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Other Assets</w:t>
            </w:r>
          </w:p>
        </w:tc>
        <w:tc>
          <w:tcPr>
            <w:tcW w:w="4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1,295,985</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1,185,500</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ASSETS</w:t>
            </w:r>
          </w:p>
        </w:tc>
        <w:tc>
          <w:tcPr>
            <w:tcW w:w="40" w:type="dxa"/>
            <w:vAlign w:val="bottom"/>
            <w:tcBorders>
              <w:bottom w:val="single" w:sz="8" w:color="CCEECC"/>
            </w:tcBorders>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0" w:type="dxa"/>
            <w:vAlign w:val="bottom"/>
            <w:tcBorders>
              <w:bottom w:val="single" w:sz="8" w:color="CCEECC"/>
            </w:tcBorders>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spacing w:after="0"/>
              <w:rPr>
                <w:sz w:val="20"/>
                <w:szCs w:val="20"/>
                <w:color w:val="auto"/>
              </w:rPr>
            </w:pPr>
            <w:r>
              <w:rPr>
                <w:rFonts w:ascii="Arial" w:cs="Arial" w:eastAsia="Arial" w:hAnsi="Arial"/>
                <w:sz w:val="18"/>
                <w:szCs w:val="18"/>
                <w:color w:val="auto"/>
              </w:rPr>
              <w:t>Current Liabilities</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340" w:type="dxa"/>
            <w:vAlign w:val="bottom"/>
            <w:gridSpan w:val="2"/>
          </w:tcPr>
          <w:p>
            <w:pPr>
              <w:jc w:val="right"/>
              <w:ind w:right="145"/>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188,739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54,693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 - related party</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Revenue share payable</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1,193,661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CEECC"/>
            </w:tcBorders>
          </w:tcPr>
          <w:p>
            <w:pPr>
              <w:ind w:left="320"/>
              <w:spacing w:after="0"/>
              <w:rPr>
                <w:sz w:val="20"/>
                <w:szCs w:val="20"/>
                <w:color w:val="auto"/>
              </w:rPr>
            </w:pPr>
            <w:r>
              <w:rPr>
                <w:rFonts w:ascii="Arial" w:cs="Arial" w:eastAsia="Arial" w:hAnsi="Arial"/>
                <w:sz w:val="18"/>
                <w:szCs w:val="18"/>
                <w:color w:val="auto"/>
              </w:rPr>
              <w:t>Deferred revenue</w:t>
            </w:r>
          </w:p>
        </w:tc>
        <w:tc>
          <w:tcPr>
            <w:tcW w:w="4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49,252</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Total Liabilities</w:t>
            </w:r>
          </w:p>
        </w:tc>
        <w:tc>
          <w:tcPr>
            <w:tcW w:w="4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1,968,652</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770,522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Stockholders' Equity</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CC"/>
          </w:tcPr>
          <w:p>
            <w:pPr>
              <w:ind w:left="320"/>
              <w:spacing w:after="0" w:line="201" w:lineRule="exact"/>
              <w:rPr>
                <w:sz w:val="20"/>
                <w:szCs w:val="20"/>
                <w:color w:val="auto"/>
              </w:rPr>
            </w:pPr>
            <w:r>
              <w:rPr>
                <w:rFonts w:ascii="Arial" w:cs="Arial" w:eastAsia="Arial" w:hAnsi="Arial"/>
                <w:sz w:val="18"/>
                <w:szCs w:val="18"/>
                <w:color w:val="auto"/>
                <w:w w:val="91"/>
              </w:rPr>
              <w:t>Preferred stock, $.001 par value, 10,000,000 shares authorized,</w:t>
            </w:r>
          </w:p>
        </w:tc>
        <w:tc>
          <w:tcPr>
            <w:tcW w:w="4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6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6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65 shares issued and outstanding</w:t>
            </w:r>
          </w:p>
        </w:tc>
        <w:tc>
          <w:tcPr>
            <w:tcW w:w="4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320"/>
              <w:spacing w:after="0" w:line="201" w:lineRule="exact"/>
              <w:rPr>
                <w:sz w:val="20"/>
                <w:szCs w:val="20"/>
                <w:color w:val="auto"/>
              </w:rPr>
            </w:pPr>
            <w:r>
              <w:rPr>
                <w:rFonts w:ascii="Arial" w:cs="Arial" w:eastAsia="Arial" w:hAnsi="Arial"/>
                <w:sz w:val="18"/>
                <w:szCs w:val="18"/>
                <w:color w:val="auto"/>
                <w:w w:val="89"/>
              </w:rPr>
              <w:t>Common stock, $.001 par value, 500,000,000 shares authorized,</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w w:val="98"/>
              </w:rPr>
              <w:t>14,773,496 and 14,232,496 shares issued and outstanding</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14,773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14,232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warrants</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18,148,049</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20,058,051</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Additional paid-in-capital</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8,726,708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6,164,666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stock compensation</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(233,942)</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(24,616,220)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(24,832,067)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4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bottom w:val="single" w:sz="8" w:color="auto"/>
            </w:tcBorders>
            <w:shd w:val="clear" w:color="auto" w:fill="CCEECC"/>
          </w:tcPr>
          <w:p>
            <w:pPr>
              <w:spacing w:after="0"/>
              <w:rPr>
                <w:sz w:val="18"/>
                <w:szCs w:val="18"/>
                <w:color w:val="auto"/>
              </w:rPr>
            </w:pPr>
          </w:p>
        </w:tc>
        <w:tc>
          <w:tcPr>
            <w:tcW w:w="16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2,039,368</w:t>
            </w:r>
          </w:p>
        </w:tc>
        <w:tc>
          <w:tcPr>
            <w:tcW w:w="8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bottom w:val="single" w:sz="8" w:color="auto"/>
            </w:tcBorders>
            <w:shd w:val="clear" w:color="auto" w:fill="CCEECC"/>
          </w:tcPr>
          <w:p>
            <w:pPr>
              <w:spacing w:after="0"/>
              <w:rPr>
                <w:sz w:val="18"/>
                <w:szCs w:val="18"/>
                <w:color w:val="auto"/>
              </w:rPr>
            </w:pPr>
          </w:p>
        </w:tc>
        <w:tc>
          <w:tcPr>
            <w:tcW w:w="16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1,404,882</w:t>
            </w: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Ended December 31, 2013 and 2012</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color w:val="auto"/>
                <w:w w:val="94"/>
              </w:rPr>
              <w:t>For the year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December 31, 2013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8"/>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NET REVENUE</w:t>
            </w:r>
          </w:p>
        </w:tc>
        <w:tc>
          <w:tcPr>
            <w:tcW w:w="22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4,957,016</w:t>
            </w:r>
          </w:p>
        </w:tc>
        <w:tc>
          <w:tcPr>
            <w:tcW w:w="360" w:type="dxa"/>
            <w:vAlign w:val="bottom"/>
            <w:gridSpan w:val="3"/>
            <w:shd w:val="clear" w:color="auto" w:fill="CCEECC"/>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1,989,086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REVENUE SHARE EXPENSE</w:t>
            </w:r>
          </w:p>
        </w:tc>
        <w:tc>
          <w:tcPr>
            <w:tcW w:w="2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1,767,425</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115,360</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spacing w:after="0"/>
              <w:rPr>
                <w:sz w:val="18"/>
                <w:szCs w:val="18"/>
                <w:color w:val="auto"/>
              </w:rPr>
            </w:pPr>
          </w:p>
        </w:tc>
        <w:tc>
          <w:tcPr>
            <w:tcW w:w="1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3,189,591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spacing w:after="0"/>
              <w:rPr>
                <w:sz w:val="18"/>
                <w:szCs w:val="18"/>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1,873,726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Operating expenses (See Note 17)</w:t>
            </w:r>
          </w:p>
        </w:tc>
        <w:tc>
          <w:tcPr>
            <w:tcW w:w="20" w:type="dxa"/>
            <w:vAlign w:val="bottom"/>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spacing w:after="0"/>
              <w:rPr>
                <w:sz w:val="19"/>
                <w:szCs w:val="19"/>
                <w:color w:val="auto"/>
              </w:rPr>
            </w:pPr>
          </w:p>
        </w:tc>
        <w:tc>
          <w:tcPr>
            <w:tcW w:w="1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2,973,990</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2,328,648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215,601</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(454,922</w:t>
            </w:r>
          </w:p>
        </w:tc>
        <w:tc>
          <w:tcPr>
            <w:tcW w:w="8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TOTAL OTHER INCOME (EXPENSE)</w:t>
            </w:r>
          </w:p>
        </w:tc>
        <w:tc>
          <w:tcPr>
            <w:tcW w:w="2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5"/>
              </w:rPr>
              <w:t>INCOME (LOSS) BEFORE PROVISION FOR INCOME TAXES</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(454,553)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CC"/>
            </w:tcBorders>
            <w:shd w:val="clear" w:color="auto" w:fill="CCEECC"/>
          </w:tcPr>
          <w:p>
            <w:pPr>
              <w:ind w:left="160"/>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(454,553</w:t>
            </w:r>
          </w:p>
        </w:tc>
        <w:tc>
          <w:tcPr>
            <w:tcW w:w="80" w:type="dxa"/>
            <w:vAlign w:val="bottom"/>
            <w:tcBorders>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020" w:type="dxa"/>
            <w:vAlign w:val="bottom"/>
            <w:gridSpan w:val="2"/>
          </w:tcPr>
          <w:p>
            <w:pPr>
              <w:spacing w:after="0"/>
              <w:rPr>
                <w:sz w:val="20"/>
                <w:szCs w:val="20"/>
                <w:color w:val="auto"/>
              </w:rPr>
            </w:pPr>
            <w:r>
              <w:rPr>
                <w:rFonts w:ascii="Arial" w:cs="Arial" w:eastAsia="Arial" w:hAnsi="Arial"/>
                <w:sz w:val="18"/>
                <w:szCs w:val="18"/>
                <w:color w:val="auto"/>
              </w:rPr>
              <w:t>OUTSTANDING: BASIC</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14,388,017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14,211,455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top w:val="single" w:sz="8" w:color="CCEECC"/>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NET INCOME (LOSS) PER SHARE: BASIC</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0.02</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(0.03</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020" w:type="dxa"/>
            <w:vAlign w:val="bottom"/>
            <w:gridSpan w:val="2"/>
          </w:tcPr>
          <w:p>
            <w:pPr>
              <w:spacing w:after="0"/>
              <w:rPr>
                <w:sz w:val="20"/>
                <w:szCs w:val="20"/>
                <w:color w:val="auto"/>
              </w:rPr>
            </w:pPr>
            <w:r>
              <w:rPr>
                <w:rFonts w:ascii="Arial" w:cs="Arial" w:eastAsia="Arial" w:hAnsi="Arial"/>
                <w:sz w:val="18"/>
                <w:szCs w:val="18"/>
                <w:color w:val="auto"/>
              </w:rPr>
              <w:t>OUTSTANDING: DILUTED</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14,713,017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14,211,455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top w:val="single" w:sz="8" w:color="CCEECC"/>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NET INCOME (LOSS) PER SHARE: DILUTED</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0.01</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(0.03</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Consolidated Statement of Stockholders’ Equity as of</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December 31, 2013</w:t>
      </w:r>
    </w:p>
    <w:p>
      <w:pPr>
        <w:spacing w:after="0" w:line="238"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Additional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Deferred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Total</w:t>
            </w:r>
          </w:p>
        </w:tc>
      </w:tr>
      <w:tr>
        <w:trPr>
          <w:trHeight w:val="243"/>
        </w:trPr>
        <w:tc>
          <w:tcPr>
            <w:tcW w:w="1160" w:type="dxa"/>
            <w:vAlign w:val="bottom"/>
          </w:tcPr>
          <w:p>
            <w:pPr>
              <w:spacing w:after="0"/>
              <w:rPr>
                <w:sz w:val="21"/>
                <w:szCs w:val="21"/>
                <w:color w:val="auto"/>
              </w:rPr>
            </w:pPr>
          </w:p>
        </w:tc>
        <w:tc>
          <w:tcPr>
            <w:tcW w:w="1740" w:type="dxa"/>
            <w:vAlign w:val="bottom"/>
            <w:gridSpan w:val="6"/>
          </w:tcPr>
          <w:p>
            <w:pPr>
              <w:jc w:val="right"/>
              <w:ind w:right="340"/>
              <w:spacing w:after="0"/>
              <w:rPr>
                <w:sz w:val="20"/>
                <w:szCs w:val="20"/>
                <w:color w:val="auto"/>
              </w:rPr>
            </w:pPr>
            <w:r>
              <w:rPr>
                <w:rFonts w:ascii="Arial" w:cs="Arial" w:eastAsia="Arial" w:hAnsi="Arial"/>
                <w:sz w:val="18"/>
                <w:szCs w:val="18"/>
                <w:color w:val="auto"/>
              </w:rPr>
              <w:t>Preferred Stock</w:t>
            </w:r>
          </w:p>
        </w:tc>
        <w:tc>
          <w:tcPr>
            <w:tcW w:w="1740" w:type="dxa"/>
            <w:vAlign w:val="bottom"/>
            <w:gridSpan w:val="6"/>
          </w:tcPr>
          <w:p>
            <w:pPr>
              <w:jc w:val="right"/>
              <w:ind w:right="320"/>
              <w:spacing w:after="0"/>
              <w:rPr>
                <w:sz w:val="20"/>
                <w:szCs w:val="20"/>
                <w:color w:val="auto"/>
              </w:rPr>
            </w:pPr>
            <w:r>
              <w:rPr>
                <w:rFonts w:ascii="Arial" w:cs="Arial" w:eastAsia="Arial" w:hAnsi="Arial"/>
                <w:sz w:val="18"/>
                <w:szCs w:val="18"/>
                <w:color w:val="auto"/>
              </w:rPr>
              <w:t>Common Stock</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Stock</w:t>
            </w:r>
          </w:p>
        </w:tc>
        <w:tc>
          <w:tcPr>
            <w:tcW w:w="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Paid-in</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Stock</w:t>
            </w: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w w:val="90"/>
              </w:rPr>
              <w:t>Accumulated</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Stockholders’</w:t>
            </w:r>
          </w:p>
        </w:tc>
      </w:tr>
      <w:tr>
        <w:trPr>
          <w:trHeight w:val="230"/>
        </w:trPr>
        <w:tc>
          <w:tcPr>
            <w:tcW w:w="11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Amount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Amount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Warrants</w:t>
            </w:r>
          </w:p>
        </w:tc>
        <w:tc>
          <w:tcPr>
            <w:tcW w:w="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Compensation</w:t>
            </w:r>
          </w:p>
        </w:tc>
        <w:tc>
          <w:tcPr>
            <w:tcW w:w="1140" w:type="dxa"/>
            <w:vAlign w:val="bottom"/>
            <w:gridSpan w:val="4"/>
          </w:tcPr>
          <w:p>
            <w:pPr>
              <w:jc w:val="right"/>
              <w:ind w:right="400"/>
              <w:spacing w:after="0"/>
              <w:rPr>
                <w:sz w:val="20"/>
                <w:szCs w:val="20"/>
                <w:color w:val="auto"/>
              </w:rPr>
            </w:pPr>
            <w:r>
              <w:rPr>
                <w:rFonts w:ascii="Arial" w:cs="Arial" w:eastAsia="Arial" w:hAnsi="Arial"/>
                <w:sz w:val="18"/>
                <w:szCs w:val="18"/>
                <w:color w:val="auto"/>
              </w:rPr>
              <w:t>Deficit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Equity</w:t>
            </w:r>
          </w:p>
        </w:tc>
      </w:tr>
      <w:tr>
        <w:trPr>
          <w:trHeight w:val="182"/>
        </w:trPr>
        <w:tc>
          <w:tcPr>
            <w:tcW w:w="1160" w:type="dxa"/>
            <w:vAlign w:val="bottom"/>
            <w:tcBorders>
              <w:top w:val="single" w:sz="8" w:color="CCEECC"/>
            </w:tcBorders>
            <w:shd w:val="clear" w:color="auto" w:fill="CCEECC"/>
          </w:tcPr>
          <w:p>
            <w:pPr>
              <w:spacing w:after="0" w:line="182" w:lineRule="exact"/>
              <w:rPr>
                <w:sz w:val="20"/>
                <w:szCs w:val="20"/>
                <w:color w:val="auto"/>
              </w:rPr>
            </w:pPr>
            <w:r>
              <w:rPr>
                <w:rFonts w:ascii="Arial" w:cs="Arial" w:eastAsia="Arial" w:hAnsi="Arial"/>
                <w:sz w:val="18"/>
                <w:szCs w:val="18"/>
                <w:color w:val="auto"/>
              </w:rPr>
              <w:t>Balance,</w:t>
            </w: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7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6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92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9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20" w:type="dxa"/>
            <w:vAlign w:val="bottom"/>
            <w:tcBorders>
              <w:top w:val="single" w:sz="8" w:color="auto"/>
            </w:tcBorders>
            <w:shd w:val="clear" w:color="auto" w:fill="CCEECC"/>
          </w:tcPr>
          <w:p>
            <w:pPr>
              <w:spacing w:after="0"/>
              <w:rPr>
                <w:sz w:val="15"/>
                <w:szCs w:val="15"/>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88"/>
              </w:rPr>
              <w:t>January 1, 2012</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3"/>
              </w:rPr>
              <w:t>14,192,496</w:t>
            </w:r>
          </w:p>
        </w:tc>
        <w:tc>
          <w:tcPr>
            <w:tcW w:w="4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14,192</w:t>
            </w: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7"/>
              </w:rPr>
              <w:t>$20,826,934</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4"/>
              </w:rPr>
              <w:t>$ 5,125,558</w:t>
            </w:r>
          </w:p>
        </w:tc>
        <w:tc>
          <w:tcPr>
            <w:tcW w:w="1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-0- $</w:t>
            </w:r>
          </w:p>
        </w:tc>
        <w:tc>
          <w:tcPr>
            <w:tcW w:w="114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w w:val="99"/>
              </w:rPr>
              <w:t>(24,377,514)$</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1,589,170</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stock options: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1"/>
              </w:rPr>
              <w:t>to employees</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150,367</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150,367</w:t>
            </w: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rPr>
              <w:t>for</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rPr>
              <w:t>consulting</w:t>
            </w:r>
          </w:p>
        </w:tc>
        <w:tc>
          <w:tcPr>
            <w:tcW w:w="780" w:type="dxa"/>
            <w:vAlign w:val="bottom"/>
          </w:tcPr>
          <w:p>
            <w:pPr>
              <w:jc w:val="right"/>
              <w:spacing w:after="0"/>
              <w:rPr>
                <w:sz w:val="20"/>
                <w:szCs w:val="20"/>
                <w:color w:val="auto"/>
              </w:rPr>
            </w:pPr>
            <w:r>
              <w:rPr>
                <w:rFonts w:ascii="Arial" w:cs="Arial" w:eastAsia="Arial" w:hAnsi="Arial"/>
                <w:sz w:val="18"/>
                <w:szCs w:val="18"/>
                <w:color w:val="auto"/>
              </w:rPr>
              <w:t>75,098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75,098</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4"/>
              </w:rPr>
              <w:t>common stock:</w:t>
            </w: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16"/>
        </w:trPr>
        <w:tc>
          <w:tcPr>
            <w:tcW w:w="116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44,800</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1"/>
              </w:rPr>
              <w:t>Reclassification</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for options</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previously</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recorded as</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warrants</w:t>
            </w: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(768,883)</w:t>
            </w: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768,883</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w w:val="94"/>
              </w:rPr>
              <w:t>Net loss for the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8"/>
                <w:szCs w:val="18"/>
                <w:color w:val="auto"/>
                <w:w w:val="97"/>
              </w:rPr>
              <w:t>year (restated)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(454,553)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(454,553)</w:t>
            </w: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82"/>
        </w:trPr>
        <w:tc>
          <w:tcPr>
            <w:tcW w:w="1160" w:type="dxa"/>
            <w:vAlign w:val="bottom"/>
            <w:tcBorders>
              <w:top w:val="single" w:sz="8" w:color="CCEECC"/>
            </w:tcBorders>
            <w:shd w:val="clear" w:color="auto" w:fill="CCEECC"/>
          </w:tcPr>
          <w:p>
            <w:pPr>
              <w:spacing w:after="0" w:line="182" w:lineRule="exact"/>
              <w:rPr>
                <w:sz w:val="20"/>
                <w:szCs w:val="20"/>
                <w:color w:val="auto"/>
              </w:rPr>
            </w:pPr>
            <w:r>
              <w:rPr>
                <w:rFonts w:ascii="Arial" w:cs="Arial" w:eastAsia="Arial" w:hAnsi="Arial"/>
                <w:sz w:val="18"/>
                <w:szCs w:val="18"/>
                <w:color w:val="auto"/>
              </w:rPr>
              <w:t>Balance,</w:t>
            </w: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7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6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92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9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20" w:type="dxa"/>
            <w:vAlign w:val="bottom"/>
            <w:tcBorders>
              <w:top w:val="single" w:sz="8" w:color="auto"/>
            </w:tcBorders>
            <w:shd w:val="clear" w:color="auto" w:fill="CCEECC"/>
          </w:tcPr>
          <w:p>
            <w:pPr>
              <w:spacing w:after="0"/>
              <w:rPr>
                <w:sz w:val="15"/>
                <w:szCs w:val="15"/>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December 31,</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3"/>
              </w:rPr>
              <w:t>2012 (restated)</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3"/>
              </w:rPr>
              <w:t>14,232,496</w:t>
            </w:r>
          </w:p>
        </w:tc>
        <w:tc>
          <w:tcPr>
            <w:tcW w:w="4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14,232</w:t>
            </w: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7"/>
              </w:rPr>
              <w:t>20,058,051</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4"/>
              </w:rPr>
              <w:t>$ 6,164,666</w:t>
            </w:r>
          </w:p>
        </w:tc>
        <w:tc>
          <w:tcPr>
            <w:tcW w:w="1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-0- $</w:t>
            </w:r>
          </w:p>
        </w:tc>
        <w:tc>
          <w:tcPr>
            <w:tcW w:w="114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w w:val="99"/>
              </w:rPr>
              <w:t>(24,832,067)$</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1,404,882</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stock options: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1"/>
              </w:rPr>
              <w:t>to employees</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7,720</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7,720</w:t>
            </w: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rPr>
              <w:t>for</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rPr>
              <w:t>consulting</w:t>
            </w:r>
          </w:p>
        </w:tc>
        <w:tc>
          <w:tcPr>
            <w:tcW w:w="780" w:type="dxa"/>
            <w:vAlign w:val="bottom"/>
          </w:tcPr>
          <w:p>
            <w:pPr>
              <w:jc w:val="right"/>
              <w:spacing w:after="0"/>
              <w:rPr>
                <w:sz w:val="20"/>
                <w:szCs w:val="20"/>
                <w:color w:val="auto"/>
              </w:rPr>
            </w:pPr>
            <w:r>
              <w:rPr>
                <w:rFonts w:ascii="Arial" w:cs="Arial" w:eastAsia="Arial" w:hAnsi="Arial"/>
                <w:sz w:val="18"/>
                <w:szCs w:val="18"/>
                <w:color w:val="auto"/>
              </w:rPr>
              <w:t>70,961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(59,134)</w:t>
            </w:r>
          </w:p>
        </w:tc>
        <w:tc>
          <w:tcPr>
            <w:tcW w:w="880" w:type="dxa"/>
            <w:vAlign w:val="bottom"/>
          </w:tcPr>
          <w:p>
            <w:pPr>
              <w:jc w:val="right"/>
              <w:spacing w:after="0"/>
              <w:rPr>
                <w:sz w:val="20"/>
                <w:szCs w:val="20"/>
                <w:color w:val="auto"/>
              </w:rPr>
            </w:pPr>
            <w:r>
              <w:rPr>
                <w:rFonts w:ascii="Arial" w:cs="Arial" w:eastAsia="Arial" w:hAnsi="Arial"/>
                <w:sz w:val="18"/>
                <w:szCs w:val="18"/>
                <w:color w:val="auto"/>
              </w:rPr>
              <w:t>11,827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4"/>
              </w:rPr>
              <w:t>common stock:</w:t>
            </w: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16"/>
        </w:trPr>
        <w:tc>
          <w:tcPr>
            <w:tcW w:w="116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68,900</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1160" w:type="dxa"/>
            <w:vAlign w:val="bottom"/>
            <w:shd w:val="clear" w:color="auto" w:fill="CCEECC"/>
          </w:tcPr>
          <w:p>
            <w:pPr>
              <w:ind w:left="160"/>
              <w:spacing w:after="0" w:line="201" w:lineRule="exact"/>
              <w:rPr>
                <w:sz w:val="20"/>
                <w:szCs w:val="20"/>
                <w:color w:val="auto"/>
              </w:rPr>
            </w:pPr>
            <w:r>
              <w:rPr>
                <w:rFonts w:ascii="Arial" w:cs="Arial" w:eastAsia="Arial" w:hAnsi="Arial"/>
                <w:sz w:val="18"/>
                <w:szCs w:val="18"/>
                <w:color w:val="auto"/>
              </w:rPr>
              <w:t>for</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9"/>
              </w:rPr>
              <w:t>employment</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severance</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504,500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0"/>
              </w:rPr>
              <w:t>(505,000)</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w w:val="93"/>
              </w:rPr>
              <w:t>for correction</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w w:val="95"/>
              </w:rPr>
              <w:t>of prior issue</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Reclassify</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expired</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warrants</w:t>
            </w: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89"/>
              </w:rPr>
              <w:t>(1,910,002)</w:t>
            </w: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1,910,002</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Expense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consulting</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330,192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330,192</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7"/>
              </w:rPr>
              <w:t>Net income for</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44"/>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the period</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6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60" w:type="dxa"/>
            <w:vAlign w:val="bottom"/>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66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920" w:type="dxa"/>
            <w:vAlign w:val="bottom"/>
            <w:tcBorders>
              <w:bottom w:val="single" w:sz="8" w:color="auto"/>
            </w:tcBorders>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1060" w:type="dxa"/>
            <w:vAlign w:val="bottom"/>
            <w:tcBorders>
              <w:bottom w:val="single" w:sz="8" w:color="auto"/>
            </w:tcBorders>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98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1020" w:type="dxa"/>
            <w:vAlign w:val="bottom"/>
            <w:tcBorders>
              <w:bottom w:val="single" w:sz="8" w:color="auto"/>
            </w:tcBorders>
            <w:shd w:val="clear" w:color="auto" w:fill="CCEECC"/>
          </w:tcPr>
          <w:p>
            <w:pPr>
              <w:spacing w:after="0"/>
              <w:rPr>
                <w:sz w:val="21"/>
                <w:szCs w:val="21"/>
                <w:color w:val="auto"/>
              </w:rPr>
            </w:pPr>
          </w:p>
        </w:tc>
      </w:tr>
      <w:tr>
        <w:trPr>
          <w:trHeight w:val="182"/>
        </w:trPr>
        <w:tc>
          <w:tcPr>
            <w:tcW w:w="116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December 31,</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8"/>
                <w:szCs w:val="18"/>
                <w:color w:val="auto"/>
              </w:rPr>
              <w:t>2013</w:t>
            </w: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14,773,496</w:t>
            </w:r>
          </w:p>
        </w:tc>
        <w:tc>
          <w:tcPr>
            <w:tcW w:w="4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14,773</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18,148,049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4"/>
              </w:rPr>
              <w:t>$ 8,726,708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(233,942)$</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w w:val="99"/>
              </w:rPr>
              <w:t>(24,616,220)$</w:t>
            </w:r>
          </w:p>
        </w:tc>
        <w:tc>
          <w:tcPr>
            <w:tcW w:w="1020" w:type="dxa"/>
            <w:vAlign w:val="bottom"/>
          </w:tcPr>
          <w:p>
            <w:pPr>
              <w:jc w:val="right"/>
              <w:spacing w:after="0"/>
              <w:rPr>
                <w:sz w:val="20"/>
                <w:szCs w:val="20"/>
                <w:color w:val="auto"/>
              </w:rPr>
            </w:pPr>
            <w:r>
              <w:rPr>
                <w:rFonts w:ascii="Arial" w:cs="Arial" w:eastAsia="Arial" w:hAnsi="Arial"/>
                <w:sz w:val="18"/>
                <w:szCs w:val="18"/>
                <w:color w:val="auto"/>
              </w:rPr>
              <w:t>2,039,368</w:t>
            </w:r>
          </w:p>
        </w:tc>
      </w:tr>
      <w:tr>
        <w:trPr>
          <w:trHeight w:val="20"/>
        </w:trPr>
        <w:tc>
          <w:tcPr>
            <w:tcW w:w="1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233" w:right="9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Ended December 31, 2013 and 2012</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For the year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December 31, 2013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31, 2012</w:t>
            </w:r>
          </w:p>
        </w:tc>
        <w:tc>
          <w:tcPr>
            <w:tcW w:w="0" w:type="dxa"/>
            <w:vAlign w:val="bottom"/>
          </w:tcPr>
          <w:p>
            <w:pPr>
              <w:spacing w:after="0"/>
              <w:rPr>
                <w:sz w:val="1"/>
                <w:szCs w:val="1"/>
                <w:color w:val="auto"/>
              </w:rPr>
            </w:pPr>
          </w:p>
        </w:tc>
      </w:tr>
      <w:tr>
        <w:trPr>
          <w:trHeight w:val="224"/>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02"/>
        </w:trPr>
        <w:tc>
          <w:tcPr>
            <w:tcW w:w="4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Net income (loss) for the period</w:t>
            </w:r>
          </w:p>
        </w:tc>
        <w:tc>
          <w:tcPr>
            <w:tcW w:w="3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(454,553)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w w:val="92"/>
              </w:rPr>
              <w:t>Adjustments to reconcile net income (loss) to net cash provided by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(used in) operating activities: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193,791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187,104</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Stock issued for services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options issued for services</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19,547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40,007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399,092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180,640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Bad debt expense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6,923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Changes 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(950,166)</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56,387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134,046</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(282,019)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1,103,084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90,577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(281,353)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Borders>
              <w:top w:val="single" w:sz="8" w:color="CCEECC"/>
            </w:tcBorders>
            <w:shd w:val="clear" w:color="auto" w:fill="CCEECC"/>
          </w:tcPr>
          <w:p>
            <w:pPr>
              <w:spacing w:after="0" w:line="178" w:lineRule="exact"/>
              <w:rPr>
                <w:sz w:val="20"/>
                <w:szCs w:val="20"/>
                <w:color w:val="auto"/>
              </w:rPr>
            </w:pPr>
            <w:r>
              <w:rPr>
                <w:rFonts w:ascii="Arial" w:cs="Arial" w:eastAsia="Arial" w:hAnsi="Arial"/>
                <w:sz w:val="18"/>
                <w:szCs w:val="18"/>
                <w:b w:val="1"/>
                <w:bCs w:val="1"/>
                <w:color w:val="auto"/>
              </w:rPr>
              <w:t>NET CASH PROVIDED BY (USED IN) OPERATING</w:t>
            </w:r>
          </w:p>
        </w:tc>
        <w:tc>
          <w:tcPr>
            <w:tcW w:w="12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7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72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shd w:val="clear" w:color="auto" w:fill="CCEECC"/>
          </w:tcPr>
          <w:p>
            <w:pPr>
              <w:spacing w:after="0"/>
              <w:rPr>
                <w:sz w:val="21"/>
                <w:szCs w:val="21"/>
                <w:color w:val="auto"/>
              </w:rPr>
            </w:pPr>
          </w:p>
        </w:tc>
        <w:tc>
          <w:tcPr>
            <w:tcW w:w="180" w:type="dxa"/>
            <w:vAlign w:val="bottom"/>
            <w:shd w:val="clear" w:color="auto" w:fill="CCEECC"/>
          </w:tcPr>
          <w:p>
            <w:pPr>
              <w:spacing w:after="0"/>
              <w:rPr>
                <w:sz w:val="21"/>
                <w:szCs w:val="21"/>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1,132,628</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180" w:type="dxa"/>
            <w:vAlign w:val="bottom"/>
            <w:shd w:val="clear" w:color="auto" w:fill="CCEECC"/>
          </w:tcPr>
          <w:p>
            <w:pPr>
              <w:spacing w:after="0"/>
              <w:rPr>
                <w:sz w:val="21"/>
                <w:szCs w:val="21"/>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(624,033)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Patent rights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(150,588)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Web development costs</w:t>
            </w:r>
          </w:p>
        </w:tc>
        <w:tc>
          <w:tcPr>
            <w:tcW w:w="1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(148,060)</w:t>
            </w: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(48,640)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(298,648)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NET INCREASE (DECREASE) IN CASH AND CASH</w:t>
            </w:r>
          </w:p>
        </w:tc>
        <w:tc>
          <w:tcPr>
            <w:tcW w:w="1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7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EQUIVALENTS</w:t>
            </w:r>
          </w:p>
        </w:tc>
        <w:tc>
          <w:tcPr>
            <w:tcW w:w="1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833,980</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(674,903)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Arial" w:cs="Arial" w:eastAsia="Arial" w:hAnsi="Arial"/>
                <w:sz w:val="18"/>
                <w:szCs w:val="18"/>
                <w:b w:val="1"/>
                <w:bCs w:val="1"/>
                <w:color w:val="auto"/>
              </w:rPr>
              <w:t>CASH AND CASH EQUIVALENTS - BEGINNING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959,166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Cash paid for interest</w:t>
            </w:r>
          </w:p>
        </w:tc>
        <w:tc>
          <w:tcPr>
            <w:tcW w:w="3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CC"/>
              <w:bottom w:val="single" w:sz="8" w:color="CCEECC"/>
            </w:tcBorders>
            <w:vMerge w:val="restart"/>
          </w:tcPr>
          <w:p>
            <w:pPr>
              <w:ind w:left="320"/>
              <w:spacing w:after="0"/>
              <w:rPr>
                <w:sz w:val="20"/>
                <w:szCs w:val="20"/>
                <w:color w:val="auto"/>
              </w:rPr>
            </w:pPr>
            <w:r>
              <w:rPr>
                <w:rFonts w:ascii="Arial" w:cs="Arial" w:eastAsia="Arial" w:hAnsi="Arial"/>
                <w:sz w:val="18"/>
                <w:szCs w:val="18"/>
                <w:color w:val="auto"/>
              </w:rPr>
              <w:t>Cash paid for income taxes</w:t>
            </w:r>
          </w:p>
        </w:tc>
        <w:tc>
          <w:tcPr>
            <w:tcW w:w="120" w:type="dxa"/>
            <w:vAlign w:val="bottom"/>
            <w:tcBorders>
              <w:top w:val="single" w:sz="8" w:color="CCEECC"/>
              <w:bottom w:val="single" w:sz="8" w:color="CCEECC"/>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CCEECC"/>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20" w:type="dxa"/>
            <w:vAlign w:val="bottom"/>
            <w:shd w:val="clear" w:color="auto" w:fill="CCEECC"/>
          </w:tcPr>
          <w:p>
            <w:pPr>
              <w:spacing w:after="0" w:line="151" w:lineRule="exact"/>
              <w:rPr>
                <w:sz w:val="20"/>
                <w:szCs w:val="20"/>
                <w:color w:val="auto"/>
              </w:rPr>
            </w:pPr>
            <w:r>
              <w:rPr>
                <w:rFonts w:ascii="Arial" w:cs="Arial" w:eastAsia="Arial" w:hAnsi="Arial"/>
                <w:sz w:val="17"/>
                <w:szCs w:val="17"/>
                <w:b w:val="1"/>
                <w:bCs w:val="1"/>
                <w:color w:val="auto"/>
              </w:rPr>
              <w:t>SUPPLEMENTAL DISCLOSURE OF NONCASH</w:t>
            </w:r>
          </w:p>
        </w:tc>
        <w:tc>
          <w:tcPr>
            <w:tcW w:w="120" w:type="dxa"/>
            <w:vAlign w:val="bottom"/>
            <w:shd w:val="clear" w:color="auto" w:fill="CCEECC"/>
          </w:tcPr>
          <w:p>
            <w:pPr>
              <w:spacing w:after="0"/>
              <w:rPr>
                <w:sz w:val="13"/>
                <w:szCs w:val="13"/>
                <w:color w:val="auto"/>
              </w:rPr>
            </w:pPr>
          </w:p>
        </w:tc>
        <w:tc>
          <w:tcPr>
            <w:tcW w:w="180" w:type="dxa"/>
            <w:vAlign w:val="bottom"/>
            <w:shd w:val="clear" w:color="auto" w:fill="CCEECC"/>
          </w:tcPr>
          <w:p>
            <w:pPr>
              <w:spacing w:after="0"/>
              <w:rPr>
                <w:sz w:val="13"/>
                <w:szCs w:val="13"/>
                <w:color w:val="auto"/>
              </w:rPr>
            </w:pPr>
          </w:p>
        </w:tc>
        <w:tc>
          <w:tcPr>
            <w:tcW w:w="174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20" w:type="dxa"/>
            <w:vAlign w:val="bottom"/>
            <w:shd w:val="clear" w:color="auto" w:fill="CCEECC"/>
          </w:tcPr>
          <w:p>
            <w:pPr>
              <w:spacing w:after="0"/>
              <w:rPr>
                <w:sz w:val="13"/>
                <w:szCs w:val="13"/>
                <w:color w:val="auto"/>
              </w:rPr>
            </w:pPr>
          </w:p>
        </w:tc>
        <w:tc>
          <w:tcPr>
            <w:tcW w:w="180" w:type="dxa"/>
            <w:vAlign w:val="bottom"/>
            <w:shd w:val="clear" w:color="auto" w:fill="CCEECC"/>
          </w:tcPr>
          <w:p>
            <w:pPr>
              <w:spacing w:after="0"/>
              <w:rPr>
                <w:sz w:val="13"/>
                <w:szCs w:val="13"/>
                <w:color w:val="auto"/>
              </w:rPr>
            </w:pPr>
          </w:p>
        </w:tc>
        <w:tc>
          <w:tcPr>
            <w:tcW w:w="172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INVESTING AND FINANCING ACTIVITIES:</w:t>
            </w:r>
          </w:p>
        </w:tc>
        <w:tc>
          <w:tcPr>
            <w:tcW w:w="1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Common stock issued for future services</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233,942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$0 and $6,923 for the years ended December 31, 2013 and 2012, respectively. The allowance for doubtful accounts was $0 as of December 31, 2013 and 2012.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revenue is recognized when it is earned. Revenues are generated either through the Company’s web-based activities, in which we earn revenue from advertising and lead generation activities, from our SampleMD activities by which we deliver eCoupons and eVouchers through a distribution network of ePrescribers and Electronic Health Record technology providers (channel partners), or from reselling services for other of our partners products that complement our business.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SampleMD business the company recognizes setup fees that are required for integrating client offerings and campaigns into the SampleMD content delivery system and network. Setup fees are recognized upon completion of the setup and launch of the client’s campaign within the SampleMD system. As the eCoupons and or eVouchers are distributed through the SampleMD platform and network of channel partners (a transaction), these transactions are recorded and revenue is recognized. Revenue for transactions can be realized as cost per distribution or cost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administered monthly and recognized as recurring monthly revenue.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on occasion has also resold products and or services that are available through our channel partners, and that is complementary to our core businesses and client base. In these events net revenue is recognized as this is a commission based revenue split that the company recognizes.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 depending upon if the revenue is generated through distributions and or redemptions and can also be specific to special considerations and campaigns. Traditionally, revenue share has been recognized between 25% and 50% of the transaction value. See Note 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included in the diluted earnings per share calculation for the year ended December 31, 2013. They have not been included in the diluted earnings per share calculation for the year ended December 31, 2012 since their effect is anti-dilutive.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December 31, 2013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940" w:type="dxa"/>
            <w:vAlign w:val="bottom"/>
            <w:tcBorders>
              <w:bottom w:val="single" w:sz="8" w:color="CCEECC"/>
            </w:tcBorders>
          </w:tcPr>
          <w:p>
            <w:pPr>
              <w:spacing w:after="0"/>
              <w:rPr>
                <w:sz w:val="20"/>
                <w:szCs w:val="20"/>
                <w:color w:val="auto"/>
              </w:rPr>
            </w:pPr>
          </w:p>
        </w:tc>
        <w:tc>
          <w:tcPr>
            <w:tcW w:w="4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3420" w:type="dxa"/>
            <w:vAlign w:val="bottom"/>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94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Insurance</w:t>
            </w:r>
          </w:p>
        </w:tc>
        <w:tc>
          <w:tcPr>
            <w:tcW w:w="48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6,722</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6,437</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940" w:type="dxa"/>
            <w:vAlign w:val="bottom"/>
          </w:tcPr>
          <w:p>
            <w:pPr>
              <w:ind w:left="80"/>
              <w:spacing w:after="0"/>
              <w:rPr>
                <w:sz w:val="20"/>
                <w:szCs w:val="20"/>
                <w:color w:val="auto"/>
              </w:rPr>
            </w:pPr>
            <w:r>
              <w:rPr>
                <w:rFonts w:ascii="Arial" w:cs="Arial" w:eastAsia="Arial" w:hAnsi="Arial"/>
                <w:sz w:val="18"/>
                <w:szCs w:val="18"/>
                <w:color w:val="auto"/>
              </w:rPr>
              <w:t>Rent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5,049</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94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4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31,672</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194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Legal</w:t>
            </w:r>
          </w:p>
        </w:tc>
        <w:tc>
          <w:tcPr>
            <w:tcW w:w="4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3420" w:type="dxa"/>
            <w:vAlign w:val="bottom"/>
          </w:tcPr>
          <w:p>
            <w:pPr>
              <w:spacing w:after="0"/>
              <w:rPr>
                <w:sz w:val="19"/>
                <w:szCs w:val="19"/>
                <w:color w:val="auto"/>
              </w:rPr>
            </w:pPr>
          </w:p>
        </w:tc>
      </w:tr>
      <w:tr>
        <w:trPr>
          <w:trHeight w:val="223"/>
        </w:trPr>
        <w:tc>
          <w:tcPr>
            <w:tcW w:w="3440" w:type="dxa"/>
            <w:vAlign w:val="bottom"/>
          </w:tcPr>
          <w:p>
            <w:pPr>
              <w:spacing w:after="0"/>
              <w:rPr>
                <w:sz w:val="19"/>
                <w:szCs w:val="19"/>
                <w:color w:val="auto"/>
              </w:rPr>
            </w:pPr>
          </w:p>
        </w:tc>
        <w:tc>
          <w:tcPr>
            <w:tcW w:w="194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w w:val="98"/>
              </w:rPr>
              <w:t>Total prepaid expenses</w:t>
            </w:r>
          </w:p>
        </w:tc>
        <w:tc>
          <w:tcPr>
            <w:tcW w:w="48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4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34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86"/>
        </w:trPr>
        <w:tc>
          <w:tcPr>
            <w:tcW w:w="3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4"/>
        </w:trPr>
        <w:tc>
          <w:tcPr>
            <w:tcW w:w="3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00" w:type="dxa"/>
            <w:vAlign w:val="bottom"/>
            <w:gridSpan w:val="2"/>
          </w:tcPr>
          <w:p>
            <w:pPr>
              <w:jc w:val="right"/>
              <w:ind w:right="150"/>
              <w:spacing w:after="0"/>
              <w:rPr>
                <w:sz w:val="20"/>
                <w:szCs w:val="20"/>
                <w:color w:val="auto"/>
              </w:rPr>
            </w:pPr>
            <w:r>
              <w:rPr>
                <w:rFonts w:ascii="Arial" w:cs="Arial" w:eastAsia="Arial" w:hAnsi="Arial"/>
                <w:sz w:val="18"/>
                <w:szCs w:val="18"/>
                <w:color w:val="auto"/>
              </w:rPr>
              <w:t>F-9</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December 31, 2013 and 2012:</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18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1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8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Borders>
              <w:bottom w:val="single" w:sz="8" w:color="CCEECC"/>
            </w:tcBorders>
          </w:tcPr>
          <w:p>
            <w:pPr>
              <w:spacing w:after="0"/>
              <w:rPr>
                <w:sz w:val="19"/>
                <w:szCs w:val="19"/>
                <w:color w:val="auto"/>
              </w:rPr>
            </w:pPr>
          </w:p>
        </w:tc>
      </w:tr>
      <w:tr>
        <w:trPr>
          <w:trHeight w:val="210"/>
        </w:trPr>
        <w:tc>
          <w:tcPr>
            <w:tcW w:w="21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Subtotal</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Pr>
          <w:p>
            <w:pPr>
              <w:ind w:left="8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(18,391)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(12,763)</w:t>
            </w:r>
          </w:p>
        </w:tc>
      </w:tr>
      <w:tr>
        <w:trPr>
          <w:trHeight w:val="223"/>
        </w:trPr>
        <w:tc>
          <w:tcPr>
            <w:tcW w:w="2400" w:type="dxa"/>
            <w:vAlign w:val="bottom"/>
            <w:tcBorders>
              <w:top w:val="single" w:sz="8" w:color="CCEECC"/>
              <w:bottom w:val="single" w:sz="8" w:color="CCEECC"/>
            </w:tcBorders>
            <w:gridSpan w:val="2"/>
            <w:shd w:val="clear" w:color="auto" w:fill="CCEECC"/>
          </w:tcPr>
          <w:p>
            <w:pPr>
              <w:ind w:left="260"/>
              <w:spacing w:after="0"/>
              <w:rPr>
                <w:sz w:val="20"/>
                <w:szCs w:val="20"/>
                <w:color w:val="auto"/>
              </w:rPr>
            </w:pPr>
            <w:r>
              <w:rPr>
                <w:rFonts w:ascii="Arial" w:cs="Arial" w:eastAsia="Arial" w:hAnsi="Arial"/>
                <w:sz w:val="18"/>
                <w:szCs w:val="18"/>
                <w:color w:val="auto"/>
                <w:w w:val="93"/>
              </w:rPr>
              <w:t>Property and equipment, net</w:t>
            </w: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20,685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$5,628 and $5,476 for the years ended December 31, 2013 and 2012,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their web-based technology, which consisted of the following as of December 31, 2013 and 2012:</w:t>
      </w:r>
    </w:p>
    <w:p>
      <w:pPr>
        <w:spacing w:after="0" w:line="250"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264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72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4"/>
              </w:rPr>
              <w:t>OptimizeRx web-based technology</w:t>
            </w: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r>
      <w:tr>
        <w:trPr>
          <w:trHeight w:val="216"/>
        </w:trPr>
        <w:tc>
          <w:tcPr>
            <w:tcW w:w="2640" w:type="dxa"/>
            <w:vAlign w:val="bottom"/>
          </w:tcPr>
          <w:p>
            <w:pPr>
              <w:ind w:left="80"/>
              <w:spacing w:after="0"/>
              <w:rPr>
                <w:sz w:val="20"/>
                <w:szCs w:val="20"/>
                <w:color w:val="auto"/>
              </w:rPr>
            </w:pPr>
            <w:r>
              <w:rPr>
                <w:rFonts w:ascii="Arial" w:cs="Arial" w:eastAsia="Arial" w:hAnsi="Arial"/>
                <w:sz w:val="18"/>
                <w:szCs w:val="18"/>
                <w:color w:val="auto"/>
                <w:w w:val="92"/>
              </w:rPr>
              <w:t>SampleMD web-based technology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8"/>
                <w:szCs w:val="18"/>
                <w:color w:val="auto"/>
              </w:rPr>
            </w:pPr>
          </w:p>
        </w:tc>
      </w:tr>
      <w:tr>
        <w:trPr>
          <w:trHeight w:val="202"/>
        </w:trPr>
        <w:tc>
          <w:tcPr>
            <w:tcW w:w="264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SampleMD 2.0 web-based</w:t>
            </w:r>
          </w:p>
        </w:tc>
        <w:tc>
          <w:tcPr>
            <w:tcW w:w="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44"/>
        </w:trPr>
        <w:tc>
          <w:tcPr>
            <w:tcW w:w="2640" w:type="dxa"/>
            <w:vAlign w:val="bottom"/>
            <w:shd w:val="clear" w:color="auto" w:fill="CCEECC"/>
          </w:tcPr>
          <w:p>
            <w:pPr>
              <w:ind w:left="80"/>
              <w:spacing w:after="0"/>
              <w:rPr>
                <w:sz w:val="20"/>
                <w:szCs w:val="20"/>
                <w:color w:val="auto"/>
              </w:rPr>
            </w:pPr>
            <w:r>
              <w:rPr>
                <w:rFonts w:ascii="Arial" w:cs="Arial" w:eastAsia="Arial" w:hAnsi="Arial"/>
                <w:sz w:val="18"/>
                <w:szCs w:val="18"/>
                <w:color w:val="auto"/>
              </w:rPr>
              <w:t>technology</w:t>
            </w:r>
          </w:p>
        </w:tc>
        <w:tc>
          <w:tcPr>
            <w:tcW w:w="80" w:type="dxa"/>
            <w:vAlign w:val="bottom"/>
            <w:shd w:val="clear" w:color="auto" w:fill="CCEECC"/>
          </w:tcPr>
          <w:p>
            <w:pPr>
              <w:spacing w:after="0"/>
              <w:rPr>
                <w:sz w:val="21"/>
                <w:szCs w:val="21"/>
                <w:color w:val="auto"/>
              </w:rPr>
            </w:pPr>
          </w:p>
        </w:tc>
        <w:tc>
          <w:tcPr>
            <w:tcW w:w="240" w:type="dxa"/>
            <w:vAlign w:val="bottom"/>
            <w:tcBorders>
              <w:bottom w:val="single" w:sz="8" w:color="auto"/>
            </w:tcBorders>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148,060</w:t>
            </w:r>
          </w:p>
        </w:tc>
        <w:tc>
          <w:tcPr>
            <w:tcW w:w="6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40" w:type="dxa"/>
            <w:vAlign w:val="bottom"/>
            <w:tcBorders>
              <w:bottom w:val="single" w:sz="8" w:color="auto"/>
            </w:tcBorders>
            <w:shd w:val="clear" w:color="auto" w:fill="CCEECC"/>
          </w:tcPr>
          <w:p>
            <w:pPr>
              <w:spacing w:after="0"/>
              <w:rPr>
                <w:sz w:val="21"/>
                <w:szCs w:val="21"/>
                <w:color w:val="auto"/>
              </w:rPr>
            </w:pPr>
          </w:p>
        </w:tc>
        <w:tc>
          <w:tcPr>
            <w:tcW w:w="8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1"/>
                <w:szCs w:val="21"/>
                <w:color w:val="auto"/>
              </w:rPr>
            </w:pPr>
          </w:p>
        </w:tc>
      </w:tr>
      <w:tr>
        <w:trPr>
          <w:trHeight w:val="210"/>
        </w:trPr>
        <w:tc>
          <w:tcPr>
            <w:tcW w:w="2640" w:type="dxa"/>
            <w:vAlign w:val="bottom"/>
          </w:tcPr>
          <w:p>
            <w:pPr>
              <w:ind w:left="260"/>
              <w:spacing w:after="0"/>
              <w:rPr>
                <w:sz w:val="20"/>
                <w:szCs w:val="20"/>
                <w:color w:val="auto"/>
              </w:rPr>
            </w:pPr>
            <w:r>
              <w:rPr>
                <w:rFonts w:ascii="Arial" w:cs="Arial" w:eastAsia="Arial" w:hAnsi="Arial"/>
                <w:sz w:val="18"/>
                <w:szCs w:val="18"/>
                <w:color w:val="auto"/>
                <w:w w:val="92"/>
              </w:rPr>
              <w:t>Subtotal, web-based technology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904,710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756,650</w:t>
            </w:r>
          </w:p>
        </w:tc>
        <w:tc>
          <w:tcPr>
            <w:tcW w:w="60" w:type="dxa"/>
            <w:vAlign w:val="bottom"/>
          </w:tcPr>
          <w:p>
            <w:pPr>
              <w:spacing w:after="0"/>
              <w:rPr>
                <w:sz w:val="18"/>
                <w:szCs w:val="18"/>
                <w:color w:val="auto"/>
              </w:rPr>
            </w:pPr>
          </w:p>
        </w:tc>
      </w:tr>
      <w:tr>
        <w:trPr>
          <w:trHeight w:val="216"/>
        </w:trPr>
        <w:tc>
          <w:tcPr>
            <w:tcW w:w="2640" w:type="dxa"/>
            <w:vAlign w:val="bottom"/>
            <w:shd w:val="clear" w:color="auto" w:fill="CCEECC"/>
          </w:tcPr>
          <w:p>
            <w:pPr>
              <w:ind w:left="80"/>
              <w:spacing w:after="0"/>
              <w:rPr>
                <w:sz w:val="20"/>
                <w:szCs w:val="20"/>
                <w:color w:val="auto"/>
              </w:rPr>
            </w:pPr>
            <w:r>
              <w:rPr>
                <w:rFonts w:ascii="Arial" w:cs="Arial" w:eastAsia="Arial" w:hAnsi="Arial"/>
                <w:sz w:val="18"/>
                <w:szCs w:val="18"/>
                <w:color w:val="auto"/>
              </w:rPr>
              <w:t>Accumulated amortization</w:t>
            </w:r>
          </w:p>
        </w:tc>
        <w:tc>
          <w:tcPr>
            <w:tcW w:w="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(440,641)</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(310,352)</w:t>
            </w:r>
          </w:p>
        </w:tc>
      </w:tr>
      <w:tr>
        <w:trPr>
          <w:trHeight w:val="230"/>
        </w:trPr>
        <w:tc>
          <w:tcPr>
            <w:tcW w:w="2640" w:type="dxa"/>
            <w:vAlign w:val="bottom"/>
          </w:tcPr>
          <w:p>
            <w:pPr>
              <w:ind w:left="80"/>
              <w:spacing w:after="0"/>
              <w:rPr>
                <w:sz w:val="20"/>
                <w:szCs w:val="20"/>
                <w:color w:val="auto"/>
              </w:rPr>
            </w:pPr>
            <w:r>
              <w:rPr>
                <w:rFonts w:ascii="Arial" w:cs="Arial" w:eastAsia="Arial" w:hAnsi="Arial"/>
                <w:sz w:val="18"/>
                <w:szCs w:val="18"/>
                <w:color w:val="auto"/>
              </w:rPr>
              <w:t>Impairment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(59,083)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(59,083)</w:t>
            </w:r>
          </w:p>
        </w:tc>
      </w:tr>
      <w:tr>
        <w:trPr>
          <w:trHeight w:val="223"/>
        </w:trPr>
        <w:tc>
          <w:tcPr>
            <w:tcW w:w="264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Web-based technology, net</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auto"/>
              <w:bottom w:val="single" w:sz="8" w:color="auto"/>
            </w:tcBorders>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404,986</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auto"/>
              <w:bottom w:val="single" w:sz="8" w:color="auto"/>
            </w:tcBorders>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387,215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is recorded using the straight-line method over a period of five years. The Company is currently developing enhanced SampleMD web-based technology and has capitalized $148,060. The development is currently in process. It was not completed at December 31, 2013. Accordingly, no amortization has been recorded. The development is expected to be completed in 2014. Amortization expense for the web-based technology costs was $130,289 and $126,923 for the years ended December 31,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26, 2010, the Company acquired from an officer and shareholder the technical contributions and assignment of all exclusive rights to and for the SampleMD patent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and defending the SampleMD patent, which consisted of the following as of December 31, 2013 and 2012:</w:t>
      </w:r>
    </w:p>
    <w:p>
      <w:pPr>
        <w:spacing w:after="0" w:line="262"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262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w w:val="91"/>
              </w:rPr>
              <w:t>Patent rights and intangible assets</w:t>
            </w:r>
          </w:p>
        </w:tc>
        <w:tc>
          <w:tcPr>
            <w:tcW w:w="10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18"/>
                <w:szCs w:val="18"/>
                <w:color w:val="auto"/>
              </w:rPr>
            </w:pPr>
          </w:p>
        </w:tc>
      </w:tr>
      <w:tr>
        <w:trPr>
          <w:trHeight w:val="216"/>
        </w:trPr>
        <w:tc>
          <w:tcPr>
            <w:tcW w:w="2620" w:type="dxa"/>
            <w:vAlign w:val="bottom"/>
          </w:tcPr>
          <w:p>
            <w:pPr>
              <w:ind w:left="80"/>
              <w:spacing w:after="0"/>
              <w:rPr>
                <w:sz w:val="20"/>
                <w:szCs w:val="20"/>
                <w:color w:val="auto"/>
              </w:rPr>
            </w:pPr>
            <w:r>
              <w:rPr>
                <w:rFonts w:ascii="Arial" w:cs="Arial" w:eastAsia="Arial" w:hAnsi="Arial"/>
                <w:sz w:val="18"/>
                <w:szCs w:val="18"/>
                <w:color w:val="auto"/>
              </w:rPr>
              <w:t>Patent defense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87,993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New patents and trademarks</w:t>
            </w:r>
          </w:p>
        </w:tc>
        <w:tc>
          <w:tcPr>
            <w:tcW w:w="10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62,595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r>
      <w:tr>
        <w:trPr>
          <w:trHeight w:val="230"/>
        </w:trPr>
        <w:tc>
          <w:tcPr>
            <w:tcW w:w="2620" w:type="dxa"/>
            <w:vAlign w:val="bottom"/>
          </w:tcPr>
          <w:p>
            <w:pPr>
              <w:ind w:left="80"/>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(194,638)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(136,764)</w:t>
            </w:r>
          </w:p>
        </w:tc>
      </w:tr>
      <w:tr>
        <w:trPr>
          <w:trHeight w:val="182"/>
        </w:trPr>
        <w:tc>
          <w:tcPr>
            <w:tcW w:w="2620" w:type="dxa"/>
            <w:vAlign w:val="bottom"/>
            <w:tcBorders>
              <w:top w:val="single" w:sz="8" w:color="CCEECC"/>
            </w:tcBorders>
            <w:shd w:val="clear" w:color="auto" w:fill="CCEECC"/>
          </w:tcPr>
          <w:p>
            <w:pPr>
              <w:ind w:left="260"/>
              <w:spacing w:after="0" w:line="182" w:lineRule="exact"/>
              <w:rPr>
                <w:sz w:val="20"/>
                <w:szCs w:val="20"/>
                <w:color w:val="auto"/>
              </w:rPr>
            </w:pPr>
            <w:r>
              <w:rPr>
                <w:rFonts w:ascii="Arial" w:cs="Arial" w:eastAsia="Arial" w:hAnsi="Arial"/>
                <w:sz w:val="18"/>
                <w:szCs w:val="18"/>
                <w:color w:val="auto"/>
              </w:rPr>
              <w:t>Patent rights and intangible</w:t>
            </w:r>
          </w:p>
        </w:tc>
        <w:tc>
          <w:tcPr>
            <w:tcW w:w="100" w:type="dxa"/>
            <w:vAlign w:val="bottom"/>
            <w:tcBorders>
              <w:top w:val="single" w:sz="8" w:color="CCEECC"/>
            </w:tcBorders>
            <w:shd w:val="clear" w:color="auto" w:fill="CCEECC"/>
          </w:tcPr>
          <w:p>
            <w:pPr>
              <w:spacing w:after="0"/>
              <w:rPr>
                <w:sz w:val="15"/>
                <w:szCs w:val="15"/>
                <w:color w:val="auto"/>
              </w:rPr>
            </w:pPr>
          </w:p>
        </w:tc>
        <w:tc>
          <w:tcPr>
            <w:tcW w:w="240" w:type="dxa"/>
            <w:vAlign w:val="bottom"/>
            <w:tcBorders>
              <w:top w:val="single" w:sz="8" w:color="auto"/>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40" w:type="dxa"/>
            <w:vAlign w:val="bottom"/>
            <w:tcBorders>
              <w:top w:val="single" w:sz="8" w:color="auto"/>
            </w:tcBorders>
            <w:shd w:val="clear" w:color="auto" w:fill="CCEECC"/>
          </w:tcPr>
          <w:p>
            <w:pPr>
              <w:spacing w:after="0"/>
              <w:rPr>
                <w:sz w:val="15"/>
                <w:szCs w:val="15"/>
                <w:color w:val="auto"/>
              </w:rPr>
            </w:pPr>
          </w:p>
        </w:tc>
        <w:tc>
          <w:tcPr>
            <w:tcW w:w="8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r>
      <w:tr>
        <w:trPr>
          <w:trHeight w:val="257"/>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assets, net</w:t>
            </w:r>
          </w:p>
        </w:tc>
        <w:tc>
          <w:tcPr>
            <w:tcW w:w="340" w:type="dxa"/>
            <w:vAlign w:val="bottom"/>
            <w:gridSpan w:val="2"/>
            <w:shd w:val="clear" w:color="auto" w:fill="CCEEC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60" w:type="dxa"/>
            <w:vAlign w:val="bottom"/>
            <w:shd w:val="clear" w:color="auto" w:fill="CCEECC"/>
          </w:tcPr>
          <w:p>
            <w:pPr>
              <w:spacing w:after="0"/>
              <w:rPr>
                <w:sz w:val="22"/>
                <w:szCs w:val="22"/>
                <w:color w:val="auto"/>
              </w:rPr>
            </w:pPr>
          </w:p>
        </w:tc>
        <w:tc>
          <w:tcPr>
            <w:tcW w:w="300" w:type="dxa"/>
            <w:vAlign w:val="bottom"/>
            <w:gridSpan w:val="2"/>
            <w:shd w:val="clear" w:color="auto" w:fill="CCEEC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60" w:type="dxa"/>
            <w:vAlign w:val="bottom"/>
            <w:shd w:val="clear" w:color="auto" w:fill="CCEECC"/>
          </w:tcPr>
          <w:p>
            <w:pPr>
              <w:spacing w:after="0"/>
              <w:rPr>
                <w:sz w:val="22"/>
                <w:szCs w:val="22"/>
                <w:color w:val="auto"/>
              </w:rPr>
            </w:pPr>
          </w:p>
        </w:tc>
      </w:tr>
      <w:tr>
        <w:trPr>
          <w:trHeight w:val="20"/>
        </w:trPr>
        <w:tc>
          <w:tcPr>
            <w:tcW w:w="262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$57,874 and $54,705 for the years ended December 31,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7 – ACCRUED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Accrued expenses at December 31, 2013 and 2012 consisted of amounts owed to the Company’s outside independent auditors for services rendered for periods reported on in these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8 – DEFERRED 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$4,252 and $49,252 as of December 31, 2013 and 2012,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9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2013. There were 14,773,496 and 14,232,496 common shares issued and outstanding at December 31, 2013 and 2012, respectively.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2012, the Company entered into a consulting agreement with North Coast Advisors, Inc. for various services. The Company agreed to issue 40,000 shares of common stock as of the date of the contract. However, these shares were not issued until July 12, 2012. The Company also agreed to issue an additional 40,000 shares every six months in alignment with the agreement renewal up to the two years of the agreement. The first 40,000 shares were valued at the Company’s common stock price as of the date of the contract, which was $1.12/share and has been expensed. No additional shares were issued and the agreement was voided and replaced by a new agreement as noted below.</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20, 2013, the Company entered into a separation agreement that includes post-employment consulting services with a former officer. The Company agreed to issue 500,000 shares of common stock, 250,000 shares immediately and 250,000 by January 1, 2014. The first 250,000 shares have been issued and the Company has recognized the entire issuance in the December 31, 2013 shares outstanding. The shares were valued at $505,000 and $174,808 of that amount remains as deferred stock compensation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and undeclared dividends of $350,000 that were due in February and September 2013 for a total undeclared amount of $700,000 as of December 31, 2013.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1,000,000 shares of common stock and bear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of $133,580 was recognized over the first five months of 2012.</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and $16,790 during the years ended December 31, 2012 and 2011, respectively.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Company recognized expenses of $91,811 and $8,346 during the years ended December 31, 2012 and 2011,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March 31, 2012, the Company issued 50,000 stock options to 4 non-employees at an exercise price of $0.89. The options were valued on the grant date using the Black-Scholes option-pricing model with the following assumptions: dividend yield of 0%, expected volatility of 198%, risk-free interest rate of 0.65% and expected life of 48 months. The total value of the options was $35,091. The options vest over 4 months. The Company recognized share-based compensation expense of $35,091 during the six months ended June 30, 2012.</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 over 1 year. The Company recognized share-based compensation expense of $31,672 and $8,335 during the years ended December 31, 2013 and 2012, respectively.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30, 2013, the Company issued 50,000 stock options to 6 employees at an exercise price of $1.00. The options were valued on the grant date using the Black-Scholes option-pricing model with the following assumptions: dividend yield of 0%, expected volatility of 171%, risk-free interest rate of 1.30% and expected life of 60 months. The total value of the options was $46,322. The options vest over one year. The Company recognized share-based compensation expense of $7,720 during the year ended December 31, 2013. The remaining balance will be recognized during 2014.</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8, 2013, the Company issued 75,000 stock options to 2 non-employees at an exercise price of $1.00. The options were valued on the grant date using the Black-Scholes option-pricing model with the following assumptions: dividend yield of 0%, expected volatility of 171%, risk-free interest rate of 1.42% and expected life of 60 months. The total value of the options was $70,961. The options vest over 1 year. The Company recognized share-based compensation expense of $11,827 during the three months ended December 31, 2013. The remaining balance of $59,134 has been recorded as deferred stock compensation and will be recognized during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options outstanding as of December 31, 2013:</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80" w:type="dxa"/>
            <w:vAlign w:val="bottom"/>
            <w:tcBorders>
              <w:bottom w:val="single" w:sz="8" w:color="CCEECC"/>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Number of Options</w:t>
            </w:r>
          </w:p>
        </w:tc>
        <w:tc>
          <w:tcPr>
            <w:tcW w:w="4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gridSpan w:val="2"/>
            <w:shd w:val="clear" w:color="auto" w:fill="CCEECC"/>
          </w:tcPr>
          <w:p>
            <w:pPr>
              <w:ind w:left="40"/>
              <w:spacing w:after="0" w:line="182" w:lineRule="exact"/>
              <w:rPr>
                <w:sz w:val="20"/>
                <w:szCs w:val="20"/>
                <w:color w:val="auto"/>
              </w:rPr>
            </w:pPr>
            <w:r>
              <w:rPr>
                <w:rFonts w:ascii="Arial" w:cs="Arial" w:eastAsia="Arial" w:hAnsi="Arial"/>
                <w:sz w:val="18"/>
                <w:szCs w:val="18"/>
                <w:color w:val="auto"/>
                <w:w w:val="96"/>
              </w:rPr>
              <w:t>Outstanding, January 1,</w:t>
            </w:r>
          </w:p>
        </w:tc>
        <w:tc>
          <w:tcPr>
            <w:tcW w:w="180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405,000</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- 2012</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2012</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(455,000)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w w:val="97"/>
              </w:rPr>
              <w:t>Balance, December</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31, 2012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2013</w:t>
            </w:r>
          </w:p>
        </w:tc>
        <w:tc>
          <w:tcPr>
            <w:tcW w:w="1800" w:type="dxa"/>
            <w:vAlign w:val="bottom"/>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2013</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December 31,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CC"/>
          </w:tcPr>
          <w:p>
            <w:pPr>
              <w:spacing w:after="0"/>
              <w:rPr>
                <w:sz w:val="20"/>
                <w:szCs w:val="20"/>
                <w:color w:val="auto"/>
              </w:rPr>
            </w:pP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as of December 31, 2013:</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80" w:type="dxa"/>
            <w:vAlign w:val="bottom"/>
            <w:tcBorders>
              <w:bottom w:val="single" w:sz="8" w:color="CCEECC"/>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Number of Warrants</w:t>
            </w:r>
          </w:p>
        </w:tc>
        <w:tc>
          <w:tcPr>
            <w:tcW w:w="4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gridSpan w:val="2"/>
            <w:shd w:val="clear" w:color="auto" w:fill="CCEECC"/>
          </w:tcPr>
          <w:p>
            <w:pPr>
              <w:ind w:left="40"/>
              <w:spacing w:after="0" w:line="182" w:lineRule="exact"/>
              <w:rPr>
                <w:sz w:val="20"/>
                <w:szCs w:val="20"/>
                <w:color w:val="auto"/>
              </w:rPr>
            </w:pPr>
            <w:r>
              <w:rPr>
                <w:rFonts w:ascii="Arial" w:cs="Arial" w:eastAsia="Arial" w:hAnsi="Arial"/>
                <w:sz w:val="18"/>
                <w:szCs w:val="18"/>
                <w:color w:val="auto"/>
                <w:w w:val="96"/>
              </w:rPr>
              <w:t>Outstanding, January 1,</w:t>
            </w:r>
          </w:p>
        </w:tc>
        <w:tc>
          <w:tcPr>
            <w:tcW w:w="180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- 2012</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w w:val="97"/>
              </w:rPr>
              <w:t>Balance, December</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31, 2012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- 2013</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- 2013</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(686,100)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December 31,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13,658,334</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CC"/>
          </w:tcPr>
          <w:p>
            <w:pPr>
              <w:spacing w:after="0"/>
              <w:rPr>
                <w:sz w:val="20"/>
                <w:szCs w:val="20"/>
                <w:color w:val="auto"/>
              </w:rPr>
            </w:pP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3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Year ended December 31, 2014</w:t>
            </w:r>
          </w:p>
        </w:tc>
        <w:tc>
          <w:tcPr>
            <w:tcW w:w="260" w:type="dxa"/>
            <w:vAlign w:val="bottom"/>
            <w:gridSpan w:val="2"/>
            <w:shd w:val="clear" w:color="auto" w:fill="CCEECC"/>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55,542</w:t>
            </w:r>
          </w:p>
        </w:tc>
        <w:tc>
          <w:tcPr>
            <w:tcW w:w="3720" w:type="dxa"/>
            <w:vAlign w:val="bottom"/>
          </w:tcPr>
          <w:p>
            <w:pPr>
              <w:spacing w:after="0"/>
              <w:rPr>
                <w:sz w:val="19"/>
                <w:szCs w:val="19"/>
                <w:color w:val="auto"/>
              </w:rPr>
            </w:pPr>
          </w:p>
        </w:tc>
      </w:tr>
      <w:tr>
        <w:trPr>
          <w:trHeight w:val="223"/>
        </w:trPr>
        <w:tc>
          <w:tcPr>
            <w:tcW w:w="3720" w:type="dxa"/>
            <w:vAlign w:val="bottom"/>
          </w:tcPr>
          <w:p>
            <w:pPr>
              <w:spacing w:after="0"/>
              <w:rPr>
                <w:sz w:val="19"/>
                <w:szCs w:val="19"/>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Total lease commitment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55,542</w:t>
            </w: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86"/>
        </w:trPr>
        <w:tc>
          <w:tcPr>
            <w:tcW w:w="37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r>
        <w:trPr>
          <w:trHeight w:val="224"/>
        </w:trPr>
        <w:tc>
          <w:tcPr>
            <w:tcW w:w="3720" w:type="dxa"/>
            <w:vAlign w:val="bottom"/>
          </w:tcPr>
          <w:p>
            <w:pPr>
              <w:spacing w:after="0"/>
              <w:rPr>
                <w:sz w:val="19"/>
                <w:szCs w:val="19"/>
                <w:color w:val="auto"/>
              </w:rPr>
            </w:pPr>
          </w:p>
        </w:tc>
        <w:tc>
          <w:tcPr>
            <w:tcW w:w="3020" w:type="dxa"/>
            <w:vAlign w:val="bottom"/>
          </w:tcPr>
          <w:p>
            <w:pPr>
              <w:jc w:val="right"/>
              <w:ind w:right="770"/>
              <w:spacing w:after="0"/>
              <w:rPr>
                <w:sz w:val="20"/>
                <w:szCs w:val="20"/>
                <w:color w:val="auto"/>
              </w:rPr>
            </w:pPr>
            <w:r>
              <w:rPr>
                <w:rFonts w:ascii="Arial" w:cs="Arial" w:eastAsia="Arial" w:hAnsi="Arial"/>
                <w:sz w:val="18"/>
                <w:szCs w:val="18"/>
                <w:color w:val="auto"/>
              </w:rPr>
              <w:t>F-15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two major customers that accounted for 58% and two major customers that accounted for 52% of the Company’s revenues for the years ended December 31, 2013 and 2012, respectively. The Company expects to continue to maintain these relationships with the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2013, the Company incurred net income of approximately $216,000 but has no tax liability. The Company began operations in 2007 and has previous net operating loss carry-forwards of approximately $13,934,000 through December 31, 2012. The cumulative loss of approximately $13,718,000 will be carried forward and can be used through the year 2033 to offset future taxable income. In the future, the cumulative net operating loss carry-forward for income tax purposes may differ from the cumulative financial statement loss due to timing differences between book and tax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years ended December 31, 2013 and 2012:</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60" w:type="dxa"/>
            <w:vAlign w:val="bottom"/>
            <w:vMerge w:val="restart"/>
          </w:tcPr>
          <w:p>
            <w:pPr>
              <w:spacing w:after="0"/>
              <w:rPr>
                <w:sz w:val="20"/>
                <w:szCs w:val="20"/>
                <w:color w:val="auto"/>
              </w:rPr>
            </w:pPr>
            <w:r>
              <w:rPr>
                <w:rFonts w:ascii="Arial" w:cs="Arial" w:eastAsia="Arial" w:hAnsi="Arial"/>
                <w:sz w:val="18"/>
                <w:szCs w:val="18"/>
                <w:color w:val="auto"/>
                <w:w w:val="94"/>
              </w:rPr>
              <w:t>Federal income tax (expense)</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benefit attributable to:</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CC"/>
          </w:tcPr>
          <w:p>
            <w:pPr>
              <w:ind w:left="80"/>
              <w:spacing w:after="0"/>
              <w:rPr>
                <w:sz w:val="20"/>
                <w:szCs w:val="20"/>
                <w:color w:val="auto"/>
              </w:rPr>
            </w:pPr>
            <w:r>
              <w:rPr>
                <w:rFonts w:ascii="Arial" w:cs="Arial" w:eastAsia="Arial" w:hAnsi="Arial"/>
                <w:sz w:val="18"/>
                <w:szCs w:val="18"/>
                <w:color w:val="auto"/>
              </w:rPr>
              <w:t>Current operations</w:t>
            </w:r>
          </w:p>
        </w:tc>
        <w:tc>
          <w:tcPr>
            <w:tcW w:w="36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(73,000)</w:t>
            </w:r>
          </w:p>
        </w:tc>
        <w:tc>
          <w:tcPr>
            <w:tcW w:w="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155,000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80"/>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182"/>
        </w:trPr>
        <w:tc>
          <w:tcPr>
            <w:tcW w:w="2260" w:type="dxa"/>
            <w:vAlign w:val="bottom"/>
            <w:tcBorders>
              <w:top w:val="single" w:sz="8" w:color="CCEECC"/>
            </w:tcBorders>
            <w:shd w:val="clear" w:color="auto" w:fill="CCEECC"/>
          </w:tcPr>
          <w:p>
            <w:pPr>
              <w:ind w:left="260"/>
              <w:spacing w:after="0" w:line="182" w:lineRule="exact"/>
              <w:rPr>
                <w:sz w:val="20"/>
                <w:szCs w:val="20"/>
                <w:color w:val="auto"/>
              </w:rPr>
            </w:pPr>
            <w:r>
              <w:rPr>
                <w:rFonts w:ascii="Arial" w:cs="Arial" w:eastAsia="Arial" w:hAnsi="Arial"/>
                <w:sz w:val="18"/>
                <w:szCs w:val="18"/>
                <w:color w:val="auto"/>
              </w:rPr>
              <w:t>Net provision for federal</w:t>
            </w:r>
          </w:p>
        </w:tc>
        <w:tc>
          <w:tcPr>
            <w:tcW w:w="14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7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260" w:type="dxa"/>
            <w:vAlign w:val="bottom"/>
            <w:shd w:val="clear" w:color="auto" w:fill="CCEECC"/>
          </w:tcPr>
          <w:p>
            <w:pPr>
              <w:spacing w:after="0"/>
              <w:rPr>
                <w:sz w:val="20"/>
                <w:szCs w:val="20"/>
                <w:color w:val="auto"/>
              </w:rPr>
            </w:pPr>
            <w:r>
              <w:rPr>
                <w:rFonts w:ascii="Arial" w:cs="Arial" w:eastAsia="Arial" w:hAnsi="Arial"/>
                <w:sz w:val="18"/>
                <w:szCs w:val="18"/>
                <w:color w:val="auto"/>
              </w:rPr>
              <w:t>income tax</w:t>
            </w:r>
          </w:p>
        </w:tc>
        <w:tc>
          <w:tcPr>
            <w:tcW w:w="36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2"/>
                <w:szCs w:val="22"/>
                <w:color w:val="auto"/>
              </w:rPr>
            </w:pPr>
          </w:p>
        </w:tc>
        <w:tc>
          <w:tcPr>
            <w:tcW w:w="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2013 and 2012:</w:t>
      </w:r>
    </w:p>
    <w:p>
      <w:pPr>
        <w:spacing w:after="0" w:line="184"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60" w:type="dxa"/>
            <w:vAlign w:val="bottom"/>
            <w:vMerge w:val="restart"/>
          </w:tcPr>
          <w:p>
            <w:pPr>
              <w:spacing w:after="0"/>
              <w:rPr>
                <w:sz w:val="20"/>
                <w:szCs w:val="20"/>
                <w:color w:val="auto"/>
              </w:rPr>
            </w:pPr>
            <w:r>
              <w:rPr>
                <w:rFonts w:ascii="Arial" w:cs="Arial" w:eastAsia="Arial" w:hAnsi="Arial"/>
                <w:sz w:val="18"/>
                <w:szCs w:val="18"/>
                <w:color w:val="auto"/>
                <w:w w:val="92"/>
              </w:rPr>
              <w:t>Deferred tax asset attributable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to:</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CC"/>
          </w:tcPr>
          <w:p>
            <w:pPr>
              <w:ind w:left="80"/>
              <w:spacing w:after="0"/>
              <w:rPr>
                <w:sz w:val="20"/>
                <w:szCs w:val="20"/>
                <w:color w:val="auto"/>
              </w:rPr>
            </w:pPr>
            <w:r>
              <w:rPr>
                <w:rFonts w:ascii="Arial" w:cs="Arial" w:eastAsia="Arial" w:hAnsi="Arial"/>
                <w:sz w:val="18"/>
                <w:szCs w:val="18"/>
                <w:color w:val="auto"/>
                <w:w w:val="95"/>
              </w:rPr>
              <w:t>Net operating loss carryover</w:t>
            </w:r>
          </w:p>
        </w:tc>
        <w:tc>
          <w:tcPr>
            <w:tcW w:w="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4,665,000</w:t>
            </w:r>
          </w:p>
        </w:tc>
        <w:tc>
          <w:tcPr>
            <w:tcW w:w="60" w:type="dxa"/>
            <w:vAlign w:val="bottom"/>
            <w:shd w:val="clear" w:color="auto" w:fill="CCEECC"/>
          </w:tcPr>
          <w:p>
            <w:pPr>
              <w:spacing w:after="0"/>
              <w:rPr>
                <w:sz w:val="18"/>
                <w:szCs w:val="18"/>
                <w:color w:val="auto"/>
              </w:rPr>
            </w:pP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4,738,000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80"/>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(4,665,000)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(4,738,000)</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Net deferred tax asset</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$13,718,000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14, 2013, the Company hired a new CEO. The employment agreement required annual compensation of $175,000 that was to be accrued and deferred until at least January 1, 2014. Additionally, the agreement required the issuance of 2,000,000 options with an exercise price of $1.00 for a term of five years. The options were not exercisable until at least January 1, 2014, and were only exercisable after reaching certain financial terms and conditions. Due to these restrictions, no accrual was made for the issuance of these options.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20, 2013, the Company entered into a separation agreement with the CEO. As part of the terms of the separation agreement, the accrued compensation up to the date of separation was paid and the options were terminated.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years ended December 31, 2013 and 2012, respectively:</w:t>
      </w:r>
    </w:p>
    <w:p>
      <w:pPr>
        <w:spacing w:after="0" w:line="225" w:lineRule="exact"/>
        <w:rPr>
          <w:sz w:val="20"/>
          <w:szCs w:val="20"/>
          <w:color w:val="auto"/>
        </w:rPr>
      </w:pPr>
    </w:p>
    <w:tbl>
      <w:tblPr>
        <w:tblLayout w:type="fixed"/>
        <w:tblInd w:w="316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Years ended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Years ended</w:t>
            </w:r>
          </w:p>
        </w:tc>
      </w:tr>
      <w:tr>
        <w:trPr>
          <w:trHeight w:val="230"/>
        </w:trPr>
        <w:tc>
          <w:tcPr>
            <w:tcW w:w="272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December 31,</w:t>
            </w:r>
          </w:p>
        </w:tc>
      </w:tr>
      <w:tr>
        <w:trPr>
          <w:trHeight w:val="230"/>
        </w:trPr>
        <w:tc>
          <w:tcPr>
            <w:tcW w:w="272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40" w:type="dxa"/>
            <w:vAlign w:val="bottom"/>
            <w:tcBorders>
              <w:bottom w:val="single" w:sz="8" w:color="auto"/>
            </w:tcBorders>
          </w:tcPr>
          <w:p>
            <w:pPr>
              <w:spacing w:after="0"/>
              <w:rPr>
                <w:sz w:val="20"/>
                <w:szCs w:val="20"/>
                <w:color w:val="auto"/>
              </w:rPr>
            </w:pPr>
          </w:p>
        </w:tc>
      </w:tr>
      <w:tr>
        <w:trPr>
          <w:trHeight w:val="210"/>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47,105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57,218</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552,824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263,396</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100,077</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19,148</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Salaries, wages and benefits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1,319,712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1,184,367</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Rent</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60,592</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62,362</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193,971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187,104</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411,412</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285,605</w:t>
            </w:r>
          </w:p>
        </w:tc>
        <w:tc>
          <w:tcPr>
            <w:tcW w:w="40" w:type="dxa"/>
            <w:vAlign w:val="bottom"/>
            <w:shd w:val="clear" w:color="auto" w:fill="CCEECC"/>
          </w:tcPr>
          <w:p>
            <w:pPr>
              <w:spacing w:after="0"/>
              <w:rPr>
                <w:sz w:val="18"/>
                <w:szCs w:val="18"/>
                <w:color w:val="auto"/>
              </w:rPr>
            </w:pPr>
          </w:p>
        </w:tc>
      </w:tr>
      <w:tr>
        <w:trPr>
          <w:trHeight w:val="230"/>
        </w:trPr>
        <w:tc>
          <w:tcPr>
            <w:tcW w:w="272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288,297</w:t>
            </w:r>
          </w:p>
        </w:tc>
        <w:tc>
          <w:tcPr>
            <w:tcW w:w="6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269,448</w:t>
            </w:r>
          </w:p>
        </w:tc>
        <w:tc>
          <w:tcPr>
            <w:tcW w:w="40" w:type="dxa"/>
            <w:vAlign w:val="bottom"/>
            <w:tcBorders>
              <w:bottom w:val="single" w:sz="8" w:color="CCEECC"/>
            </w:tcBorders>
          </w:tcPr>
          <w:p>
            <w:pPr>
              <w:spacing w:after="0"/>
              <w:rPr>
                <w:sz w:val="19"/>
                <w:szCs w:val="19"/>
                <w:color w:val="auto"/>
              </w:rPr>
            </w:pPr>
          </w:p>
        </w:tc>
      </w:tr>
      <w:tr>
        <w:trPr>
          <w:trHeight w:val="223"/>
        </w:trPr>
        <w:tc>
          <w:tcPr>
            <w:tcW w:w="272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2,973,990</w:t>
            </w:r>
          </w:p>
        </w:tc>
        <w:tc>
          <w:tcPr>
            <w:tcW w:w="6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2,328,648</w:t>
            </w:r>
          </w:p>
        </w:tc>
        <w:tc>
          <w:tcPr>
            <w:tcW w:w="40" w:type="dxa"/>
            <w:vAlign w:val="bottom"/>
            <w:tcBorders>
              <w:bottom w:val="single" w:sz="8" w:color="CCEECC"/>
            </w:tcBorders>
            <w:shd w:val="clear" w:color="auto" w:fill="CCEECC"/>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RESTATEMENT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December 31, 2013, the Company corrected an accounting error related to revenue share expenses. The Company will accrue the expense for amounts due, versus when they are paid, for proper matching. The revenue share expense was not properly accrued at the end of 2012 or at the end of each 2013 quarter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restated Consolidated Balance Sheet, Consolidated Statement of Operations and Consolidated Statement of Cash Flows for the year ended December 31, 2012 is as follows:</w:t>
      </w:r>
    </w:p>
    <w:p>
      <w:pPr>
        <w:spacing w:after="0" w:line="184"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33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Year ended December 31, 2012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6"/>
              </w:rPr>
              <w:t>Previously</w:t>
            </w:r>
          </w:p>
        </w:tc>
        <w:tc>
          <w:tcPr>
            <w:tcW w:w="0" w:type="dxa"/>
            <w:vAlign w:val="bottom"/>
          </w:tcPr>
          <w:p>
            <w:pPr>
              <w:spacing w:after="0"/>
              <w:rPr>
                <w:sz w:val="1"/>
                <w:szCs w:val="1"/>
                <w:color w:val="auto"/>
              </w:rPr>
            </w:pPr>
          </w:p>
        </w:tc>
      </w:tr>
      <w:tr>
        <w:trPr>
          <w:trHeight w:val="182"/>
        </w:trPr>
        <w:tc>
          <w:tcPr>
            <w:tcW w:w="1700" w:type="dxa"/>
            <w:vAlign w:val="bottom"/>
            <w:gridSpan w:val="2"/>
            <w:vMerge w:val="restart"/>
          </w:tcPr>
          <w:p>
            <w:pPr>
              <w:ind w:left="80"/>
              <w:spacing w:after="0"/>
              <w:rPr>
                <w:sz w:val="20"/>
                <w:szCs w:val="20"/>
                <w:color w:val="auto"/>
              </w:rPr>
            </w:pPr>
            <w:r>
              <w:rPr>
                <w:rFonts w:ascii="Arial" w:cs="Arial" w:eastAsia="Arial" w:hAnsi="Arial"/>
                <w:sz w:val="18"/>
                <w:szCs w:val="18"/>
                <w:color w:val="auto"/>
              </w:rPr>
              <w:t>Financial Statement</w:t>
            </w:r>
          </w:p>
        </w:tc>
        <w:tc>
          <w:tcPr>
            <w:tcW w:w="1640" w:type="dxa"/>
            <w:vAlign w:val="bottom"/>
            <w:vMerge w:val="restart"/>
          </w:tcPr>
          <w:p>
            <w:pPr>
              <w:ind w:left="100"/>
              <w:spacing w:after="0"/>
              <w:rPr>
                <w:sz w:val="20"/>
                <w:szCs w:val="20"/>
                <w:color w:val="auto"/>
              </w:rPr>
            </w:pPr>
            <w:r>
              <w:rPr>
                <w:rFonts w:ascii="Arial" w:cs="Arial" w:eastAsia="Arial" w:hAnsi="Arial"/>
                <w:sz w:val="18"/>
                <w:szCs w:val="18"/>
                <w:color w:val="auto"/>
              </w:rPr>
              <w:t>Line Item</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Corrected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Stated</w:t>
            </w:r>
          </w:p>
        </w:tc>
        <w:tc>
          <w:tcPr>
            <w:tcW w:w="0" w:type="dxa"/>
            <w:vAlign w:val="bottom"/>
          </w:tcPr>
          <w:p>
            <w:pPr>
              <w:spacing w:after="0"/>
              <w:rPr>
                <w:sz w:val="1"/>
                <w:szCs w:val="1"/>
                <w:color w:val="auto"/>
              </w:rPr>
            </w:pPr>
          </w:p>
        </w:tc>
      </w:tr>
      <w:tr>
        <w:trPr>
          <w:trHeight w:val="195"/>
        </w:trPr>
        <w:tc>
          <w:tcPr>
            <w:tcW w:w="166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640" w:type="dxa"/>
            <w:vAlign w:val="bottom"/>
            <w:tcBorders>
              <w:top w:val="single" w:sz="8" w:color="auto"/>
            </w:tcBorders>
            <w:shd w:val="clear" w:color="auto" w:fill="CCEECC"/>
          </w:tcPr>
          <w:p>
            <w:pPr>
              <w:ind w:left="100"/>
              <w:spacing w:after="0" w:line="195" w:lineRule="exact"/>
              <w:rPr>
                <w:sz w:val="20"/>
                <w:szCs w:val="20"/>
                <w:color w:val="auto"/>
              </w:rPr>
            </w:pPr>
            <w:r>
              <w:rPr>
                <w:rFonts w:ascii="Arial" w:cs="Arial" w:eastAsia="Arial" w:hAnsi="Arial"/>
                <w:sz w:val="18"/>
                <w:szCs w:val="18"/>
                <w:color w:val="auto"/>
              </w:rPr>
              <w:t>Revenue share</w:t>
            </w:r>
          </w:p>
        </w:tc>
        <w:tc>
          <w:tcPr>
            <w:tcW w:w="6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Balance sheet</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payable</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100" w:type="dxa"/>
            <w:vAlign w:val="bottom"/>
            <w:shd w:val="clear" w:color="auto" w:fill="CCEECC"/>
          </w:tcPr>
          <w:p>
            <w:pPr>
              <w:spacing w:after="0"/>
              <w:rPr>
                <w:sz w:val="20"/>
                <w:szCs w:val="20"/>
                <w:color w:val="auto"/>
              </w:rPr>
            </w:pP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100"/>
              <w:spacing w:after="0" w:line="201" w:lineRule="exact"/>
              <w:rPr>
                <w:sz w:val="20"/>
                <w:szCs w:val="20"/>
                <w:color w:val="auto"/>
              </w:rPr>
            </w:pPr>
            <w:r>
              <w:rPr>
                <w:rFonts w:ascii="Arial" w:cs="Arial" w:eastAsia="Arial" w:hAnsi="Arial"/>
                <w:sz w:val="18"/>
                <w:szCs w:val="18"/>
                <w:color w:val="auto"/>
              </w:rPr>
              <w:t>Revenue 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tcPr>
          <w:p>
            <w:pPr>
              <w:ind w:left="100"/>
              <w:spacing w:after="0"/>
              <w:rPr>
                <w:sz w:val="20"/>
                <w:szCs w:val="20"/>
                <w:color w:val="auto"/>
              </w:rPr>
            </w:pPr>
            <w:r>
              <w:rPr>
                <w:rFonts w:ascii="Arial" w:cs="Arial" w:eastAsia="Arial" w:hAnsi="Arial"/>
                <w:sz w:val="18"/>
                <w:szCs w:val="18"/>
                <w:color w:val="auto"/>
              </w:rPr>
              <w:t>expense</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115,360</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840" w:type="dxa"/>
            <w:vAlign w:val="bottom"/>
            <w:gridSpan w:val="3"/>
            <w:shd w:val="clear" w:color="auto" w:fill="CCEECC"/>
          </w:tcPr>
          <w:p>
            <w:pPr>
              <w:ind w:left="100"/>
              <w:spacing w:after="0"/>
              <w:rPr>
                <w:sz w:val="20"/>
                <w:szCs w:val="20"/>
                <w:color w:val="auto"/>
              </w:rPr>
            </w:pPr>
            <w:r>
              <w:rPr>
                <w:rFonts w:ascii="Arial" w:cs="Arial" w:eastAsia="Arial" w:hAnsi="Arial"/>
                <w:sz w:val="18"/>
                <w:szCs w:val="18"/>
                <w:color w:val="auto"/>
                <w:w w:val="93"/>
              </w:rPr>
              <w:t>Loss from operations $</w:t>
            </w:r>
          </w:p>
        </w:tc>
        <w:tc>
          <w:tcPr>
            <w:tcW w:w="10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(454,922)</w:t>
            </w: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(364,345)</w:t>
            </w: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100"/>
              <w:spacing w:after="0" w:line="201" w:lineRule="exact"/>
              <w:rPr>
                <w:sz w:val="20"/>
                <w:szCs w:val="20"/>
                <w:color w:val="auto"/>
              </w:rPr>
            </w:pPr>
            <w:r>
              <w:rPr>
                <w:rFonts w:ascii="Arial" w:cs="Arial" w:eastAsia="Arial" w:hAnsi="Arial"/>
                <w:sz w:val="18"/>
                <w:szCs w:val="18"/>
                <w:color w:val="auto"/>
              </w:rPr>
              <w:t>Loss before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8"/>
                <w:szCs w:val="18"/>
                <w:color w:val="auto"/>
                <w:w w:val="94"/>
              </w:rPr>
              <w:t>provision for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tcPr>
          <w:p>
            <w:pPr>
              <w:ind w:left="100"/>
              <w:spacing w:after="0"/>
              <w:rPr>
                <w:sz w:val="20"/>
                <w:szCs w:val="20"/>
                <w:color w:val="auto"/>
              </w:rPr>
            </w:pPr>
            <w:r>
              <w:rPr>
                <w:rFonts w:ascii="Arial" w:cs="Arial" w:eastAsia="Arial" w:hAnsi="Arial"/>
                <w:sz w:val="18"/>
                <w:szCs w:val="18"/>
                <w:color w:val="auto"/>
              </w:rPr>
              <w:t>taxes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02"/>
        </w:trPr>
        <w:tc>
          <w:tcPr>
            <w:tcW w:w="17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Statement of cash</w:t>
            </w: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flows</w:t>
            </w:r>
          </w:p>
        </w:tc>
        <w:tc>
          <w:tcPr>
            <w:tcW w:w="16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02"/>
        </w:trPr>
        <w:tc>
          <w:tcPr>
            <w:tcW w:w="1700" w:type="dxa"/>
            <w:vAlign w:val="bottom"/>
            <w:gridSpan w:val="2"/>
            <w:shd w:val="clear" w:color="auto" w:fill="CCEECC"/>
          </w:tcPr>
          <w:p>
            <w:pPr>
              <w:ind w:left="80"/>
              <w:spacing w:after="0" w:line="201" w:lineRule="exact"/>
              <w:rPr>
                <w:sz w:val="20"/>
                <w:szCs w:val="20"/>
                <w:color w:val="auto"/>
              </w:rPr>
            </w:pPr>
            <w:r>
              <w:rPr>
                <w:rFonts w:ascii="Arial" w:cs="Arial" w:eastAsia="Arial" w:hAnsi="Arial"/>
                <w:sz w:val="18"/>
                <w:szCs w:val="18"/>
                <w:color w:val="auto"/>
              </w:rPr>
              <w:t>Statement of cash</w:t>
            </w:r>
          </w:p>
        </w:tc>
        <w:tc>
          <w:tcPr>
            <w:tcW w:w="1640" w:type="dxa"/>
            <w:vAlign w:val="bottom"/>
            <w:shd w:val="clear" w:color="auto" w:fill="CCEECC"/>
          </w:tcPr>
          <w:p>
            <w:pPr>
              <w:ind w:left="100"/>
              <w:spacing w:after="0" w:line="201" w:lineRule="exact"/>
              <w:rPr>
                <w:sz w:val="20"/>
                <w:szCs w:val="20"/>
                <w:color w:val="auto"/>
              </w:rPr>
            </w:pPr>
            <w:r>
              <w:rPr>
                <w:rFonts w:ascii="Arial" w:cs="Arial" w:eastAsia="Arial" w:hAnsi="Arial"/>
                <w:sz w:val="18"/>
                <w:szCs w:val="18"/>
                <w:color w:val="auto"/>
                <w:w w:val="96"/>
              </w:rPr>
              <w:t>Increase in revenue</w:t>
            </w:r>
          </w:p>
        </w:tc>
        <w:tc>
          <w:tcPr>
            <w:tcW w:w="6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flows</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share payable</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100" w:type="dxa"/>
            <w:vAlign w:val="bottom"/>
            <w:shd w:val="clear" w:color="auto" w:fill="CCEECC"/>
          </w:tcPr>
          <w:p>
            <w:pPr>
              <w:spacing w:after="0"/>
              <w:rPr>
                <w:sz w:val="20"/>
                <w:szCs w:val="20"/>
                <w:color w:val="auto"/>
              </w:rPr>
            </w:pP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2014 the Company executed an amendment to their securities redemption option agreement with Vicis Capital Master Fund that provides an option to purchase all of the outstanding shares and derivative securities held by Vicis for a total of $6,000,000. The term of the option is through March 31, 2014. The original agreement payment was for $9,000,000 and term was through December 30,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17, 2014, the Company entered into a securities purchase agreement, pursuant to which the Company sold an aggregate of 8,333,333 shares of the Company’s common stock for $1.20 per share, or gross proceeds of $10,000,000.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agent warrants also provide for piggy-back registration rights.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a portion of the net proceeds of the offering to exercise the securities redemption option agreement, as amended, with Vicis Capital Master Fund that provides the Company with an option to purchase all of the outstanding shares and derivative securities held by Vicis for total payment of $6,000,000. The shares and derivative securities include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5, 2012, LDM Group, LLC (“LDM”) commenced an action against the Company in the United States District Court for the Eastern District of Missouri, Eastern Division. The complaint alleged that OptimizeRx infringed on a patent issued on February 21, 2012 in favor of LDM. LDM alleged that its patent is an invention of a method for making available targeted content to a prescription medication patient while the patient is still in the physician’s office. According to LDM, the Company’s Integrated SampleMD uses systems and methods that perform the elements of the LDM patent and, therefore, infringes on its patent. On February 25, 2013, a Settlement and Patent License Agreement was reached with LDM, and LDM subsequently dismissed the lawsuit with prejudice. On April 23, 2013, however, LDM reinstituted the patent infringement action in the United States District Court for the Eastern District of Missouri, Eastern Division claiming that OptimizeRx breached the Settlement and Patent License Agreement. The Company continued to vigorously defend the OptimizeRx technology, preparing for litigation, depositions and patent protection while also positioning for legal actions against LDM. On February 28, 2014, a Settlement Agreement was reached with LDM, and the judge dismissed the case with prejudice on March 18, 2014. Per the terms of the settlement agreement, the Company paid a one-time fee of $400,000 and will pay LDM the greater of $0.37 per patient discount distributed by OptimizeRx or 10% of the total revenue earned by OptimizeRx for distribution and redemption of all patent discounts.</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2013 through the date these financial statements were issued and has determined that it does not have any material subsequent events to disclose in these financial statements other than the events described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AND DISAGREEMENTS WITH ACCOUNTANTS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events occurred requiring disclosure under Item 304 of Regulation S-K during the fiscal year ending December 31, 2013.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Until _______________, all dealers that effect transactions in these securities whether or not participating in this offering may be required to deliver a</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shd w:val="clear" w:color="auto" w:fill="CCEECC"/>
          </w:tcPr>
          <w:p>
            <w:pPr>
              <w:spacing w:after="0"/>
              <w:rPr>
                <w:sz w:val="20"/>
                <w:szCs w:val="20"/>
                <w:color w:val="auto"/>
              </w:rPr>
            </w:pPr>
            <w:r>
              <w:rPr>
                <w:rFonts w:ascii="Arial" w:cs="Arial" w:eastAsia="Arial" w:hAnsi="Arial"/>
                <w:sz w:val="18"/>
                <w:szCs w:val="18"/>
                <w:color w:val="auto"/>
              </w:rPr>
              <w:t>SEC Registration Fees</w:t>
            </w:r>
          </w:p>
        </w:tc>
        <w:tc>
          <w:tcPr>
            <w:tcW w:w="480" w:type="dxa"/>
            <w:vAlign w:val="bottom"/>
            <w:shd w:val="clear" w:color="auto" w:fill="CCEECC"/>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2,260</w:t>
            </w:r>
          </w:p>
        </w:tc>
      </w:tr>
      <w:tr>
        <w:trPr>
          <w:trHeight w:val="257"/>
        </w:trPr>
        <w:tc>
          <w:tcPr>
            <w:tcW w:w="3160" w:type="dxa"/>
            <w:vAlign w:val="bottom"/>
          </w:tcPr>
          <w:p>
            <w:pPr>
              <w:spacing w:after="0" w:line="256" w:lineRule="exact"/>
              <w:rPr>
                <w:sz w:val="20"/>
                <w:szCs w:val="20"/>
                <w:color w:val="auto"/>
              </w:rPr>
            </w:pPr>
            <w:r>
              <w:rPr>
                <w:rFonts w:ascii="Arial" w:cs="Arial" w:eastAsia="Arial" w:hAnsi="Arial"/>
                <w:sz w:val="18"/>
                <w:szCs w:val="18"/>
                <w:color w:val="auto"/>
              </w:rPr>
              <w:t>Accounting Fees and Expenses</w:t>
            </w:r>
            <w:r>
              <w:rPr>
                <w:rFonts w:ascii="Arial" w:cs="Arial" w:eastAsia="Arial" w:hAnsi="Arial"/>
                <w:sz w:val="29"/>
                <w:szCs w:val="29"/>
                <w:color w:val="auto"/>
                <w:vertAlign w:val="superscript"/>
              </w:rPr>
              <w:t>*</w:t>
            </w:r>
          </w:p>
        </w:tc>
        <w:tc>
          <w:tcPr>
            <w:tcW w:w="48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57"/>
        </w:trPr>
        <w:tc>
          <w:tcPr>
            <w:tcW w:w="3160" w:type="dxa"/>
            <w:vAlign w:val="bottom"/>
            <w:shd w:val="clear" w:color="auto" w:fill="CCEECC"/>
          </w:tcPr>
          <w:p>
            <w:pPr>
              <w:spacing w:after="0" w:line="256" w:lineRule="exact"/>
              <w:rPr>
                <w:sz w:val="20"/>
                <w:szCs w:val="20"/>
                <w:color w:val="auto"/>
              </w:rPr>
            </w:pPr>
            <w:r>
              <w:rPr>
                <w:rFonts w:ascii="Arial" w:cs="Arial" w:eastAsia="Arial" w:hAnsi="Arial"/>
                <w:sz w:val="18"/>
                <w:szCs w:val="18"/>
                <w:color w:val="auto"/>
              </w:rPr>
              <w:t>Legal Fees and Expenses</w:t>
            </w:r>
            <w:r>
              <w:rPr>
                <w:rFonts w:ascii="Arial" w:cs="Arial" w:eastAsia="Arial" w:hAnsi="Arial"/>
                <w:sz w:val="29"/>
                <w:szCs w:val="29"/>
                <w:color w:val="auto"/>
                <w:vertAlign w:val="superscript"/>
              </w:rPr>
              <w:t>*</w:t>
            </w:r>
          </w:p>
        </w:tc>
        <w:tc>
          <w:tcPr>
            <w:tcW w:w="480" w:type="dxa"/>
            <w:vAlign w:val="bottom"/>
            <w:shd w:val="clear" w:color="auto" w:fill="CCEECC"/>
          </w:tcPr>
          <w:p>
            <w:pPr>
              <w:spacing w:after="0"/>
              <w:rPr>
                <w:sz w:val="22"/>
                <w:szCs w:val="22"/>
                <w:color w:val="auto"/>
              </w:rPr>
            </w:pPr>
          </w:p>
        </w:tc>
        <w:tc>
          <w:tcPr>
            <w:tcW w:w="9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20,000</w:t>
            </w:r>
          </w:p>
        </w:tc>
      </w:tr>
      <w:tr>
        <w:trPr>
          <w:trHeight w:val="270"/>
        </w:trPr>
        <w:tc>
          <w:tcPr>
            <w:tcW w:w="3160" w:type="dxa"/>
            <w:vAlign w:val="bottom"/>
          </w:tcPr>
          <w:p>
            <w:pPr>
              <w:spacing w:after="0" w:line="269" w:lineRule="exact"/>
              <w:rPr>
                <w:sz w:val="20"/>
                <w:szCs w:val="20"/>
                <w:color w:val="auto"/>
              </w:rPr>
            </w:pPr>
            <w:r>
              <w:rPr>
                <w:rFonts w:ascii="Arial" w:cs="Arial" w:eastAsia="Arial" w:hAnsi="Arial"/>
                <w:sz w:val="18"/>
                <w:szCs w:val="18"/>
                <w:color w:val="auto"/>
              </w:rPr>
              <w:t>Miscellaneous</w:t>
            </w:r>
            <w:r>
              <w:rPr>
                <w:rFonts w:ascii="Arial" w:cs="Arial" w:eastAsia="Arial" w:hAnsi="Arial"/>
                <w:sz w:val="30"/>
                <w:szCs w:val="30"/>
                <w:color w:val="auto"/>
                <w:vertAlign w:val="superscript"/>
              </w:rPr>
              <w:t>*</w:t>
            </w:r>
          </w:p>
        </w:tc>
        <w:tc>
          <w:tcPr>
            <w:tcW w:w="48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10"/>
        </w:trPr>
        <w:tc>
          <w:tcPr>
            <w:tcW w:w="31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tcBorders>
            <w:shd w:val="clear" w:color="auto" w:fill="CCEECC"/>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52,260</w:t>
            </w:r>
          </w:p>
        </w:tc>
        <w:tc>
          <w:tcPr>
            <w:tcW w:w="60" w:type="dxa"/>
            <w:vAlign w:val="bottom"/>
            <w:tcBorders>
              <w:top w:val="single" w:sz="8" w:color="CCEECC"/>
            </w:tcBorders>
            <w:shd w:val="clear" w:color="auto" w:fill="CCEECC"/>
          </w:tcPr>
          <w:p>
            <w:pPr>
              <w:spacing w:after="0"/>
              <w:rPr>
                <w:sz w:val="18"/>
                <w:szCs w:val="18"/>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 Estimates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bear our fees and expenses incurred in connection with the registration of shares of common stock in connection with this offering. The Selling Shareholders will bear all selling and other expenses that they incur in connection with their sale of shares of common stock pursuant to the prospectus which is part of this registration statement.</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officers and directors are indemnified as provided by the Nevada Revised Statutes and our bylaws.</w:t>
      </w:r>
    </w:p>
    <w:p>
      <w:pPr>
        <w:spacing w:after="0" w:line="19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41" w:lineRule="exact"/>
        <w:rPr>
          <w:sz w:val="20"/>
          <w:szCs w:val="20"/>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willful failure to deal fairly with the company or its shareholders in connection with a matter in which the director has a material conflict of interest;</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violation of criminal law (unless the director had reasonable cause to believe that his or her conduct was lawful or no reasonable cause to believe that his or her conduct was unlawful);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3" w:lineRule="exact"/>
        <w:rPr>
          <w:sz w:val="20"/>
          <w:szCs w:val="20"/>
          <w:color w:val="auto"/>
        </w:rPr>
      </w:pPr>
    </w:p>
    <w:p>
      <w:pPr>
        <w:jc w:val="both"/>
        <w:ind w:right="420"/>
        <w:spacing w:after="0" w:line="277" w:lineRule="auto"/>
        <w:rPr>
          <w:sz w:val="20"/>
          <w:szCs w:val="20"/>
          <w:color w:val="auto"/>
        </w:rPr>
      </w:pPr>
      <w:r>
        <w:rPr>
          <w:rFonts w:ascii="Arial" w:cs="Arial" w:eastAsia="Arial" w:hAnsi="Arial"/>
          <w:sz w:val="17"/>
          <w:szCs w:val="17"/>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33"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proceeding was authorized by our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indemnification is provided by us, in our sole discretion, pursuant to the powers vested us under Nevada law;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indemnification is required to be made pursuant to the bylaws.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ectPr>
          <w:pgSz w:w="11900" w:h="16838" w:orient="portrait"/>
          <w:cols w:equalWidth="0" w:num="1">
            <w:col w:w="11420"/>
          </w:cols>
          <w:pgMar w:left="240" w:top="233" w:right="23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55" w:name="page56"/>
    <w:bookmarkEnd w:id="55"/>
    <w:p>
      <w:pPr>
        <w:spacing w:after="0" w:line="209" w:lineRule="auto"/>
        <w:framePr w:w="500" w:h="160" w:wrap="auto" w:vAnchor="page" w:hAnchor="page" w:x="200" w:y="11513"/>
        <w:rPr>
          <w:rFonts w:ascii="Arial" w:cs="Arial" w:eastAsia="Arial" w:hAnsi="Arial"/>
          <w:sz w:val="16"/>
          <w:szCs w:val="16"/>
          <w:color w:val="auto"/>
        </w:rPr>
      </w:pPr>
      <w:r>
        <w:rPr>
          <w:rFonts w:ascii="Arial" w:cs="Arial" w:eastAsia="Arial" w:hAnsi="Arial"/>
          <w:sz w:val="16"/>
          <w:szCs w:val="16"/>
          <w:color w:val="auto"/>
        </w:rPr>
        <w:t>10.19</w:t>
      </w:r>
    </w:p>
    <w:p>
      <w:pPr>
        <w:spacing w:after="0" w:line="209" w:lineRule="auto"/>
        <w:framePr w:w="500" w:h="160" w:wrap="auto" w:vAnchor="page" w:hAnchor="page" w:x="200" w:y="11716"/>
        <w:rPr>
          <w:rFonts w:ascii="Arial" w:cs="Arial" w:eastAsia="Arial" w:hAnsi="Arial"/>
          <w:sz w:val="16"/>
          <w:szCs w:val="16"/>
          <w:color w:val="auto"/>
        </w:rPr>
      </w:pPr>
      <w:r>
        <w:rPr>
          <w:rFonts w:ascii="Arial" w:cs="Arial" w:eastAsia="Arial" w:hAnsi="Arial"/>
          <w:sz w:val="16"/>
          <w:szCs w:val="16"/>
          <w:color w:val="auto"/>
        </w:rPr>
        <w:t>10.20</w:t>
      </w:r>
    </w:p>
    <w:p>
      <w:pPr>
        <w:spacing w:after="0" w:line="218" w:lineRule="auto"/>
        <w:framePr w:w="540" w:h="376" w:wrap="auto" w:vAnchor="page" w:hAnchor="page" w:x="200" w:y="11918"/>
        <w:rPr>
          <w:rFonts w:ascii="Arial" w:cs="Arial" w:eastAsia="Arial" w:hAnsi="Arial"/>
          <w:sz w:val="18"/>
          <w:szCs w:val="18"/>
          <w:color w:val="auto"/>
        </w:rPr>
      </w:pPr>
      <w:r>
        <w:rPr>
          <w:rFonts w:ascii="Arial" w:cs="Arial" w:eastAsia="Arial" w:hAnsi="Arial"/>
          <w:sz w:val="18"/>
          <w:szCs w:val="18"/>
          <w:color w:val="auto"/>
        </w:rPr>
        <w:t>23.1 101**</w:t>
      </w:r>
    </w:p>
    <w:p>
      <w:pPr>
        <w:spacing w:after="0" w:line="209" w:lineRule="auto"/>
        <w:framePr w:w="500" w:h="160" w:wrap="auto" w:vAnchor="page" w:hAnchor="page" w:x="200" w:y="11256"/>
        <w:rPr>
          <w:rFonts w:ascii="Arial" w:cs="Arial" w:eastAsia="Arial" w:hAnsi="Arial"/>
          <w:sz w:val="16"/>
          <w:szCs w:val="16"/>
          <w:color w:val="auto"/>
        </w:rPr>
      </w:pPr>
      <w:r>
        <w:rPr>
          <w:rFonts w:ascii="Arial" w:cs="Arial" w:eastAsia="Arial" w:hAnsi="Arial"/>
          <w:sz w:val="16"/>
          <w:szCs w:val="16"/>
          <w:color w:val="auto"/>
        </w:rPr>
        <w:t>10.18</w:t>
      </w: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rFonts w:ascii="Arial" w:cs="Arial" w:eastAsia="Arial" w:hAnsi="Arial"/>
          <w:sz w:val="16"/>
          <w:szCs w:val="16"/>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00" w:lineRule="exact"/>
        <w:rPr>
          <w:rFonts w:ascii="Arial" w:cs="Arial" w:eastAsia="Arial" w:hAnsi="Arial"/>
          <w:sz w:val="16"/>
          <w:szCs w:val="16"/>
          <w:color w:val="auto"/>
        </w:rPr>
      </w:pPr>
    </w:p>
    <w:p>
      <w:pPr>
        <w:spacing w:after="0" w:line="394" w:lineRule="exact"/>
        <w:rPr>
          <w:rFonts w:ascii="Arial" w:cs="Arial" w:eastAsia="Arial" w:hAnsi="Arial"/>
          <w:sz w:val="16"/>
          <w:szCs w:val="16"/>
          <w:color w:val="auto"/>
        </w:rPr>
      </w:pPr>
    </w:p>
    <w:p>
      <w:pPr>
        <w:jc w:val="both"/>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and Mr. Terry Hamilton was awarded 215,625 shares of our common stock. The restricted stock awards will vest 50% on the date six months and one day after the date of grant, and the remaining 50% one year after the first vesting date.</w:t>
      </w:r>
    </w:p>
    <w:p>
      <w:pPr>
        <w:spacing w:after="0" w:line="141" w:lineRule="exact"/>
        <w:rPr>
          <w:rFonts w:ascii="Arial" w:cs="Arial" w:eastAsia="Arial" w:hAnsi="Arial"/>
          <w:sz w:val="16"/>
          <w:szCs w:val="16"/>
          <w:color w:val="auto"/>
        </w:rPr>
      </w:pPr>
    </w:p>
    <w:p>
      <w:pPr>
        <w:jc w:val="both"/>
        <w:spacing w:after="0" w:line="264" w:lineRule="auto"/>
        <w:rPr>
          <w:sz w:val="20"/>
          <w:szCs w:val="20"/>
          <w:color w:val="auto"/>
        </w:rPr>
      </w:pPr>
      <w:r>
        <w:rPr>
          <w:rFonts w:ascii="Arial" w:cs="Arial" w:eastAsia="Arial" w:hAnsi="Arial"/>
          <w:sz w:val="18"/>
          <w:szCs w:val="18"/>
          <w:color w:val="auto"/>
        </w:rPr>
        <w:t>On September 20, 2013, we entered into a Separation Agreement with Mr. Shad Stastney regarding the terms and conditions of his departure from our company (the “Agreement”). Under the Agreement, among other things, we agreed to issue to Mr. Stastney 500,000 shares of our common stock, half now and the rest by January 1, 2014.</w:t>
      </w:r>
    </w:p>
    <w:p>
      <w:pPr>
        <w:spacing w:after="0" w:line="154" w:lineRule="exact"/>
        <w:rPr>
          <w:rFonts w:ascii="Arial" w:cs="Arial" w:eastAsia="Arial" w:hAnsi="Arial"/>
          <w:sz w:val="16"/>
          <w:szCs w:val="16"/>
          <w:color w:val="auto"/>
        </w:rPr>
      </w:pPr>
    </w:p>
    <w:p>
      <w:pPr>
        <w:jc w:val="both"/>
        <w:spacing w:after="0" w:line="286" w:lineRule="auto"/>
        <w:rPr>
          <w:sz w:val="20"/>
          <w:szCs w:val="20"/>
          <w:color w:val="auto"/>
        </w:rPr>
      </w:pPr>
      <w:r>
        <w:rPr>
          <w:rFonts w:ascii="Arial" w:cs="Arial" w:eastAsia="Arial" w:hAnsi="Arial"/>
          <w:sz w:val="17"/>
          <w:szCs w:val="17"/>
          <w:color w:val="auto"/>
        </w:rPr>
        <w:t>On March 17, 2014, we entered into a securities purchase agreement with accredited investors, pursuant to which we sold an aggregate of 8,333,333 shares of the Company’s common stock, par value $0.001 per share, for $1.20 per Share, or gross proceeds of $10,000,000. We issued warrants to purchase 804,139 shares of our common stock with an exercise price of $1.20 per share and a term of 5 years to placement agents in the raise.</w:t>
      </w:r>
    </w:p>
    <w:p>
      <w:pPr>
        <w:spacing w:after="0" w:line="166" w:lineRule="exact"/>
        <w:rPr>
          <w:rFonts w:ascii="Arial" w:cs="Arial" w:eastAsia="Arial" w:hAnsi="Arial"/>
          <w:sz w:val="16"/>
          <w:szCs w:val="16"/>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ectPr>
          <w:pgSz w:w="11900" w:h="16838" w:orient="portrait"/>
          <w:cols w:equalWidth="0" w:num="1">
            <w:col w:w="11420"/>
          </w:cols>
          <w:pgMar w:left="240" w:top="233" w:right="239" w:bottom="393" w:gutter="0" w:footer="0" w:header="0"/>
        </w:sectPr>
      </w:pPr>
    </w:p>
    <w:p>
      <w:pPr>
        <w:spacing w:after="0" w:line="18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7"/>
          <w:szCs w:val="17"/>
          <w:b w:val="1"/>
          <w:bCs w:val="1"/>
          <w:color w:val="auto"/>
        </w:rPr>
        <w:t>Item 16.</w:t>
      </w:r>
    </w:p>
    <w:p>
      <w:pPr>
        <w:spacing w:after="0" w:line="237" w:lineRule="exact"/>
        <w:rPr>
          <w:rFonts w:ascii="Arial" w:cs="Arial" w:eastAsia="Arial" w:hAnsi="Arial"/>
          <w:sz w:val="16"/>
          <w:szCs w:val="16"/>
          <w:color w:val="auto"/>
        </w:rPr>
      </w:pPr>
    </w:p>
    <w:p>
      <w:pPr>
        <w:spacing w:after="0" w:line="293" w:lineRule="auto"/>
        <w:rPr>
          <w:sz w:val="20"/>
          <w:szCs w:val="20"/>
          <w:color w:val="auto"/>
        </w:rPr>
      </w:pPr>
      <w:r>
        <w:rPr>
          <w:rFonts w:ascii="Arial" w:cs="Arial" w:eastAsia="Arial" w:hAnsi="Arial"/>
          <w:sz w:val="16"/>
          <w:szCs w:val="16"/>
          <w:b w:val="1"/>
          <w:bCs w:val="1"/>
          <w:u w:val="single" w:color="auto"/>
          <w:color w:val="auto"/>
        </w:rPr>
        <w:t>Exhibit Number</w:t>
      </w:r>
    </w:p>
    <w:p>
      <w:pPr>
        <w:spacing w:after="0" w:line="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3.1</w:t>
      </w:r>
    </w:p>
    <w:p>
      <w:pPr>
        <w:spacing w:after="0" w:line="3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5.1</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16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u w:val="single" w:color="auto"/>
          <w:color w:val="auto"/>
        </w:rPr>
        <w:t>Description</w:t>
      </w:r>
    </w:p>
    <w:p>
      <w:pPr>
        <w:spacing w:after="0" w:line="226" w:lineRule="auto"/>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30"/>
          <w:szCs w:val="30"/>
          <w:color w:val="auto"/>
          <w:vertAlign w:val="superscript"/>
        </w:rPr>
        <w:t>1</w:t>
      </w:r>
    </w:p>
    <w:p>
      <w:pPr>
        <w:spacing w:after="0" w:line="181" w:lineRule="auto"/>
        <w:rPr>
          <w:sz w:val="20"/>
          <w:szCs w:val="20"/>
          <w:color w:val="auto"/>
        </w:rPr>
      </w:pPr>
      <w:r>
        <w:rPr>
          <w:rFonts w:ascii="Arial" w:cs="Arial" w:eastAsia="Arial" w:hAnsi="Arial"/>
          <w:sz w:val="16"/>
          <w:szCs w:val="16"/>
          <w:color w:val="auto"/>
        </w:rPr>
        <w:t>Amended and Restated Bylaws of the Company</w:t>
      </w:r>
      <w:r>
        <w:rPr>
          <w:rFonts w:ascii="Arial" w:cs="Arial" w:eastAsia="Arial" w:hAnsi="Arial"/>
          <w:sz w:val="25"/>
          <w:szCs w:val="25"/>
          <w:color w:val="auto"/>
          <w:vertAlign w:val="superscript"/>
        </w:rPr>
        <w:t>1</w:t>
      </w:r>
    </w:p>
    <w:p>
      <w:pPr>
        <w:ind w:right="1500"/>
        <w:spacing w:after="0" w:line="204" w:lineRule="auto"/>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Opinion of Cane Clark, LLP, with consent to use *</w:t>
      </w:r>
    </w:p>
    <w:p>
      <w:pPr>
        <w:spacing w:after="0" w:line="1" w:lineRule="exact"/>
        <w:rPr>
          <w:rFonts w:ascii="Arial" w:cs="Arial" w:eastAsia="Arial" w:hAnsi="Arial"/>
          <w:sz w:val="16"/>
          <w:szCs w:val="16"/>
          <w:color w:val="auto"/>
        </w:rPr>
      </w:pPr>
    </w:p>
    <w:p>
      <w:pPr>
        <w:sectPr>
          <w:pgSz w:w="11900" w:h="16838" w:orient="portrait"/>
          <w:cols w:equalWidth="0" w:num="2">
            <w:col w:w="640" w:space="400"/>
            <w:col w:w="10380"/>
          </w:cols>
          <w:pgMar w:left="240" w:top="233" w:right="239" w:bottom="393"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5160" w:type="dxa"/>
            <w:vAlign w:val="bottom"/>
          </w:tcPr>
          <w:p>
            <w:pPr>
              <w:ind w:left="300"/>
              <w:spacing w:after="0" w:line="245" w:lineRule="exact"/>
              <w:rPr>
                <w:sz w:val="20"/>
                <w:szCs w:val="20"/>
                <w:color w:val="auto"/>
              </w:rPr>
            </w:pPr>
            <w:r>
              <w:rPr>
                <w:rFonts w:ascii="Arial" w:cs="Arial" w:eastAsia="Arial" w:hAnsi="Arial"/>
                <w:sz w:val="17"/>
                <w:szCs w:val="17"/>
                <w:color w:val="auto"/>
              </w:rPr>
              <w:t>Employment Agreement, dated March 20, 2009</w:t>
            </w:r>
            <w:r>
              <w:rPr>
                <w:rFonts w:ascii="Arial" w:cs="Arial" w:eastAsia="Arial" w:hAnsi="Arial"/>
                <w:sz w:val="28"/>
                <w:szCs w:val="28"/>
                <w:color w:val="auto"/>
                <w:vertAlign w:val="superscript"/>
              </w:rPr>
              <w:t>2</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rPr>
              <w:t>Employment Agreement, dated August 1, 2008</w:t>
            </w:r>
            <w:r>
              <w:rPr>
                <w:rFonts w:ascii="Arial" w:cs="Arial" w:eastAsia="Arial" w:hAnsi="Arial"/>
                <w:sz w:val="29"/>
                <w:szCs w:val="29"/>
                <w:color w:val="auto"/>
                <w:vertAlign w:val="superscript"/>
              </w:rPr>
              <w:t>2</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10.3</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rPr>
              <w:t>Employment Agreement, dated June 1, 2008</w:t>
            </w:r>
            <w:r>
              <w:rPr>
                <w:rFonts w:ascii="Arial" w:cs="Arial" w:eastAsia="Arial" w:hAnsi="Arial"/>
                <w:sz w:val="29"/>
                <w:szCs w:val="29"/>
                <w:color w:val="auto"/>
                <w:vertAlign w:val="superscript"/>
              </w:rPr>
              <w:t>2</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10.5</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10.6</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w w:val="98"/>
              </w:rPr>
              <w:t>Addendum to Employment Agreement, dated July 28, 20103</w:t>
            </w:r>
            <w:r>
              <w:rPr>
                <w:rFonts w:ascii="Arial" w:cs="Arial" w:eastAsia="Arial" w:hAnsi="Arial"/>
                <w:sz w:val="29"/>
                <w:szCs w:val="29"/>
                <w:color w:val="auto"/>
                <w:w w:val="98"/>
                <w:vertAlign w:val="superscript"/>
              </w:rPr>
              <w:t>3</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10.7</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w w:val="98"/>
              </w:rPr>
              <w:t>Amendment to Employment Agreement, dated July 28, 2010</w:t>
            </w:r>
            <w:r>
              <w:rPr>
                <w:rFonts w:ascii="Arial" w:cs="Arial" w:eastAsia="Arial" w:hAnsi="Arial"/>
                <w:sz w:val="29"/>
                <w:szCs w:val="29"/>
                <w:color w:val="auto"/>
                <w:w w:val="98"/>
                <w:vertAlign w:val="superscript"/>
              </w:rPr>
              <w:t>3</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10.8</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w w:val="98"/>
              </w:rPr>
              <w:t>Amendment to Employment Agreement, dated July 28, 2010</w:t>
            </w:r>
            <w:r>
              <w:rPr>
                <w:rFonts w:ascii="Arial" w:cs="Arial" w:eastAsia="Arial" w:hAnsi="Arial"/>
                <w:sz w:val="29"/>
                <w:szCs w:val="29"/>
                <w:color w:val="auto"/>
                <w:w w:val="98"/>
                <w:vertAlign w:val="superscript"/>
              </w:rPr>
              <w:t>3</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10.9</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rPr>
              <w:t>Employment Agreement, dated January 14, 2013</w:t>
            </w:r>
            <w:r>
              <w:rPr>
                <w:rFonts w:ascii="Arial" w:cs="Arial" w:eastAsia="Arial" w:hAnsi="Arial"/>
                <w:sz w:val="29"/>
                <w:szCs w:val="29"/>
                <w:color w:val="auto"/>
                <w:vertAlign w:val="superscript"/>
              </w:rPr>
              <w:t>4</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10.10</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w w:val="89"/>
              </w:rPr>
              <w:t>Securities Redemption Option Agreement, dated January 10, 2013</w:t>
            </w:r>
            <w:r>
              <w:rPr>
                <w:rFonts w:ascii="Arial" w:cs="Arial" w:eastAsia="Arial" w:hAnsi="Arial"/>
                <w:sz w:val="29"/>
                <w:szCs w:val="29"/>
                <w:color w:val="auto"/>
                <w:w w:val="89"/>
                <w:vertAlign w:val="superscript"/>
              </w:rPr>
              <w:t>5</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10.11</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w w:val="93"/>
              </w:rPr>
              <w:t>Amendment to Employment Agreement, dated August 14, 2013</w:t>
            </w:r>
            <w:r>
              <w:rPr>
                <w:rFonts w:ascii="Arial" w:cs="Arial" w:eastAsia="Arial" w:hAnsi="Arial"/>
                <w:sz w:val="29"/>
                <w:szCs w:val="29"/>
                <w:color w:val="auto"/>
                <w:w w:val="93"/>
                <w:vertAlign w:val="superscript"/>
              </w:rPr>
              <w:t>6</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10.12</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w w:val="93"/>
              </w:rPr>
              <w:t>Amendment to Employment Agreement, dated August 14, 2013</w:t>
            </w:r>
            <w:r>
              <w:rPr>
                <w:rFonts w:ascii="Arial" w:cs="Arial" w:eastAsia="Arial" w:hAnsi="Arial"/>
                <w:sz w:val="29"/>
                <w:szCs w:val="29"/>
                <w:color w:val="auto"/>
                <w:w w:val="93"/>
                <w:vertAlign w:val="superscript"/>
              </w:rPr>
              <w:t>6</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10.13</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w w:val="93"/>
              </w:rPr>
              <w:t>Amendment to Employment Agreement, dated August 14, 2013</w:t>
            </w:r>
            <w:r>
              <w:rPr>
                <w:rFonts w:ascii="Arial" w:cs="Arial" w:eastAsia="Arial" w:hAnsi="Arial"/>
                <w:sz w:val="29"/>
                <w:szCs w:val="29"/>
                <w:color w:val="auto"/>
                <w:w w:val="93"/>
                <w:vertAlign w:val="superscript"/>
              </w:rPr>
              <w:t>6</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10.14</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w w:val="93"/>
              </w:rPr>
              <w:t>Amendment to Employment Agreement, dated August 14, 2013</w:t>
            </w:r>
            <w:r>
              <w:rPr>
                <w:rFonts w:ascii="Arial" w:cs="Arial" w:eastAsia="Arial" w:hAnsi="Arial"/>
                <w:sz w:val="29"/>
                <w:szCs w:val="29"/>
                <w:color w:val="auto"/>
                <w:w w:val="93"/>
                <w:vertAlign w:val="superscript"/>
              </w:rPr>
              <w:t>6</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10.15</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rPr>
              <w:t>Separation Agreement, dated September 20, 2013</w:t>
            </w:r>
            <w:r>
              <w:rPr>
                <w:rFonts w:ascii="Arial" w:cs="Arial" w:eastAsia="Arial" w:hAnsi="Arial"/>
                <w:sz w:val="29"/>
                <w:szCs w:val="29"/>
                <w:color w:val="auto"/>
                <w:vertAlign w:val="superscript"/>
              </w:rPr>
              <w:t>7</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10.16</w:t>
            </w:r>
          </w:p>
        </w:tc>
        <w:tc>
          <w:tcPr>
            <w:tcW w:w="5160" w:type="dxa"/>
            <w:vAlign w:val="bottom"/>
          </w:tcPr>
          <w:p>
            <w:pPr>
              <w:ind w:left="300"/>
              <w:spacing w:after="0" w:line="256" w:lineRule="exact"/>
              <w:rPr>
                <w:sz w:val="20"/>
                <w:szCs w:val="20"/>
                <w:color w:val="auto"/>
              </w:rPr>
            </w:pPr>
            <w:r>
              <w:rPr>
                <w:rFonts w:ascii="Arial" w:cs="Arial" w:eastAsia="Arial" w:hAnsi="Arial"/>
                <w:sz w:val="18"/>
                <w:szCs w:val="18"/>
                <w:color w:val="auto"/>
                <w:w w:val="94"/>
              </w:rPr>
              <w:t>Amendment No. 1 to Securities Redemption Option Agreement</w:t>
            </w:r>
            <w:r>
              <w:rPr>
                <w:rFonts w:ascii="Arial" w:cs="Arial" w:eastAsia="Arial" w:hAnsi="Arial"/>
                <w:sz w:val="29"/>
                <w:szCs w:val="29"/>
                <w:color w:val="auto"/>
                <w:w w:val="94"/>
                <w:vertAlign w:val="superscript"/>
              </w:rPr>
              <w:t>8</w:t>
            </w:r>
          </w:p>
        </w:tc>
      </w:tr>
      <w:tr>
        <w:trPr>
          <w:trHeight w:val="272"/>
        </w:trPr>
        <w:tc>
          <w:tcPr>
            <w:tcW w:w="740" w:type="dxa"/>
            <w:vAlign w:val="bottom"/>
          </w:tcPr>
          <w:p>
            <w:pPr>
              <w:spacing w:after="0"/>
              <w:rPr>
                <w:sz w:val="20"/>
                <w:szCs w:val="20"/>
                <w:color w:val="auto"/>
              </w:rPr>
            </w:pPr>
            <w:r>
              <w:rPr>
                <w:rFonts w:ascii="Arial" w:cs="Arial" w:eastAsia="Arial" w:hAnsi="Arial"/>
                <w:sz w:val="18"/>
                <w:szCs w:val="18"/>
                <w:color w:val="auto"/>
              </w:rPr>
              <w:t>10.17</w:t>
            </w:r>
          </w:p>
        </w:tc>
        <w:tc>
          <w:tcPr>
            <w:tcW w:w="5160" w:type="dxa"/>
            <w:vAlign w:val="bottom"/>
          </w:tcPr>
          <w:p>
            <w:pPr>
              <w:ind w:left="300"/>
              <w:spacing w:after="0" w:line="272" w:lineRule="exact"/>
              <w:rPr>
                <w:sz w:val="20"/>
                <w:szCs w:val="20"/>
                <w:color w:val="auto"/>
              </w:rPr>
            </w:pPr>
            <w:r>
              <w:rPr>
                <w:rFonts w:ascii="Arial" w:cs="Arial" w:eastAsia="Arial" w:hAnsi="Arial"/>
                <w:sz w:val="18"/>
                <w:szCs w:val="18"/>
                <w:color w:val="auto"/>
              </w:rPr>
              <w:t>Securities Purchase Agreement</w:t>
            </w:r>
            <w:r>
              <w:rPr>
                <w:rFonts w:ascii="Arial" w:cs="Arial" w:eastAsia="Arial" w:hAnsi="Arial"/>
                <w:sz w:val="30"/>
                <w:szCs w:val="30"/>
                <w:color w:val="auto"/>
                <w:vertAlign w:val="superscript"/>
              </w:rPr>
              <w:t>9</w:t>
            </w:r>
          </w:p>
        </w:tc>
      </w:tr>
    </w:tbl>
    <w:p>
      <w:pPr>
        <w:ind w:left="1040"/>
        <w:spacing w:after="0" w:line="184" w:lineRule="auto"/>
        <w:rPr>
          <w:sz w:val="20"/>
          <w:szCs w:val="20"/>
          <w:color w:val="auto"/>
        </w:rPr>
      </w:pPr>
      <w:r>
        <w:rPr>
          <w:rFonts w:ascii="Arial" w:cs="Arial" w:eastAsia="Arial" w:hAnsi="Arial"/>
          <w:sz w:val="18"/>
          <w:szCs w:val="18"/>
          <w:color w:val="auto"/>
        </w:rPr>
        <w:t>Registration Rights Agreement</w:t>
      </w:r>
      <w:r>
        <w:rPr>
          <w:rFonts w:ascii="Arial" w:cs="Arial" w:eastAsia="Arial" w:hAnsi="Arial"/>
          <w:sz w:val="29"/>
          <w:szCs w:val="29"/>
          <w:color w:val="auto"/>
          <w:vertAlign w:val="superscript"/>
        </w:rPr>
        <w:t>9</w:t>
      </w:r>
    </w:p>
    <w:p>
      <w:pPr>
        <w:ind w:left="1040"/>
        <w:spacing w:after="0" w:line="236" w:lineRule="auto"/>
        <w:rPr>
          <w:sz w:val="20"/>
          <w:szCs w:val="20"/>
          <w:color w:val="auto"/>
        </w:rPr>
      </w:pPr>
      <w:r>
        <w:rPr>
          <w:rFonts w:ascii="Arial" w:cs="Arial" w:eastAsia="Arial" w:hAnsi="Arial"/>
          <w:sz w:val="18"/>
          <w:szCs w:val="18"/>
          <w:u w:val="single" w:color="auto"/>
          <w:color w:val="0000EE"/>
        </w:rPr>
        <w:t>Warrant Agreement</w:t>
      </w:r>
    </w:p>
    <w:p>
      <w:pPr>
        <w:ind w:left="1040"/>
        <w:spacing w:after="0" w:line="235" w:lineRule="auto"/>
        <w:rPr>
          <w:sz w:val="20"/>
          <w:szCs w:val="20"/>
          <w:color w:val="auto"/>
        </w:rPr>
      </w:pPr>
      <w:r>
        <w:rPr>
          <w:rFonts w:ascii="Arial" w:cs="Arial" w:eastAsia="Arial" w:hAnsi="Arial"/>
          <w:sz w:val="18"/>
          <w:szCs w:val="18"/>
          <w:u w:val="single" w:color="auto"/>
          <w:color w:val="0000EE"/>
        </w:rPr>
        <w:t>Warrant Agreement</w:t>
      </w:r>
    </w:p>
    <w:p>
      <w:pPr>
        <w:ind w:left="1040"/>
        <w:spacing w:after="0"/>
        <w:rPr>
          <w:sz w:val="20"/>
          <w:szCs w:val="20"/>
          <w:color w:val="auto"/>
        </w:rPr>
      </w:pPr>
      <w:r>
        <w:rPr>
          <w:rFonts w:ascii="Arial" w:cs="Arial" w:eastAsia="Arial" w:hAnsi="Arial"/>
          <w:sz w:val="18"/>
          <w:szCs w:val="18"/>
          <w:u w:val="single" w:color="auto"/>
          <w:color w:val="0000EE"/>
        </w:rPr>
        <w:t>Consent of Independent Registered Public Accounting Firm</w:t>
      </w:r>
    </w:p>
    <w:p>
      <w:pPr>
        <w:spacing w:after="0" w:line="7" w:lineRule="exact"/>
        <w:rPr>
          <w:rFonts w:ascii="Arial" w:cs="Arial" w:eastAsia="Arial" w:hAnsi="Arial"/>
          <w:sz w:val="16"/>
          <w:szCs w:val="16"/>
          <w:color w:val="auto"/>
        </w:rPr>
      </w:pPr>
    </w:p>
    <w:p>
      <w:pPr>
        <w:ind w:left="1040" w:right="20"/>
        <w:spacing w:after="0" w:line="250" w:lineRule="auto"/>
        <w:rPr>
          <w:sz w:val="20"/>
          <w:szCs w:val="20"/>
          <w:color w:val="auto"/>
        </w:rPr>
      </w:pPr>
      <w:r>
        <w:rPr>
          <w:rFonts w:ascii="Arial" w:cs="Arial" w:eastAsia="Arial" w:hAnsi="Arial"/>
          <w:sz w:val="18"/>
          <w:szCs w:val="18"/>
          <w:color w:val="auto"/>
        </w:rPr>
        <w:t>The following materials from the Company’s Annual Report on Form 10-K for the year ended December 31, 2013 formatted in Extensible Business Reporting Language (XBRL).</w:t>
      </w:r>
    </w:p>
    <w:p>
      <w:pPr>
        <w:spacing w:after="0" w:line="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*previously filed</w:t>
      </w:r>
    </w:p>
    <w:p>
      <w:pPr>
        <w:spacing w:after="0" w:line="137" w:lineRule="exact"/>
        <w:rPr>
          <w:rFonts w:ascii="Arial" w:cs="Arial" w:eastAsia="Arial" w:hAnsi="Arial"/>
          <w:sz w:val="16"/>
          <w:szCs w:val="16"/>
          <w:color w:val="auto"/>
        </w:rPr>
      </w:pPr>
    </w:p>
    <w:p>
      <w:pPr>
        <w:ind w:left="120" w:hanging="112"/>
        <w:spacing w:after="0"/>
        <w:tabs>
          <w:tab w:leader="none" w:pos="12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S-1, filed by the Company with the Securities and Exchange Commission on November 12, 2008.</w:t>
      </w:r>
    </w:p>
    <w:p>
      <w:pPr>
        <w:spacing w:after="0" w:line="42"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Incorporated by reference to the Form 10-K, filed by the Company with the Securities and Exchange Commission on March 31,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Incorporated by reference to the Form 8-K, filed by the Company with the Securities and Exchange Commission on July 30,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Incorporated by reference to the Form 8-K, filed by the Company with the Securities and Exchange Commission on January 18, 2013.</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Incorporated by reference to the Form 8-K, filed by the Company with the Securities and Exchange Commission on January 11, 2013.</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Incorporated by reference to the Form 8-K, filed by the Company with the Securities and Exchange Commission on August 15, 2013.</w:t>
      </w:r>
    </w:p>
    <w:p>
      <w:pPr>
        <w:ind w:right="1400"/>
        <w:spacing w:after="0" w:line="234"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7</w:t>
      </w:r>
      <w:r>
        <w:rPr>
          <w:rFonts w:ascii="Arial" w:cs="Arial" w:eastAsia="Arial" w:hAnsi="Arial"/>
          <w:sz w:val="16"/>
          <w:szCs w:val="16"/>
          <w:color w:val="auto"/>
        </w:rPr>
        <w:t xml:space="preserve"> Incorporated by reference to the Form 8-K, filed by the Company with the Securities and Exchange Commission on September 20, 2013. </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Incorporated by reference to the Form 8-K, filed by the Company with the Securities and Exchange Commission on January 2, 2014.</w:t>
      </w:r>
    </w:p>
    <w:p>
      <w:pPr>
        <w:spacing w:after="0" w:line="26" w:lineRule="exact"/>
        <w:rPr>
          <w:rFonts w:ascii="Arial" w:cs="Arial" w:eastAsia="Arial" w:hAnsi="Arial"/>
          <w:sz w:val="16"/>
          <w:szCs w:val="16"/>
          <w:color w:val="auto"/>
        </w:rPr>
      </w:pPr>
    </w:p>
    <w:p>
      <w:pPr>
        <w:ind w:right="1700" w:firstLine="8"/>
        <w:spacing w:after="0" w:line="194" w:lineRule="auto"/>
        <w:tabs>
          <w:tab w:leader="none" w:pos="12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8-K, filed by the Company with the Securities and Exchange Commission on March 18, 2014. **Provided herewith</w:t>
      </w:r>
    </w:p>
    <w:p>
      <w:pPr>
        <w:sectPr>
          <w:pgSz w:w="11900" w:h="16838" w:orient="portrait"/>
          <w:cols w:equalWidth="0" w:num="1">
            <w:col w:w="11420"/>
          </w:cols>
          <w:pgMar w:left="240" w:top="233" w:right="239" w:bottom="393" w:gutter="0" w:footer="0" w:header="0"/>
          <w:type w:val="continuous"/>
        </w:sectPr>
      </w:pPr>
    </w:p>
    <w:p>
      <w:pPr>
        <w:spacing w:after="0" w:line="175"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393"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undertakes:</w:t>
      </w:r>
    </w:p>
    <w:p>
      <w:pPr>
        <w:spacing w:after="0" w:line="225" w:lineRule="exact"/>
        <w:rPr>
          <w:sz w:val="20"/>
          <w:szCs w:val="20"/>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40" w:hanging="654"/>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440" w:firstLine="449"/>
        <w:spacing w:after="0" w:line="293" w:lineRule="auto"/>
        <w:tabs>
          <w:tab w:leader="none" w:pos="11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440" w:firstLine="449"/>
        <w:spacing w:after="0" w:line="277" w:lineRule="auto"/>
        <w:tabs>
          <w:tab w:leader="none" w:pos="1221"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firstLine="449"/>
        <w:spacing w:after="0" w:line="264" w:lineRule="auto"/>
        <w:tabs>
          <w:tab w:leader="none" w:pos="7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20" w:firstLine="449"/>
        <w:spacing w:after="0" w:line="277" w:lineRule="auto"/>
        <w:tabs>
          <w:tab w:leader="none" w:pos="6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449"/>
        <w:spacing w:after="0" w:line="272" w:lineRule="auto"/>
        <w:tabs>
          <w:tab w:leader="none" w:pos="69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jc w:val="both"/>
        <w:ind w:firstLine="449"/>
        <w:spacing w:after="0" w:line="271" w:lineRule="auto"/>
        <w:tabs>
          <w:tab w:leader="none" w:pos="6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that the payment by the Registrant of expenses incurred or paid by a director, officer or controlling person of the Registrant in the successful defense of any action, suit of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Maa 12, 2014 .</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rPr>
              <w:t>By:</w:t>
            </w:r>
          </w:p>
        </w:tc>
        <w:tc>
          <w:tcPr>
            <w:tcW w:w="8620" w:type="dxa"/>
            <w:vAlign w:val="bottom"/>
            <w:gridSpan w:val="3"/>
          </w:tcPr>
          <w:p>
            <w:pPr>
              <w:spacing w:after="0" w:line="190" w:lineRule="exact"/>
              <w:rPr>
                <w:sz w:val="20"/>
                <w:szCs w:val="20"/>
                <w:color w:val="auto"/>
              </w:rPr>
            </w:pPr>
            <w:r>
              <w:rPr>
                <w:rFonts w:ascii="Arial" w:cs="Arial" w:eastAsia="Arial" w:hAnsi="Arial"/>
                <w:sz w:val="18"/>
                <w:szCs w:val="18"/>
                <w:color w:val="auto"/>
              </w:rPr>
              <w:t>/s/ David Harrell</w:t>
            </w:r>
          </w:p>
        </w:tc>
      </w:tr>
      <w:tr>
        <w:trPr>
          <w:trHeight w:val="222"/>
        </w:trPr>
        <w:tc>
          <w:tcPr>
            <w:tcW w:w="70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Harrell</w:t>
            </w:r>
          </w:p>
        </w:tc>
        <w:tc>
          <w:tcPr>
            <w:tcW w:w="7420" w:type="dxa"/>
            <w:vAlign w:val="bottom"/>
            <w:gridSpan w:val="2"/>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Chief Executive Officer, Principal Executive Officer and Director</w:t>
            </w:r>
          </w:p>
        </w:tc>
      </w:tr>
      <w:tr>
        <w:trPr>
          <w:trHeight w:val="230"/>
        </w:trPr>
        <w:tc>
          <w:tcPr>
            <w:tcW w:w="700" w:type="dxa"/>
            <w:vAlign w:val="bottom"/>
          </w:tcPr>
          <w:p>
            <w:pPr>
              <w:spacing w:after="0"/>
              <w:rPr>
                <w:sz w:val="20"/>
                <w:szCs w:val="20"/>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May 12, 2014</w:t>
            </w:r>
          </w:p>
        </w:tc>
      </w:tr>
      <w:tr>
        <w:trPr>
          <w:trHeight w:val="418"/>
        </w:trPr>
        <w:tc>
          <w:tcPr>
            <w:tcW w:w="700" w:type="dxa"/>
            <w:vAlign w:val="bottom"/>
          </w:tcPr>
          <w:p>
            <w:pPr>
              <w:spacing w:after="0"/>
              <w:rPr>
                <w:sz w:val="24"/>
                <w:szCs w:val="24"/>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rPr>
              <w:t>By:</w:t>
            </w:r>
          </w:p>
        </w:tc>
        <w:tc>
          <w:tcPr>
            <w:tcW w:w="8620" w:type="dxa"/>
            <w:vAlign w:val="bottom"/>
            <w:gridSpan w:val="3"/>
          </w:tcPr>
          <w:p>
            <w:pPr>
              <w:spacing w:after="0" w:line="190" w:lineRule="exact"/>
              <w:rPr>
                <w:sz w:val="20"/>
                <w:szCs w:val="20"/>
                <w:color w:val="auto"/>
              </w:rPr>
            </w:pPr>
            <w:r>
              <w:rPr>
                <w:rFonts w:ascii="Arial" w:cs="Arial" w:eastAsia="Arial" w:hAnsi="Arial"/>
                <w:sz w:val="18"/>
                <w:szCs w:val="18"/>
                <w:color w:val="auto"/>
              </w:rPr>
              <w:t>/s/ H. David Lester</w:t>
            </w:r>
          </w:p>
        </w:tc>
      </w:tr>
      <w:tr>
        <w:trPr>
          <w:trHeight w:val="222"/>
        </w:trPr>
        <w:tc>
          <w:tcPr>
            <w:tcW w:w="700" w:type="dxa"/>
            <w:vAlign w:val="bottom"/>
          </w:tcPr>
          <w:p>
            <w:pPr>
              <w:spacing w:after="0"/>
              <w:rPr>
                <w:sz w:val="19"/>
                <w:szCs w:val="19"/>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 David Lester</w:t>
            </w:r>
          </w:p>
        </w:tc>
        <w:tc>
          <w:tcPr>
            <w:tcW w:w="7260" w:type="dxa"/>
            <w:vAlign w:val="bottom"/>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w w:val="93"/>
              </w:rPr>
              <w:t>Chief Operating Officer, Chief Financial Officer, Principal Accounting Officer, Principal Financial Officer and Director</w:t>
            </w:r>
          </w:p>
        </w:tc>
      </w:tr>
      <w:tr>
        <w:trPr>
          <w:trHeight w:val="230"/>
        </w:trPr>
        <w:tc>
          <w:tcPr>
            <w:tcW w:w="700" w:type="dxa"/>
            <w:vAlign w:val="bottom"/>
          </w:tcPr>
          <w:p>
            <w:pPr>
              <w:spacing w:after="0"/>
              <w:rPr>
                <w:sz w:val="20"/>
                <w:szCs w:val="20"/>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May 12, 2014</w:t>
            </w:r>
          </w:p>
        </w:tc>
      </w:tr>
      <w:tr>
        <w:trPr>
          <w:trHeight w:val="432"/>
        </w:trPr>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60" w:type="dxa"/>
            <w:vAlign w:val="bottom"/>
          </w:tcPr>
          <w:p>
            <w:pPr>
              <w:ind w:left="2540"/>
              <w:spacing w:after="0"/>
              <w:rPr>
                <w:sz w:val="20"/>
                <w:szCs w:val="20"/>
                <w:color w:val="auto"/>
              </w:rPr>
            </w:pPr>
            <w:r>
              <w:rPr>
                <w:rFonts w:ascii="Arial" w:cs="Arial" w:eastAsia="Arial" w:hAnsi="Arial"/>
                <w:sz w:val="18"/>
                <w:szCs w:val="18"/>
                <w:b w:val="1"/>
                <w:bCs w:val="1"/>
                <w:color w:val="auto"/>
              </w:rPr>
              <w:t>POWER OF ATTORNEY</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0720" w:type="dxa"/>
            <w:vAlign w:val="bottom"/>
            <w:gridSpan w:val="4"/>
          </w:tcPr>
          <w:p>
            <w:pPr>
              <w:spacing w:after="0"/>
              <w:rPr>
                <w:sz w:val="20"/>
                <w:szCs w:val="20"/>
                <w:color w:val="auto"/>
              </w:rPr>
            </w:pPr>
            <w:r>
              <w:rPr>
                <w:rFonts w:ascii="Arial" w:cs="Arial" w:eastAsia="Arial" w:hAnsi="Arial"/>
                <w:sz w:val="18"/>
                <w:szCs w:val="18"/>
                <w:color w:val="auto"/>
              </w:rPr>
              <w:t>/s/ David Harrell</w:t>
            </w:r>
          </w:p>
        </w:tc>
      </w:tr>
      <w:tr>
        <w:trPr>
          <w:trHeight w:val="222"/>
        </w:trPr>
        <w:tc>
          <w:tcPr>
            <w:tcW w:w="700" w:type="dxa"/>
            <w:vAlign w:val="bottom"/>
          </w:tcPr>
          <w:p>
            <w:pPr>
              <w:spacing w:after="0"/>
              <w:rPr>
                <w:sz w:val="19"/>
                <w:szCs w:val="19"/>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Harrell</w:t>
            </w:r>
          </w:p>
        </w:tc>
        <w:tc>
          <w:tcPr>
            <w:tcW w:w="9520" w:type="dxa"/>
            <w:vAlign w:val="bottom"/>
            <w:gridSpan w:val="2"/>
          </w:tcPr>
          <w:p>
            <w:pPr>
              <w:spacing w:after="0"/>
              <w:rPr>
                <w:sz w:val="19"/>
                <w:szCs w:val="19"/>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0720" w:type="dxa"/>
            <w:vAlign w:val="bottom"/>
            <w:gridSpan w:val="4"/>
          </w:tcPr>
          <w:p>
            <w:pPr>
              <w:spacing w:after="0"/>
              <w:rPr>
                <w:sz w:val="20"/>
                <w:szCs w:val="20"/>
                <w:color w:val="auto"/>
              </w:rPr>
            </w:pPr>
            <w:r>
              <w:rPr>
                <w:rFonts w:ascii="Arial" w:cs="Arial" w:eastAsia="Arial" w:hAnsi="Arial"/>
                <w:sz w:val="18"/>
                <w:szCs w:val="18"/>
                <w:color w:val="auto"/>
              </w:rPr>
              <w:t>Chief Executive Officer, Principal Executive Officer and 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10720" w:type="dxa"/>
            <w:vAlign w:val="bottom"/>
            <w:gridSpan w:val="4"/>
          </w:tcPr>
          <w:p>
            <w:pPr>
              <w:spacing w:after="0"/>
              <w:rPr>
                <w:sz w:val="20"/>
                <w:szCs w:val="20"/>
                <w:color w:val="auto"/>
              </w:rPr>
            </w:pPr>
            <w:r>
              <w:rPr>
                <w:rFonts w:ascii="Arial" w:cs="Arial" w:eastAsia="Arial" w:hAnsi="Arial"/>
                <w:sz w:val="18"/>
                <w:szCs w:val="18"/>
                <w:color w:val="auto"/>
              </w:rPr>
              <w:t>May 12, 2014</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0720" w:type="dxa"/>
            <w:vAlign w:val="bottom"/>
            <w:gridSpan w:val="4"/>
          </w:tcPr>
          <w:p>
            <w:pPr>
              <w:spacing w:after="0"/>
              <w:rPr>
                <w:sz w:val="20"/>
                <w:szCs w:val="20"/>
                <w:color w:val="auto"/>
              </w:rPr>
            </w:pPr>
            <w:r>
              <w:rPr>
                <w:rFonts w:ascii="Arial" w:cs="Arial" w:eastAsia="Arial" w:hAnsi="Arial"/>
                <w:sz w:val="18"/>
                <w:szCs w:val="18"/>
                <w:color w:val="auto"/>
              </w:rPr>
              <w:t>/s/ David Lester</w:t>
            </w:r>
          </w:p>
        </w:tc>
      </w:tr>
      <w:tr>
        <w:trPr>
          <w:trHeight w:val="222"/>
        </w:trPr>
        <w:tc>
          <w:tcPr>
            <w:tcW w:w="70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Lester</w:t>
            </w:r>
          </w:p>
        </w:tc>
        <w:tc>
          <w:tcPr>
            <w:tcW w:w="9580" w:type="dxa"/>
            <w:vAlign w:val="bottom"/>
            <w:gridSpan w:val="3"/>
          </w:tcPr>
          <w:p>
            <w:pPr>
              <w:spacing w:after="0"/>
              <w:rPr>
                <w:sz w:val="19"/>
                <w:szCs w:val="19"/>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0720" w:type="dxa"/>
            <w:vAlign w:val="bottom"/>
            <w:gridSpan w:val="4"/>
          </w:tcPr>
          <w:p>
            <w:pPr>
              <w:spacing w:after="0"/>
              <w:rPr>
                <w:sz w:val="20"/>
                <w:szCs w:val="20"/>
                <w:color w:val="auto"/>
              </w:rPr>
            </w:pPr>
            <w:r>
              <w:rPr>
                <w:rFonts w:ascii="Arial" w:cs="Arial" w:eastAsia="Arial" w:hAnsi="Arial"/>
                <w:sz w:val="18"/>
                <w:szCs w:val="18"/>
                <w:color w:val="auto"/>
              </w:rPr>
              <w:t>Chief Operating Officer, Chief Financial Officer, Principal Accounting Officer, and 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10720" w:type="dxa"/>
            <w:vAlign w:val="bottom"/>
            <w:gridSpan w:val="4"/>
          </w:tcPr>
          <w:p>
            <w:pPr>
              <w:spacing w:after="0"/>
              <w:rPr>
                <w:sz w:val="20"/>
                <w:szCs w:val="20"/>
                <w:color w:val="auto"/>
              </w:rPr>
            </w:pPr>
            <w:r>
              <w:rPr>
                <w:rFonts w:ascii="Arial" w:cs="Arial" w:eastAsia="Arial" w:hAnsi="Arial"/>
                <w:sz w:val="18"/>
                <w:szCs w:val="18"/>
                <w:color w:val="auto"/>
              </w:rPr>
              <w:t>May 12, 2014</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0720" w:type="dxa"/>
            <w:vAlign w:val="bottom"/>
            <w:gridSpan w:val="4"/>
          </w:tcPr>
          <w:p>
            <w:pPr>
              <w:spacing w:after="0"/>
              <w:rPr>
                <w:sz w:val="20"/>
                <w:szCs w:val="20"/>
                <w:color w:val="auto"/>
              </w:rPr>
            </w:pPr>
            <w:r>
              <w:rPr>
                <w:rFonts w:ascii="Arial" w:cs="Arial" w:eastAsia="Arial" w:hAnsi="Arial"/>
                <w:sz w:val="18"/>
                <w:szCs w:val="18"/>
                <w:color w:val="auto"/>
              </w:rPr>
              <w:t>/s/ Terence J. Hamilton</w:t>
            </w:r>
          </w:p>
        </w:tc>
      </w:tr>
      <w:tr>
        <w:trPr>
          <w:trHeight w:val="222"/>
        </w:trPr>
        <w:tc>
          <w:tcPr>
            <w:tcW w:w="700" w:type="dxa"/>
            <w:vAlign w:val="bottom"/>
          </w:tcPr>
          <w:p>
            <w:pPr>
              <w:spacing w:after="0"/>
              <w:rPr>
                <w:sz w:val="19"/>
                <w:szCs w:val="19"/>
                <w:color w:val="auto"/>
              </w:rPr>
            </w:pPr>
          </w:p>
        </w:tc>
        <w:tc>
          <w:tcPr>
            <w:tcW w:w="1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Terence J. Hamilton</w:t>
            </w:r>
          </w:p>
        </w:tc>
        <w:tc>
          <w:tcPr>
            <w:tcW w:w="9060" w:type="dxa"/>
            <w:vAlign w:val="bottom"/>
          </w:tcPr>
          <w:p>
            <w:pPr>
              <w:spacing w:after="0"/>
              <w:rPr>
                <w:sz w:val="19"/>
                <w:szCs w:val="19"/>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0720" w:type="dxa"/>
            <w:vAlign w:val="bottom"/>
            <w:gridSpan w:val="4"/>
          </w:tcPr>
          <w:p>
            <w:pPr>
              <w:spacing w:after="0"/>
              <w:rPr>
                <w:sz w:val="20"/>
                <w:szCs w:val="20"/>
                <w:color w:val="auto"/>
              </w:rPr>
            </w:pPr>
            <w:r>
              <w:rPr>
                <w:rFonts w:ascii="Arial" w:cs="Arial" w:eastAsia="Arial" w:hAnsi="Arial"/>
                <w:sz w:val="18"/>
                <w:szCs w:val="18"/>
                <w:color w:val="auto"/>
              </w:rPr>
              <w:t>V.P. of Sales and 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10720" w:type="dxa"/>
            <w:vAlign w:val="bottom"/>
            <w:gridSpan w:val="4"/>
          </w:tcPr>
          <w:p>
            <w:pPr>
              <w:spacing w:after="0"/>
              <w:rPr>
                <w:sz w:val="20"/>
                <w:szCs w:val="20"/>
                <w:color w:val="auto"/>
              </w:rPr>
            </w:pPr>
            <w:r>
              <w:rPr>
                <w:rFonts w:ascii="Arial" w:cs="Arial" w:eastAsia="Arial" w:hAnsi="Arial"/>
                <w:sz w:val="18"/>
                <w:szCs w:val="18"/>
                <w:color w:val="auto"/>
              </w:rPr>
              <w:t>May 12, 2014</w:t>
            </w:r>
          </w:p>
        </w:tc>
      </w:tr>
      <w:tr>
        <w:trPr>
          <w:trHeight w:val="176"/>
        </w:trPr>
        <w:tc>
          <w:tcPr>
            <w:tcW w:w="7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tcPr>
          <w:p>
            <w:pPr>
              <w:spacing w:after="0"/>
              <w:rPr>
                <w:sz w:val="15"/>
                <w:szCs w:val="15"/>
                <w:color w:val="auto"/>
              </w:rPr>
            </w:pPr>
          </w:p>
        </w:tc>
      </w:tr>
      <w:tr>
        <w:trPr>
          <w:trHeight w:val="224"/>
        </w:trPr>
        <w:tc>
          <w:tcPr>
            <w:tcW w:w="700" w:type="dxa"/>
            <w:vAlign w:val="bottom"/>
          </w:tcPr>
          <w:p>
            <w:pPr>
              <w:spacing w:after="0"/>
              <w:rPr>
                <w:sz w:val="19"/>
                <w:szCs w:val="19"/>
                <w:color w:val="auto"/>
              </w:rPr>
            </w:pPr>
          </w:p>
        </w:tc>
        <w:tc>
          <w:tcPr>
            <w:tcW w:w="10720" w:type="dxa"/>
            <w:vAlign w:val="bottom"/>
            <w:gridSpan w:val="4"/>
          </w:tcPr>
          <w:p>
            <w:pPr>
              <w:ind w:left="492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233" w:right="239" w:bottom="1440" w:gutter="0" w:footer="0" w:header="0"/>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ind w:right="40"/>
        <w:spacing w:after="0" w:line="261" w:lineRule="auto"/>
        <w:rPr>
          <w:sz w:val="20"/>
          <w:szCs w:val="20"/>
          <w:color w:val="auto"/>
        </w:rPr>
      </w:pPr>
      <w:r>
        <w:rPr>
          <w:rFonts w:ascii="Arial" w:cs="Arial" w:eastAsia="Arial" w:hAnsi="Arial"/>
          <w:sz w:val="18"/>
          <w:szCs w:val="18"/>
          <w:b w:val="1"/>
          <w:bCs w:val="1"/>
          <w:color w:val="auto"/>
        </w:rPr>
        <w:t>THE SECURITIES REPRESENTED BY THIS CERTIFICATE HAVE NOT BEEN REGISTERED UNDER THE SECURITIES ACT OF 1933, AS AMENDED, OR REGISTERED OR QUALIFIED UNDER ANY STATE SECURITIES LAWS. THE SECURITIES MAY NOT BE SOLD, TRANSFERRED, PLEDGED OR HYPOTHECATED UNLESS SUCH SALE, TRANSFER, PLEDGE OR HYPOTHECATION IS IN ACCORDANCE WITH SUCH ACT AND APPLICABLE STATE SECURITIES 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 Shares of Common Stock: 212,526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Purchase Common Stock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Corporation</w:t>
      </w:r>
    </w:p>
    <w:p>
      <w:pPr>
        <w:spacing w:after="0" w:line="2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This Warrant certifies that Taglich Brothers, Inc. (“Purchaser”), is entitled to purchase from OptimizeRx Corp., a Nevada corporation (the “Company”), 212,526 shares of Common Stock (or any portion thereof) at an exercise price of $1.20 per share of Common Stock, all on the terms and conditions hereinafter provided.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Warrant, unless the context otherwise requires: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w:t>
      </w:r>
      <w:r>
        <w:rPr>
          <w:rFonts w:ascii="Arial" w:cs="Arial" w:eastAsia="Arial" w:hAnsi="Arial"/>
          <w:sz w:val="18"/>
          <w:szCs w:val="18"/>
          <w:color w:val="auto"/>
        </w:rPr>
        <w:t>” shall mean the Articles of Incorporation of the Company, as in effect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Company’s authorized common stock, $0.001 par value per share.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shall mean the exercise price per share of Common Stock set forth above, as adjusted from time to time pursuant to Section 3 hereof.</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w:t>
      </w:r>
      <w:r>
        <w:rPr>
          <w:rFonts w:ascii="Arial" w:cs="Arial" w:eastAsia="Arial" w:hAnsi="Arial"/>
          <w:sz w:val="18"/>
          <w:szCs w:val="18"/>
          <w:color w:val="auto"/>
        </w:rPr>
        <w:t>” shall mean this Warrant and all additional or new warrants issued upon division or combination of, or in substitution for, this Warrant. All such additional or new warrants shall at all times be identical as to terms and conditions and date, except as to the number of shares of Common Stock for which they may be exercised.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Stock</w:t>
      </w:r>
      <w:r>
        <w:rPr>
          <w:rFonts w:ascii="Arial" w:cs="Arial" w:eastAsia="Arial" w:hAnsi="Arial"/>
          <w:sz w:val="18"/>
          <w:szCs w:val="18"/>
          <w:color w:val="auto"/>
        </w:rPr>
        <w:t>” shall mean the shares of Common Stock purchasable by the holder of this Warrant upon the exercise of such Warrant.</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Warrantholder</w:t>
      </w:r>
      <w:r>
        <w:rPr>
          <w:rFonts w:ascii="Arial" w:cs="Arial" w:eastAsia="Arial" w:hAnsi="Arial"/>
          <w:sz w:val="18"/>
          <w:szCs w:val="18"/>
          <w:color w:val="auto"/>
        </w:rPr>
        <w:t>” shall mean the Purchaser, as the initial holder of this Warrant, and its nominees, successors or assigns, including any subsequent holder of this Warrant to whom it has been legally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sz w:val="20"/>
          <w:szCs w:val="20"/>
          <w:color w:val="auto"/>
        </w:rPr>
      </w:pPr>
    </w:p>
    <w:p>
      <w:pPr>
        <w:ind w:right="20" w:firstLine="8"/>
        <w:spacing w:after="0" w:line="277" w:lineRule="auto"/>
        <w:tabs>
          <w:tab w:leader="none" w:pos="2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any time after the date hereof, the Purchaser may at any time and from time to time exercise this Warrant, in whole or in part. This Warrant expires five years from the date hereof.</w:t>
      </w:r>
    </w:p>
    <w:p>
      <w:pPr>
        <w:spacing w:after="0" w:line="183" w:lineRule="exact"/>
        <w:rPr>
          <w:rFonts w:ascii="Arial" w:cs="Arial" w:eastAsia="Arial" w:hAnsi="Arial"/>
          <w:sz w:val="18"/>
          <w:szCs w:val="18"/>
          <w:color w:val="auto"/>
        </w:rPr>
      </w:pPr>
    </w:p>
    <w:p>
      <w:pPr>
        <w:jc w:val="both"/>
        <w:ind w:firstLine="8"/>
        <w:spacing w:after="0" w:line="255" w:lineRule="auto"/>
        <w:tabs>
          <w:tab w:leader="none" w:pos="2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The Warrantholder shall exercise this Warrant by means of delivering to the Company at its office identified in Section 14 hereof (i) a written notice of exercise, including the number of shares of Warrant Stock to be delivered pursuant to such exercise, (ii) this Warrant and (iii) payment equal to the Exercise Price in accordance with Section 2(b)(ii). In the event that any exercise shall not be for all shares of Warrant Stock purchasable hereunder, the Company shall deliver to the Warrantholder a new Warrant registered in the name of the Warrantholder, of like tenor to this Warrant and for the remaining shares of Warrant Stock purchasable hereunder, within ten (10) days of any such exercise. Such notice of exercise shall be in the Subscription Form set out at the end of this Warrant.</w:t>
      </w:r>
    </w:p>
    <w:p>
      <w:pPr>
        <w:spacing w:after="0" w:line="193" w:lineRule="exact"/>
        <w:rPr>
          <w:rFonts w:ascii="Arial" w:cs="Arial" w:eastAsia="Arial" w:hAnsi="Arial"/>
          <w:sz w:val="18"/>
          <w:szCs w:val="18"/>
          <w:color w:val="auto"/>
        </w:rPr>
      </w:pPr>
    </w:p>
    <w:p>
      <w:pPr>
        <w:ind w:left="700" w:hanging="260"/>
        <w:spacing w:after="0"/>
        <w:tabs>
          <w:tab w:leader="none" w:pos="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Warrantholder may elect to pay the Exercise Price to the Company either by cash, certified check or wire transfer.</w:t>
      </w:r>
    </w:p>
    <w:p>
      <w:pPr>
        <w:spacing w:after="0" w:line="225" w:lineRule="exact"/>
        <w:rPr>
          <w:rFonts w:ascii="Arial" w:cs="Arial" w:eastAsia="Arial" w:hAnsi="Arial"/>
          <w:sz w:val="18"/>
          <w:szCs w:val="18"/>
          <w:color w:val="auto"/>
        </w:rPr>
      </w:pPr>
    </w:p>
    <w:p>
      <w:pPr>
        <w:jc w:val="both"/>
        <w:ind w:firstLine="8"/>
        <w:spacing w:after="0" w:line="264" w:lineRule="auto"/>
        <w:tabs>
          <w:tab w:leader="none" w:pos="2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exercise of this Warrant and delivery of the Subscription Form with proper payment relating thereto, the Company shall cause to be executed and delivered to the Warrantholder a certificate or certificates representing the aggregate number of fully-paid and nonassessable shares of Common Stock issuable upon such exercise.</w:t>
      </w:r>
    </w:p>
    <w:p>
      <w:pPr>
        <w:spacing w:after="0" w:line="194" w:lineRule="exact"/>
        <w:rPr>
          <w:rFonts w:ascii="Arial" w:cs="Arial" w:eastAsia="Arial" w:hAnsi="Arial"/>
          <w:sz w:val="18"/>
          <w:szCs w:val="18"/>
          <w:color w:val="auto"/>
        </w:rPr>
      </w:pPr>
    </w:p>
    <w:p>
      <w:pPr>
        <w:jc w:val="both"/>
        <w:ind w:firstLine="8"/>
        <w:spacing w:after="0" w:line="276" w:lineRule="auto"/>
        <w:tabs>
          <w:tab w:leader="none" w:pos="25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stock certificate or certificates for Warrant Stock to be delivered in accordance with this Section 2 shall be in such denominations as may be specified in said notice of exercise and shall be registered in the name of the Warrantholder or such other name or names as shall be designated in said notice. Such certificate or certificates shall be deemed to have been issued and the Warrantholder or any other person so designated to be named therein shall be deemed to have become the holder of record of such shares, including to the extent permitted by law the right to vote such shares or to consent or to receive notice as stockholders, as of the time said notice is delivered to the Company as aforesaid.</w:t>
      </w:r>
    </w:p>
    <w:p>
      <w:pPr>
        <w:spacing w:after="0" w:line="186" w:lineRule="exact"/>
        <w:rPr>
          <w:rFonts w:ascii="Arial" w:cs="Arial" w:eastAsia="Arial" w:hAnsi="Arial"/>
          <w:sz w:val="17"/>
          <w:szCs w:val="17"/>
          <w:color w:val="auto"/>
        </w:rPr>
      </w:pPr>
    </w:p>
    <w:p>
      <w:pPr>
        <w:ind w:firstLine="8"/>
        <w:spacing w:after="0" w:line="277" w:lineRule="auto"/>
        <w:tabs>
          <w:tab w:leader="none" w:pos="2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pay all expenses payable in connection with the preparation, issue and delivery of stock certificates under this Section 2, resulting from the exercise of the Warrant and the issuance of Warrant Stock hereunder.</w:t>
      </w:r>
    </w:p>
    <w:p>
      <w:pPr>
        <w:spacing w:after="0" w:line="183"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shares of Warrant Stock issuable upon the exercise of this Warrant in accordance with the terms hereof shall be validly issued, fully paid and nonassessable, and free from all liens and other encumbrances thereon, other than liens or other encumbrances created by the Warrantholder.</w:t>
      </w:r>
    </w:p>
    <w:p>
      <w:pPr>
        <w:spacing w:after="0" w:line="146" w:lineRule="exact"/>
        <w:rPr>
          <w:rFonts w:ascii="Arial" w:cs="Arial" w:eastAsia="Arial" w:hAnsi="Arial"/>
          <w:sz w:val="17"/>
          <w:szCs w:val="17"/>
          <w:color w:val="auto"/>
        </w:rPr>
      </w:pPr>
    </w:p>
    <w:p>
      <w:pPr>
        <w:jc w:val="both"/>
        <w:ind w:firstLine="8"/>
        <w:spacing w:after="0" w:line="264" w:lineRule="auto"/>
        <w:tabs>
          <w:tab w:leader="none" w:pos="2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no event shall any fractional share of Common Stock of the Company be issued upon any exercise of this Warrant. If, upon any exercise of this Warrant, the Warrantholder would, except as provided in this paragraph, be entitled to receive a fractional share of Common Stock, then the Company shall deliver in cash to such holder an amount equal to such fractional interest.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Adjustment of Exercise Price and Warrant Stock</w:t>
      </w:r>
      <w:r>
        <w:rPr>
          <w:rFonts w:ascii="Arial" w:cs="Arial" w:eastAsia="Arial" w:hAnsi="Arial"/>
          <w:sz w:val="18"/>
          <w:szCs w:val="18"/>
          <w:color w:val="auto"/>
        </w:rPr>
        <w:t>.</w:t>
      </w:r>
    </w:p>
    <w:p>
      <w:pPr>
        <w:spacing w:after="0" w:line="239" w:lineRule="exact"/>
        <w:rPr>
          <w:sz w:val="20"/>
          <w:szCs w:val="20"/>
          <w:color w:val="auto"/>
        </w:rPr>
      </w:pPr>
    </w:p>
    <w:p>
      <w:pPr>
        <w:jc w:val="both"/>
        <w:ind w:firstLine="8"/>
        <w:spacing w:after="0" w:line="272" w:lineRule="auto"/>
        <w:tabs>
          <w:tab w:leader="none" w:pos="253"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at any time prior to the Expiration Date, the number of outstanding shares of Common Stock is (i) increased by a stock dividend payable in shares of Common Stock or by a subdivision or split-up of shares of Common Stock, or (ii) decreased by a combination of shares of Common Stock, then, following the record date fixed for the determination of holders of Common Stock entitled to receive the benefits of such stock dividend, subdivision, split-up, or combination, the Exercise Price shall be adjusted to a new amount equal to the product of (I) the Exercise Price in effect on such record date and (II) the quotient obtained by dividing (x) the number of shares of Common Stock outstanding on such record date (without giving effect to the event referred to in the foregoing clause (i) or (ii)), by (y) the number of shares of Common Stock which would be outstanding immediately after the event referred to in the foregoing clause (i) or (ii), if such event had occurred immediately following such record date.</w:t>
      </w:r>
    </w:p>
    <w:p>
      <w:pPr>
        <w:spacing w:after="0" w:line="177" w:lineRule="exact"/>
        <w:rPr>
          <w:rFonts w:ascii="Arial" w:cs="Arial" w:eastAsia="Arial" w:hAnsi="Arial"/>
          <w:sz w:val="17"/>
          <w:szCs w:val="17"/>
          <w:color w:val="auto"/>
        </w:rPr>
      </w:pPr>
    </w:p>
    <w:p>
      <w:pPr>
        <w:jc w:val="both"/>
        <w:ind w:firstLine="8"/>
        <w:spacing w:after="0" w:line="259" w:lineRule="auto"/>
        <w:tabs>
          <w:tab w:leader="none" w:pos="2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each adjustment of the Exercise Price as provided in Section 3 (a), the Warrantholder shall thereafter be entitled to subscribe for and purchase, at the Exercise Price resulting from such adjustment, the number of shares of Warrant Stock equal to the product of (i) the number of shares of Warrant Stock existing prior to such adjustment and (ii) the quotient obtained by dividing (I) the Exercise Price existing prior to such adjustment by (II) the new Exercise Price resulting from such adjustment.</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Division and Combination</w:t>
      </w:r>
      <w:r>
        <w:rPr>
          <w:rFonts w:ascii="Arial" w:cs="Arial" w:eastAsia="Arial" w:hAnsi="Arial"/>
          <w:sz w:val="18"/>
          <w:szCs w:val="18"/>
          <w:color w:val="auto"/>
        </w:rPr>
        <w:t>. This Warrant may be divided or combined with other Warrants upon presentation at the aforesaid office of the Company, together with a written notice specifying the names and denominations in which new Warrants are to be issued, signed by the Warrantholder or its agent or attorney. The Company shall pay all expenses in connection with the preparation, issue and delivery of Warrants under this Section 4, including any transfer taxes resulting from the division or combination hereunder. The Company agrees to maintain at its aforesaid office books for the registration of the Warrants.</w:t>
      </w:r>
    </w:p>
    <w:p>
      <w:pPr>
        <w:spacing w:after="0" w:line="18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Reclassification, Etc</w:t>
      </w:r>
      <w:r>
        <w:rPr>
          <w:rFonts w:ascii="Arial" w:cs="Arial" w:eastAsia="Arial" w:hAnsi="Arial"/>
          <w:sz w:val="17"/>
          <w:szCs w:val="17"/>
          <w:color w:val="auto"/>
        </w:rPr>
        <w:t>. In case of any reclassification or change of the outstanding Common of the Company (other than as a result of a subdivision, combination or stock dividend), or in case of any consolidation of the Company with, or merger of the Company into, another corporation or other business organization (other than a consolidation or merger in which the Company is the continuing corporation and which does not result in any reclassification or change of the outstanding Common Stock of the Company) at any time prior to the Expiration Date, then, as a condition of such reclassification, reorganization, change, consolidation or merger, lawful provision shall be made, and duly executed documents evidencing the same from the Company or its successor shall be delivered to the Warrantholder, so that the Warrantholder shall have the right prior to the Expiration Date to purchase, at a total price not to exceed that payable upon the exercise of this Warrant, the kind and amount of shares of stock and other securities and property receivable upon such reclassification, reorganization, change, consolidation or merger by a holder of the number of shares of Common Stock of the Company which might have been purchased by the Warrantholder immediately prior to such reclassification, reorganization, change, consolidation or merger, in any such case appropriate provisions shall be made with respect to the rights and interest of the Warrantholder to the end that the provisions hereof (including provisions for the adjustment of the Exercise Price and of the number of shares purchasable upon exercise of this Warrant) shall thereafter be applicable in relation to any shares of stock and other securities and property thereafter deliverable upon exercise 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397" w:gutter="0" w:footer="0" w:header="0"/>
        </w:sectPr>
      </w:pPr>
    </w:p>
    <w:bookmarkStart w:id="61" w:name="page62"/>
    <w:bookmarkEnd w:id="61"/>
    <w:p>
      <w:pPr>
        <w:jc w:val="both"/>
        <w:ind w:firstLine="432"/>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Reservation and Authorization of Capital Stock</w:t>
      </w:r>
      <w:r>
        <w:rPr>
          <w:rFonts w:ascii="Arial" w:cs="Arial" w:eastAsia="Arial" w:hAnsi="Arial"/>
          <w:sz w:val="18"/>
          <w:szCs w:val="18"/>
          <w:color w:val="auto"/>
        </w:rPr>
        <w:t>. The Company shall at all times reserve and keep available for issuance such number of its authorized but unissued shares of Common Stock as will be sufficient to permit the exercise in full of all outstanding Warrants.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Stock and Warrant Books</w:t>
      </w:r>
      <w:r>
        <w:rPr>
          <w:rFonts w:ascii="Arial" w:cs="Arial" w:eastAsia="Arial" w:hAnsi="Arial"/>
          <w:sz w:val="18"/>
          <w:szCs w:val="18"/>
          <w:color w:val="auto"/>
        </w:rPr>
        <w:t>. The Company will not at any time, except upon dissolution, liquidation or winding up, close its stock books or Warrant books so as to result in preventing or delaying the exercise of any Warrant.</w:t>
      </w:r>
    </w:p>
    <w:p>
      <w:pPr>
        <w:spacing w:after="0" w:line="1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provisions hereof, in the absence of affirmative action by the Warrantholder to purchase Warrant Stock hereunder, shall give rise to any liability of the Warrantholder to pay the Exercise Price or as a stockholder of the Company (whether such liability is asserted by the Company or creditors of the Company).</w:t>
      </w:r>
    </w:p>
    <w:p>
      <w:pPr>
        <w:spacing w:after="0" w:line="19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piggyback registration rights for the Warrant Stock issuable upon exercise of this Warrant. If for any reason the Company is unable to register the shares of common stock in the initial registered offering, the Company will endeavor to register the shares in a subsequent offering unless the shares are eligible under transferability under Rule 144.</w:t>
      </w:r>
    </w:p>
    <w:p>
      <w:pPr>
        <w:jc w:val="both"/>
        <w:ind w:firstLine="432"/>
        <w:spacing w:after="0" w:line="293"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Transfer</w:t>
      </w:r>
      <w:r>
        <w:rPr>
          <w:rFonts w:ascii="Arial" w:cs="Arial" w:eastAsia="Arial" w:hAnsi="Arial"/>
          <w:sz w:val="16"/>
          <w:szCs w:val="16"/>
          <w:color w:val="auto"/>
        </w:rPr>
        <w:t>. Subject to compliance with the Securities Act and the applicable rules and regulations promulgated thereunder, this Warrant and all rights hereunder shall be transferable in whole or in part. Any such transfer shall be made at the office or agency of the Company at which this Warrant is exercisable, by the registered holder hereof in person or by its duly authorized attorney, upon surrender of this Warrant together with the assignment hereof properly endorsed, and promptly thereafter a new warrant shall be issued and delivered by the Company, registered in the name of the assignee. Until registration of transfer hereof on the books of the Company, the Company may treat the Purchaser as the owner hereof for all purposes</w:t>
      </w:r>
      <w:r>
        <w:rPr>
          <w:rFonts w:ascii="Arial" w:cs="Arial" w:eastAsia="Arial" w:hAnsi="Arial"/>
          <w:sz w:val="17"/>
          <w:szCs w:val="17"/>
          <w:color w:val="auto"/>
        </w:rPr>
        <w:t>.</w:t>
      </w:r>
    </w:p>
    <w:p>
      <w:pPr>
        <w:spacing w:after="0" w:line="17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Investment Representations; Restrictions on Transfer of Warrant Stock</w:t>
      </w:r>
      <w:r>
        <w:rPr>
          <w:rFonts w:ascii="Arial" w:cs="Arial" w:eastAsia="Arial" w:hAnsi="Arial"/>
          <w:sz w:val="17"/>
          <w:szCs w:val="17"/>
          <w:color w:val="auto"/>
        </w:rPr>
        <w:t>. Unless a current registration statement under the Securities Act shall be in effect with respect to the Warrant Stock to be issued upon exercise of this Warrant, the Warrantholder, by accepting this Warrant, covenants and agrees that, at the time of exercise hereof, and at the time of any proposed transfer of Warrant Stock acquired upon exercise hereof, such Warrantholder will deliver to the Company a written statement that the securities acquired by the Warrantholder upon exercise hereof are for the account of the Warrantholder or are being held by the Warrantholder as trustee, investment manager, investment advisor or as any other fiduciary for the account of the beneficial owner or owners for investment and are not acquired with a view to, or for sale in connection with, any distribution thereof (or any portion thereof) and with no present intention (at any such time) of offering and distributing such securities (or any portion thereof).</w:t>
      </w:r>
    </w:p>
    <w:p>
      <w:pPr>
        <w:spacing w:after="0" w:line="19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Loss, Destruction of Warrant Certificates</w:t>
      </w:r>
      <w:r>
        <w:rPr>
          <w:rFonts w:ascii="Arial" w:cs="Arial" w:eastAsia="Arial" w:hAnsi="Arial"/>
          <w:sz w:val="16"/>
          <w:szCs w:val="16"/>
          <w:color w:val="auto"/>
        </w:rPr>
        <w:t>. Upon receipt of evidence satisfactory to the Company of the loss, theft, destruction or mutilation of any Warrant and, in the case of any such loss, theft or destruction, upon receipt of indemnity and/or security satisfactory to the Company or, in the case of any such mutilation, upon surrender and cancellation of such Warrant, the Company will make and deliver, in lieu of such lost, stolen, destroyed or mutilated Warrant, a new Warrant of like tenor and representing the right to purchase the same aggregate number of shares of Common Stock.</w:t>
      </w:r>
    </w:p>
    <w:p>
      <w:pPr>
        <w:spacing w:after="0" w:line="1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w:t>
      </w:r>
      <w:r>
        <w:rPr>
          <w:rFonts w:ascii="Arial" w:cs="Arial" w:eastAsia="Arial" w:hAnsi="Arial"/>
          <w:sz w:val="18"/>
          <w:szCs w:val="18"/>
          <w:color w:val="auto"/>
        </w:rPr>
        <w:t>. The terms of this Warrant may be amended, and the observance of any term herein may be waived, but only with the written consent of the Company and the Warrantholder.</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Notices Generally</w:t>
      </w:r>
      <w:r>
        <w:rPr>
          <w:rFonts w:ascii="Arial" w:cs="Arial" w:eastAsia="Arial" w:hAnsi="Arial"/>
          <w:sz w:val="18"/>
          <w:szCs w:val="18"/>
          <w:color w:val="auto"/>
        </w:rPr>
        <w:t>. Any notice, request, consent, other communication or delivery pursuant to the provisions hereof shall be in writing and shall be sent by one of the following means: (i) by registered or certified first class mail, postage prepaid, return receipt requested; (ii) by facsimile transmission with confirmation of receipt; (iii) by nationally recognized courier service guaranteeing overnight delivery; or (iv) by personal delivery, and shall be properly addressed to the Warrantholder at the last known address or facsimile number appearing on the books of the Company, or, except as herein otherwise expressly provided, to the Company at its principal executive office, or such other address or facsimile number as shall have been furnished to the party giving or making such notice, demand or delivery.</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Warrant shall bind and inure to the benefit of and be enforceable by the parties hereto and their respective permitted successors and assigns.</w:t>
      </w:r>
    </w:p>
    <w:p>
      <w:pPr>
        <w:spacing w:after="0" w:line="17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In all respects, including all matters of construction, validity and performance, this Warrant and the obligations arising hereunder shall be governed by, and construed and enforced in accordance with the laws of the State of Nevada.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62" w:name="page63"/>
    <w:bookmarkEnd w:id="62"/>
    <w:p>
      <w:pPr>
        <w:ind w:left="440"/>
        <w:spacing w:after="0"/>
        <w:rPr>
          <w:sz w:val="20"/>
          <w:szCs w:val="20"/>
          <w:color w:val="auto"/>
        </w:rPr>
      </w:pPr>
      <w:r>
        <w:rPr>
          <w:rFonts w:ascii="Arial" w:cs="Arial" w:eastAsia="Arial" w:hAnsi="Arial"/>
          <w:sz w:val="16"/>
          <w:szCs w:val="16"/>
          <w:color w:val="auto"/>
        </w:rPr>
        <w:t>IN WITNESS WHEREOF, the Company has caused this Warrant to be signed in its name by its Chief Executive Officer.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Dated: March 17, 2014</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OptimizeRx Corp.</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David Harrell</w:t>
      </w:r>
    </w:p>
    <w:p>
      <w:pPr>
        <w:spacing w:after="0" w:line="21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David Harrell</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117475</wp:posOffset>
            </wp:positionV>
            <wp:extent cx="285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65" w:right="1440"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auto"/>
        </w:rPr>
        <w:t>SUBSCRIPTION FORM</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only upon exercise of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OptimizeRx Corp.</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pursuant to the provisions set forth in the attached Warrant (No. __ ), hereby irrevocably elects to purchase __________ shares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Common Stock covered by such Warrant and herewith makes payment of $__________, representing the full purchase price for such shares at the price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provided for in such Warrant.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Dated: ____________</w:t>
            </w:r>
          </w:p>
        </w:tc>
        <w:tc>
          <w:tcPr>
            <w:tcW w:w="9580" w:type="dxa"/>
            <w:vAlign w:val="bottom"/>
          </w:tcPr>
          <w:p>
            <w:pPr>
              <w:ind w:left="240"/>
              <w:spacing w:after="0"/>
              <w:rPr>
                <w:sz w:val="20"/>
                <w:szCs w:val="20"/>
                <w:color w:val="auto"/>
              </w:rPr>
            </w:pPr>
            <w:r>
              <w:rPr>
                <w:rFonts w:ascii="Arial" w:cs="Arial" w:eastAsia="Arial" w:hAnsi="Arial"/>
                <w:sz w:val="18"/>
                <w:szCs w:val="18"/>
                <w:color w:val="auto"/>
              </w:rPr>
              <w:t>Name: _______________________</w:t>
            </w:r>
          </w:p>
        </w:tc>
      </w:tr>
      <w:tr>
        <w:trPr>
          <w:trHeight w:val="216"/>
        </w:trPr>
        <w:tc>
          <w:tcPr>
            <w:tcW w:w="1840" w:type="dxa"/>
            <w:vAlign w:val="bottom"/>
          </w:tcPr>
          <w:p>
            <w:pPr>
              <w:spacing w:after="0"/>
              <w:rPr>
                <w:sz w:val="18"/>
                <w:szCs w:val="18"/>
                <w:color w:val="auto"/>
              </w:rPr>
            </w:pPr>
          </w:p>
        </w:tc>
        <w:tc>
          <w:tcPr>
            <w:tcW w:w="9580" w:type="dxa"/>
            <w:vAlign w:val="bottom"/>
          </w:tcPr>
          <w:p>
            <w:pPr>
              <w:ind w:left="240"/>
              <w:spacing w:after="0"/>
              <w:rPr>
                <w:sz w:val="20"/>
                <w:szCs w:val="20"/>
                <w:color w:val="auto"/>
              </w:rPr>
            </w:pPr>
            <w:r>
              <w:rPr>
                <w:rFonts w:ascii="Arial" w:cs="Arial" w:eastAsia="Arial" w:hAnsi="Arial"/>
                <w:sz w:val="18"/>
                <w:szCs w:val="18"/>
                <w:color w:val="auto"/>
              </w:rPr>
              <w:t>Signature: _____________________</w:t>
            </w:r>
          </w:p>
        </w:tc>
      </w:tr>
      <w:tr>
        <w:trPr>
          <w:trHeight w:val="230"/>
        </w:trPr>
        <w:tc>
          <w:tcPr>
            <w:tcW w:w="1840" w:type="dxa"/>
            <w:vAlign w:val="bottom"/>
          </w:tcPr>
          <w:p>
            <w:pPr>
              <w:spacing w:after="0"/>
              <w:rPr>
                <w:sz w:val="20"/>
                <w:szCs w:val="20"/>
                <w:color w:val="auto"/>
              </w:rPr>
            </w:pPr>
          </w:p>
        </w:tc>
        <w:tc>
          <w:tcPr>
            <w:tcW w:w="9580" w:type="dxa"/>
            <w:vAlign w:val="bottom"/>
          </w:tcPr>
          <w:p>
            <w:pPr>
              <w:ind w:left="240"/>
              <w:spacing w:after="0"/>
              <w:rPr>
                <w:sz w:val="20"/>
                <w:szCs w:val="20"/>
                <w:color w:val="auto"/>
              </w:rPr>
            </w:pPr>
            <w:r>
              <w:rPr>
                <w:rFonts w:ascii="Arial" w:cs="Arial" w:eastAsia="Arial" w:hAnsi="Arial"/>
                <w:sz w:val="18"/>
                <w:szCs w:val="18"/>
                <w:color w:val="auto"/>
              </w:rPr>
              <w:t>Address: ______________________</w:t>
            </w:r>
          </w:p>
        </w:tc>
      </w:tr>
      <w:tr>
        <w:trPr>
          <w:trHeight w:val="216"/>
        </w:trPr>
        <w:tc>
          <w:tcPr>
            <w:tcW w:w="1840" w:type="dxa"/>
            <w:vAlign w:val="bottom"/>
            <w:tcBorders>
              <w:bottom w:val="single" w:sz="8" w:color="auto"/>
            </w:tcBorders>
          </w:tcPr>
          <w:p>
            <w:pPr>
              <w:spacing w:after="0"/>
              <w:rPr>
                <w:sz w:val="18"/>
                <w:szCs w:val="18"/>
                <w:color w:val="auto"/>
              </w:rPr>
            </w:pPr>
          </w:p>
        </w:tc>
        <w:tc>
          <w:tcPr>
            <w:tcW w:w="9580" w:type="dxa"/>
            <w:vAlign w:val="bottom"/>
            <w:tcBorders>
              <w:bottom w:val="single" w:sz="8" w:color="auto"/>
            </w:tcBorders>
          </w:tcPr>
          <w:p>
            <w:pPr>
              <w:spacing w:after="0"/>
              <w:rPr>
                <w:sz w:val="18"/>
                <w:szCs w:val="18"/>
                <w:color w:val="auto"/>
              </w:rPr>
            </w:pPr>
          </w:p>
        </w:tc>
      </w:tr>
      <w:tr>
        <w:trPr>
          <w:trHeight w:val="224"/>
        </w:trPr>
        <w:tc>
          <w:tcPr>
            <w:tcW w:w="1840" w:type="dxa"/>
            <w:vAlign w:val="bottom"/>
          </w:tcPr>
          <w:p>
            <w:pPr>
              <w:spacing w:after="0"/>
              <w:rPr>
                <w:sz w:val="19"/>
                <w:szCs w:val="19"/>
                <w:color w:val="auto"/>
              </w:rPr>
            </w:pPr>
          </w:p>
        </w:tc>
        <w:tc>
          <w:tcPr>
            <w:tcW w:w="9580" w:type="dxa"/>
            <w:vAlign w:val="bottom"/>
          </w:tcPr>
          <w:p>
            <w:pPr>
              <w:jc w:val="right"/>
              <w:ind w:right="557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878" w:right="239" w:bottom="1440" w:gutter="0" w:footer="0" w:header="0"/>
        </w:sectPr>
      </w:pPr>
    </w:p>
    <w:bookmarkStart w:id="64" w:name="page65"/>
    <w:bookmarkEnd w:id="6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both"/>
        <w:spacing w:after="0" w:line="261" w:lineRule="auto"/>
        <w:rPr>
          <w:sz w:val="20"/>
          <w:szCs w:val="20"/>
          <w:color w:val="auto"/>
        </w:rPr>
      </w:pPr>
      <w:r>
        <w:rPr>
          <w:rFonts w:ascii="Arial" w:cs="Arial" w:eastAsia="Arial" w:hAnsi="Arial"/>
          <w:sz w:val="18"/>
          <w:szCs w:val="18"/>
          <w:b w:val="1"/>
          <w:bCs w:val="1"/>
          <w:color w:val="auto"/>
        </w:rPr>
        <w:t>THE SECURITIES REPRESENTED BY THIS CERTIFICATE HAVE NOT BEEN REGISTERED UNDER THE SECURITIES ACT OF 1933, AS AMENDED, OR REGISTERED OR QUALIFIED UNDER ANY STATE SECURITIES LAWS. THE SECURITIES MAY NOT BE SOLD, TRANSFERRED, PLEDGED OR HYPOTHECATED UNLESS SUCH SALE, TRANSFER, PLEDGE OR HYPOTHECATION IS IN ACCORDANCE WITH SUCH ACT AND APPLICABLE STATE SECURITIES 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 Shares of Common Stock: 591,613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Purchase Common Stock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Corporation</w:t>
      </w:r>
    </w:p>
    <w:p>
      <w:pPr>
        <w:spacing w:after="0" w:line="2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This Warrant certifies that Merriman Capita, Inc. (“Purchaser”), is entitled to purchase from OptimizeRx Corp., a Nevada corporation (the “Company”), 591,613 shares of Common Stock (or any portion thereof) at an exercise price of $1.20 per share of Common Stock, all on the terms and conditions hereinafter provided.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Warrant, unless the context otherwise requires: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w:t>
      </w:r>
      <w:r>
        <w:rPr>
          <w:rFonts w:ascii="Arial" w:cs="Arial" w:eastAsia="Arial" w:hAnsi="Arial"/>
          <w:sz w:val="18"/>
          <w:szCs w:val="18"/>
          <w:color w:val="auto"/>
        </w:rPr>
        <w:t>” shall mean the Articles of Incorporation of the Company, as in effect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Company’s authorized common stock, $0.001 par value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shall mean the exercise price per share of Common Stock set forth above, as adjusted from time to time pursuant to Section 3 hereof.</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w:t>
      </w:r>
      <w:r>
        <w:rPr>
          <w:rFonts w:ascii="Arial" w:cs="Arial" w:eastAsia="Arial" w:hAnsi="Arial"/>
          <w:sz w:val="18"/>
          <w:szCs w:val="18"/>
          <w:color w:val="auto"/>
        </w:rPr>
        <w:t>” shall mean this Warrant and all additional or new warrants issued upon division or combination of, or in substitution for, this Warrant. All such additional or new warrants shall at all times be identical as to terms and conditions and date, except as to the number of shares of Common Stock for which they may be exercised.</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Stock</w:t>
      </w:r>
      <w:r>
        <w:rPr>
          <w:rFonts w:ascii="Arial" w:cs="Arial" w:eastAsia="Arial" w:hAnsi="Arial"/>
          <w:sz w:val="18"/>
          <w:szCs w:val="18"/>
          <w:color w:val="auto"/>
        </w:rPr>
        <w:t>” shall mean the shares of Common Stock purchasable by the holder of this Warrant upon the exercise of such Warrant.</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Warrantholder</w:t>
      </w:r>
      <w:r>
        <w:rPr>
          <w:rFonts w:ascii="Arial" w:cs="Arial" w:eastAsia="Arial" w:hAnsi="Arial"/>
          <w:sz w:val="18"/>
          <w:szCs w:val="18"/>
          <w:color w:val="auto"/>
        </w:rPr>
        <w:t>” shall mean the Purchaser, as the initial holder of this Warrant, and its nominees, successors or assigns, including any subsequent holder of this Warrant to whom it has been legally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sz w:val="20"/>
          <w:szCs w:val="20"/>
          <w:color w:val="auto"/>
        </w:rPr>
      </w:pPr>
    </w:p>
    <w:p>
      <w:pPr>
        <w:ind w:right="20" w:firstLine="8"/>
        <w:spacing w:after="0" w:line="277" w:lineRule="auto"/>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any time after the date hereof, the Purchaser may at any time and from time to time exercise this Warrant, in whole or in part. This Warrant expires five years from the date hereof.</w:t>
      </w:r>
    </w:p>
    <w:p>
      <w:pPr>
        <w:spacing w:after="0" w:line="183" w:lineRule="exact"/>
        <w:rPr>
          <w:rFonts w:ascii="Arial" w:cs="Arial" w:eastAsia="Arial" w:hAnsi="Arial"/>
          <w:sz w:val="18"/>
          <w:szCs w:val="18"/>
          <w:color w:val="auto"/>
        </w:rPr>
      </w:pPr>
    </w:p>
    <w:p>
      <w:pPr>
        <w:jc w:val="both"/>
        <w:ind w:firstLine="8"/>
        <w:spacing w:after="0" w:line="255" w:lineRule="auto"/>
        <w:tabs>
          <w:tab w:leader="none" w:pos="2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The Warrantholder shall exercise this Warrant by means of delivering to the Company at its office identified in Section 14 hereof (i) a written notice of exercise, including the number of shares of Warrant Stock to be delivered pursuant to such exercise, (ii) this Warrant and (iii) payment equal to the Exercise Price in accordance with Section 2(b)(ii). In the event that any exercise shall not be for all shares of Warrant Stock purchasable hereunder, the Company shall deliver to the Warrantholder a new Warrant registered in the name of the Warrantholder, of like tenor to this Warrant and for the remaining shares of Warrant Stock purchasable hereunder, within ten (10) days of any such exercise. Such notice of exercise shall be in the Subscription Form set out at the end of this Warrant.</w:t>
      </w:r>
    </w:p>
    <w:p>
      <w:pPr>
        <w:spacing w:after="0" w:line="193" w:lineRule="exact"/>
        <w:rPr>
          <w:rFonts w:ascii="Arial" w:cs="Arial" w:eastAsia="Arial" w:hAnsi="Arial"/>
          <w:sz w:val="18"/>
          <w:szCs w:val="18"/>
          <w:color w:val="auto"/>
        </w:rPr>
      </w:pPr>
    </w:p>
    <w:p>
      <w:pPr>
        <w:ind w:left="700" w:hanging="260"/>
        <w:spacing w:after="0"/>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Warrantholder may elect to pay the Exercise Price to the Company either by cash, certified check or wire transfer.</w:t>
      </w:r>
    </w:p>
    <w:p>
      <w:pPr>
        <w:spacing w:after="0" w:line="238" w:lineRule="exact"/>
        <w:rPr>
          <w:rFonts w:ascii="Arial" w:cs="Arial" w:eastAsia="Arial" w:hAnsi="Arial"/>
          <w:sz w:val="18"/>
          <w:szCs w:val="18"/>
          <w:color w:val="auto"/>
        </w:rPr>
      </w:pPr>
    </w:p>
    <w:p>
      <w:pPr>
        <w:jc w:val="both"/>
        <w:ind w:firstLine="8"/>
        <w:spacing w:after="0" w:line="264" w:lineRule="auto"/>
        <w:tabs>
          <w:tab w:leader="none" w:pos="2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exercise of this Warrant and delivery of the Subscription Form with proper payment relating thereto, the Company shall cause to be executed and delivered to the Warrantholder a certificate or certificates representing the aggregate number of fully-paid and nonassessable shares of Common Stock issuable upon such exercise.</w:t>
      </w:r>
    </w:p>
    <w:p>
      <w:pPr>
        <w:spacing w:after="0" w:line="181" w:lineRule="exact"/>
        <w:rPr>
          <w:rFonts w:ascii="Arial" w:cs="Arial" w:eastAsia="Arial" w:hAnsi="Arial"/>
          <w:sz w:val="18"/>
          <w:szCs w:val="18"/>
          <w:color w:val="auto"/>
        </w:rPr>
      </w:pPr>
    </w:p>
    <w:p>
      <w:pPr>
        <w:jc w:val="both"/>
        <w:ind w:firstLine="8"/>
        <w:spacing w:after="0" w:line="276" w:lineRule="auto"/>
        <w:tabs>
          <w:tab w:leader="none" w:pos="25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stock certificate or certificates for Warrant Stock to be delivered in accordance with this Section 2 shall be in such denominations as may be specified in said notice of exercise and shall be registered in the name of the Warrantholder or such other name or names as shall be designated in said notice. Such certificate or certificates shall be deemed to have been issued and the Warrantholder or any other person so designated to be named therein shall be deemed to have become the holder of record of such shares, including to the extent permitted by law the right to vote such shares or to consent or to receive notice as stockholders, as of the time said notice is delivered to the Company as aforesaid.</w:t>
      </w:r>
    </w:p>
    <w:p>
      <w:pPr>
        <w:spacing w:after="0" w:line="186" w:lineRule="exact"/>
        <w:rPr>
          <w:rFonts w:ascii="Arial" w:cs="Arial" w:eastAsia="Arial" w:hAnsi="Arial"/>
          <w:sz w:val="17"/>
          <w:szCs w:val="17"/>
          <w:color w:val="auto"/>
        </w:rPr>
      </w:pPr>
    </w:p>
    <w:p>
      <w:pPr>
        <w:ind w:firstLine="8"/>
        <w:spacing w:after="0" w:line="277" w:lineRule="auto"/>
        <w:tabs>
          <w:tab w:leader="none" w:pos="2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shall pay all expenses payable in connection with the preparation, issue and delivery of stock certificates under this Section 2, resulting from the exercise of the Warrant and the issuance of Warrant Stock hereunder.</w:t>
      </w:r>
    </w:p>
    <w:p>
      <w:pPr>
        <w:spacing w:after="0" w:line="170" w:lineRule="exact"/>
        <w:rPr>
          <w:rFonts w:ascii="Arial" w:cs="Arial" w:eastAsia="Arial" w:hAnsi="Arial"/>
          <w:sz w:val="18"/>
          <w:szCs w:val="18"/>
          <w:color w:val="auto"/>
        </w:rPr>
      </w:pPr>
    </w:p>
    <w:p>
      <w:pPr>
        <w:ind w:right="20" w:firstLine="8"/>
        <w:spacing w:after="0" w:line="308" w:lineRule="auto"/>
        <w:tabs>
          <w:tab w:leader="none" w:pos="2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shares of Warrant Stock issuable upon the exercise of this Warrant in accordance with the terms hereof shall be validly issued, fully paid and nonassessable, and free from all liens and other encumbrances thereon, other than liens or other encumbrances created by the Warrantholder.</w:t>
      </w:r>
    </w:p>
    <w:p>
      <w:pPr>
        <w:spacing w:after="0" w:line="146" w:lineRule="exact"/>
        <w:rPr>
          <w:rFonts w:ascii="Arial" w:cs="Arial" w:eastAsia="Arial" w:hAnsi="Arial"/>
          <w:sz w:val="17"/>
          <w:szCs w:val="17"/>
          <w:color w:val="auto"/>
        </w:rPr>
      </w:pPr>
    </w:p>
    <w:p>
      <w:pPr>
        <w:jc w:val="both"/>
        <w:ind w:firstLine="8"/>
        <w:spacing w:after="0" w:line="264" w:lineRule="auto"/>
        <w:tabs>
          <w:tab w:leader="none" w:pos="2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no event shall any fractional share of Common Stock of the Company be issued upon any exercise of this Warrant. If, upon any exercise of this Warrant, the Warrantholder would, except as provided in this paragraph, be entitled to receive a fractional share of Common Stock, then the Company shall deliver in cash to such holder an amount equal to such fractional interest.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Adjustment of Exercise Price and Warrant Stock</w:t>
      </w:r>
      <w:r>
        <w:rPr>
          <w:rFonts w:ascii="Arial" w:cs="Arial" w:eastAsia="Arial" w:hAnsi="Arial"/>
          <w:sz w:val="18"/>
          <w:szCs w:val="18"/>
          <w:color w:val="auto"/>
        </w:rPr>
        <w:t>.</w:t>
      </w:r>
    </w:p>
    <w:p>
      <w:pPr>
        <w:spacing w:after="0" w:line="239" w:lineRule="exact"/>
        <w:rPr>
          <w:sz w:val="20"/>
          <w:szCs w:val="20"/>
          <w:color w:val="auto"/>
        </w:rPr>
      </w:pPr>
    </w:p>
    <w:p>
      <w:pPr>
        <w:jc w:val="both"/>
        <w:ind w:firstLine="8"/>
        <w:spacing w:after="0" w:line="272" w:lineRule="auto"/>
        <w:tabs>
          <w:tab w:leader="none" w:pos="2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at any time prior to the Expiration Date, the number of outstanding shares of Common Stock is (i) increased by a stock dividend payable in shares of Common Stock or by a subdivision or split-up of shares of Common Stock, or (ii) decreased by a combination of shares of Common Stock, then, following the record date fixed for the determination of holders of Common Stock entitled to receive the benefits of such stock dividend, subdivision, split-up, or combination, the Exercise Price shall be adjusted to a new amount equal to the product of (I) the Exercise Price in effect on such record date and (II) the quotient obtained by dividing (x) the number of shares of Common Stock outstanding on such record date (without giving effect to the event referred to in the foregoing clause (i) or (ii)), by (y) the number of shares of Common Stock which would be outstanding immediately after the event referred to in the foregoing clause (i) or (ii), if such event had occurred immediately following such record date.</w:t>
      </w:r>
    </w:p>
    <w:p>
      <w:pPr>
        <w:spacing w:after="0" w:line="191" w:lineRule="exact"/>
        <w:rPr>
          <w:rFonts w:ascii="Arial" w:cs="Arial" w:eastAsia="Arial" w:hAnsi="Arial"/>
          <w:sz w:val="17"/>
          <w:szCs w:val="17"/>
          <w:color w:val="auto"/>
        </w:rPr>
      </w:pPr>
    </w:p>
    <w:p>
      <w:pPr>
        <w:jc w:val="both"/>
        <w:ind w:firstLine="8"/>
        <w:spacing w:after="0" w:line="259" w:lineRule="auto"/>
        <w:tabs>
          <w:tab w:leader="none" w:pos="2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each adjustment of the Exercise Price as provided in Section 3 (a), the Warrantholder shall thereafter be entitled to subscribe for and purchase, at the Exercise Price resulting from such adjustment, the number of shares of Warrant Stock equal to the product of (i) the number of shares of Warrant Stock existing prior to such adjustment and (ii) the quotient obtained by dividing (I) the Exercise Price existing prior to such adjustment by (II) the new Exercise Price resulting from such adjustment.</w:t>
      </w:r>
    </w:p>
    <w:p>
      <w:pPr>
        <w:spacing w:after="0" w:line="2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Division and Combination</w:t>
      </w:r>
      <w:r>
        <w:rPr>
          <w:rFonts w:ascii="Arial" w:cs="Arial" w:eastAsia="Arial" w:hAnsi="Arial"/>
          <w:sz w:val="18"/>
          <w:szCs w:val="18"/>
          <w:color w:val="auto"/>
        </w:rPr>
        <w:t>. This Warrant may be divided or combined with other Warrants upon presentation at the aforesaid office of the Company, together with a written notice specifying the names and denominations in which new Warrants are to be issued, signed by the Warrantholder or its agent or attorney. The Company shall pay all expenses in connection with the preparation, issue and delivery of Warrants under this Section 4, including any transfer taxes resulting from the division or combination hereunder. The Company agrees to maintain at its aforesaid office books for the registration of the Warrants.</w:t>
      </w:r>
    </w:p>
    <w:p>
      <w:pPr>
        <w:spacing w:after="0" w:line="18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Reclassification, Etc</w:t>
      </w:r>
      <w:r>
        <w:rPr>
          <w:rFonts w:ascii="Arial" w:cs="Arial" w:eastAsia="Arial" w:hAnsi="Arial"/>
          <w:sz w:val="17"/>
          <w:szCs w:val="17"/>
          <w:color w:val="auto"/>
        </w:rPr>
        <w:t>. In case of any reclassification or change of the outstanding Common of the Company (other than as a result of a subdivision, combination or stock dividend), or in case of any consolidation of the Company with, or merger of the Company into, another corporation or other business organization (other than a consolidation or merger in which the Company is the continuing corporation and which does not result in any reclassification or change of the outstanding Common Stock of the Company) at any time prior to the Expiration Date, then, as a condition of such reclassification, reorganization, change, consolidation or merger, lawful provision shall be made, and duly executed documents evidencing the same from the Company or its successor shall be delivered to the Warrantholder, so that the Warrantholder shall have the right prior to the Expiration Date to purchase, at a total price not to exceed that payable upon the exercise of this Warrant, the kind and amount of shares of stock and other securities and property receivable upon such reclassification, reorganization, change, consolidation or merger by a holder of the number of shares of Common Stock of the Company which might have been purchased by the Warrantholder immediately prior to such reclassification, reorganization, change, consolidation or merger, in any such case appropriate provisions shall be made with respect to the rights and interest of the Warrantholder to the end that the provisions hereof (including provisions for the adjustment of the Exercise Price and of the number of shares purchasable upon exercise of this Warrant) shall thereafter be applicable in relation to any shares of stock and other securities and property thereafter deliverable upon exercise 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54" w:gutter="0" w:footer="0" w:header="0"/>
        </w:sectPr>
      </w:pPr>
    </w:p>
    <w:bookmarkStart w:id="67" w:name="page68"/>
    <w:bookmarkEnd w:id="67"/>
    <w:p>
      <w:pPr>
        <w:jc w:val="both"/>
        <w:ind w:firstLine="432"/>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Reservation and Authorization of Capital Stock</w:t>
      </w:r>
      <w:r>
        <w:rPr>
          <w:rFonts w:ascii="Arial" w:cs="Arial" w:eastAsia="Arial" w:hAnsi="Arial"/>
          <w:sz w:val="18"/>
          <w:szCs w:val="18"/>
          <w:color w:val="auto"/>
        </w:rPr>
        <w:t>. The Company shall at all times reserve and keep available for issuance such number of its authorized but unissued shares of Common Stock as will be sufficient to permit the exercise in full of all outstanding Warrants.</w:t>
      </w:r>
    </w:p>
    <w:p>
      <w:pPr>
        <w:spacing w:after="0" w:line="1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Stock and Warrant Books</w:t>
      </w:r>
      <w:r>
        <w:rPr>
          <w:rFonts w:ascii="Arial" w:cs="Arial" w:eastAsia="Arial" w:hAnsi="Arial"/>
          <w:sz w:val="18"/>
          <w:szCs w:val="18"/>
          <w:color w:val="auto"/>
        </w:rPr>
        <w:t>. The Company will not at any time, except upon dissolution, liquidation or winding up, close its stock books or Warrant books so as to result in preventing or delaying the exercise of any Warrant.</w:t>
      </w:r>
    </w:p>
    <w:p>
      <w:pPr>
        <w:spacing w:after="0" w:line="1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provisions hereof, in the absence of affirmative action by the Warrantholder to purchase Warrant Stock hereunder, shall give rise to any liability of the Warrantholder to pay the Exercise Price or as a stockholder of the Company (whether such liability is asserted by the Company or creditors of the Company).</w:t>
      </w:r>
    </w:p>
    <w:p>
      <w:pPr>
        <w:spacing w:after="0" w:line="19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piggyback registration rights for the Warrant Stock issuable upon exercise of this Warrant. If for any reason the Company is unable to register the shares of common stock in the initial registered offering, the Company will endeavor to register the shares in a subsequent offering unless the shares are eligible under transferability under Rule 144.</w:t>
      </w:r>
    </w:p>
    <w:p>
      <w:pPr>
        <w:spacing w:after="0" w:line="18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Transfer</w:t>
      </w:r>
      <w:r>
        <w:rPr>
          <w:rFonts w:ascii="Arial" w:cs="Arial" w:eastAsia="Arial" w:hAnsi="Arial"/>
          <w:sz w:val="16"/>
          <w:szCs w:val="16"/>
          <w:color w:val="auto"/>
        </w:rPr>
        <w:t>. Subject to compliance with the Securities Act and the applicable rules and regulations promulgated thereunder, this Warrant and all rights hereunder shall be transferable in whole or in part. Any such transfer shall be made at the office or agency of the Company at which this Warrant is exercisable, by the registered holder hereof in person or by its duly authorized attorney, upon surrender of this Warrant together with the assignment hereof properly endorsed, and promptly thereafter a new warrant shall be issued and delivered by the Company, registered in the name of the assignee. Until registration of transfer hereof on the books of the Company, the Company may treat the Purchaser as the owner hereof for all purposes.</w:t>
      </w:r>
    </w:p>
    <w:p>
      <w:pPr>
        <w:spacing w:after="0" w:line="17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Investment Representations; Restrictions on Transfer of Warrant Stock</w:t>
      </w:r>
      <w:r>
        <w:rPr>
          <w:rFonts w:ascii="Arial" w:cs="Arial" w:eastAsia="Arial" w:hAnsi="Arial"/>
          <w:sz w:val="17"/>
          <w:szCs w:val="17"/>
          <w:color w:val="auto"/>
        </w:rPr>
        <w:t>. Unless a current registration statement under the Securities Act shall be in effect with respect to the Warrant Stock to be issued upon exercise of this Warrant, the Warrantholder, by accepting this Warrant, covenants and agrees that, at the time of exercise hereof, and at the time of any proposed transfer of Warrant Stock acquired upon exercise hereof, such Warrantholder will deliver to the Company a written statement that the securities acquired by the Warrantholder upon exercise hereof are for the account of the Warrantholder or are being held by the Warrantholder as trustee, investment manager, investment advisor or as any other fiduciary for the account of the beneficial owner or owners for investment and are not acquired with a view to, or for sale in connection with, any distribution thereof (or any portion thereof) and with no present intention (at any such time) of offering and distributing such securities (or any portion thereof).</w:t>
      </w:r>
    </w:p>
    <w:p>
      <w:pPr>
        <w:spacing w:after="0" w:line="19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Loss, Destruction of Warrant Certificates</w:t>
      </w:r>
      <w:r>
        <w:rPr>
          <w:rFonts w:ascii="Arial" w:cs="Arial" w:eastAsia="Arial" w:hAnsi="Arial"/>
          <w:sz w:val="16"/>
          <w:szCs w:val="16"/>
          <w:color w:val="auto"/>
        </w:rPr>
        <w:t>. Upon receipt of evidence satisfactory to the Company of the loss, theft, destruction or mutilation of any Warrant and, in the case of any such loss, theft or destruction, upon receipt of indemnity and/or security satisfactory to the Company or, in the case of any such mutilation, upon surrender and cancellation of such Warrant, the Company will make and deliver, in lieu of such lost, stolen, destroyed or mutilated Warrant, a new Warrant of like tenor and representing the right to purchase the same aggregate number of shares of Common Stock.</w:t>
      </w:r>
    </w:p>
    <w:p>
      <w:pPr>
        <w:spacing w:after="0" w:line="16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Amendments</w:t>
      </w:r>
      <w:r>
        <w:rPr>
          <w:rFonts w:ascii="Arial" w:cs="Arial" w:eastAsia="Arial" w:hAnsi="Arial"/>
          <w:sz w:val="18"/>
          <w:szCs w:val="18"/>
          <w:color w:val="auto"/>
        </w:rPr>
        <w:t>. The terms of this Warrant may be amended, and the observance of any term herein may be waived, but only with the written consent of the Company and the Warrantholder.</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Notices Generally</w:t>
      </w:r>
      <w:r>
        <w:rPr>
          <w:rFonts w:ascii="Arial" w:cs="Arial" w:eastAsia="Arial" w:hAnsi="Arial"/>
          <w:sz w:val="18"/>
          <w:szCs w:val="18"/>
          <w:color w:val="auto"/>
        </w:rPr>
        <w:t>. Any notice, request, consent, other communication or delivery pursuant to the provisions hereof shall be in writing and shall be sent by one of the following means: (i) by registered or certified first class mail, postage prepaid, return receipt requested; (ii) by facsimile transmission with confirmation of receipt; (iii) by nationally recognized courier service guaranteeing overnight delivery; or (iv) by personal delivery, and shall be properly addressed to the Warrantholder at the last known address or facsimile number appearing on the books of the Company, or, except as herein otherwise expressly provided, to the Company at its principal executive office, or such other address or facsimile number as shall have been furnished to the party giving or making such notice, demand or delivery.</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Warrant shall bind and inure to the benefit of and be enforceable by the parties hereto and their respective permitted successors and assigns.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In all respects, including all matters of construction, validity and performance, this Warrant and the obligations arising hereunder shall be governed by, and construed and enforced in accordance with the laws of the State of Nevada.</w:t>
      </w:r>
    </w:p>
    <w:p>
      <w:pPr>
        <w:spacing w:after="0" w:line="184" w:lineRule="exact"/>
        <w:rPr>
          <w:sz w:val="20"/>
          <w:szCs w:val="20"/>
          <w:color w:val="auto"/>
        </w:rPr>
      </w:pPr>
    </w:p>
    <w:p>
      <w:pPr>
        <w:jc w:val="center"/>
        <w:ind w:left="44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68" w:name="page69"/>
    <w:bookmarkEnd w:id="68"/>
    <w:p>
      <w:pPr>
        <w:ind w:left="440"/>
        <w:spacing w:after="0"/>
        <w:rPr>
          <w:sz w:val="20"/>
          <w:szCs w:val="20"/>
          <w:color w:val="auto"/>
        </w:rPr>
      </w:pPr>
      <w:r>
        <w:rPr>
          <w:rFonts w:ascii="Arial" w:cs="Arial" w:eastAsia="Arial" w:hAnsi="Arial"/>
          <w:sz w:val="16"/>
          <w:szCs w:val="16"/>
          <w:color w:val="auto"/>
        </w:rPr>
        <w:t>IN WITNESS WHEREOF, the Company has caused this Warrant to be signed in its name by its Chief Executive Officer.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Dated: March 17, 2014</w:t>
      </w:r>
    </w:p>
    <w:p>
      <w:pPr>
        <w:spacing w:after="0" w:line="23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Harrell</w:t>
      </w:r>
    </w:p>
    <w:p>
      <w:pPr>
        <w:spacing w:after="0" w:line="21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David Harrell</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Executive Officer</w:t>
      </w:r>
    </w:p>
    <w:p>
      <w:pPr>
        <w:spacing w:after="0" w:line="200" w:lineRule="exact"/>
        <w:rPr>
          <w:sz w:val="20"/>
          <w:szCs w:val="20"/>
          <w:color w:val="auto"/>
        </w:rPr>
      </w:pP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2"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auto"/>
        </w:rPr>
        <w:t>SUBSCRIPTION FORM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only upon exercise of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OptimizeRx Corp.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pursuant to the provisions set forth in the attached Warrant (No. __ ), hereby irrevocably elects to purchase __________ shares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Common Stock covered by such Warrant and herewith makes payment of $__________, representing the full purchase price for such shares at the price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provided for in such Warrant.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Dated: ____________</w:t>
            </w:r>
          </w:p>
        </w:tc>
        <w:tc>
          <w:tcPr>
            <w:tcW w:w="9580" w:type="dxa"/>
            <w:vAlign w:val="bottom"/>
          </w:tcPr>
          <w:p>
            <w:pPr>
              <w:ind w:left="240"/>
              <w:spacing w:after="0"/>
              <w:rPr>
                <w:sz w:val="20"/>
                <w:szCs w:val="20"/>
                <w:color w:val="auto"/>
              </w:rPr>
            </w:pPr>
            <w:r>
              <w:rPr>
                <w:rFonts w:ascii="Arial" w:cs="Arial" w:eastAsia="Arial" w:hAnsi="Arial"/>
                <w:sz w:val="18"/>
                <w:szCs w:val="18"/>
                <w:color w:val="auto"/>
              </w:rPr>
              <w:t>Name: _______________________</w:t>
            </w:r>
          </w:p>
        </w:tc>
      </w:tr>
      <w:tr>
        <w:trPr>
          <w:trHeight w:val="216"/>
        </w:trPr>
        <w:tc>
          <w:tcPr>
            <w:tcW w:w="1840" w:type="dxa"/>
            <w:vAlign w:val="bottom"/>
          </w:tcPr>
          <w:p>
            <w:pPr>
              <w:spacing w:after="0"/>
              <w:rPr>
                <w:sz w:val="18"/>
                <w:szCs w:val="18"/>
                <w:color w:val="auto"/>
              </w:rPr>
            </w:pPr>
          </w:p>
        </w:tc>
        <w:tc>
          <w:tcPr>
            <w:tcW w:w="9580" w:type="dxa"/>
            <w:vAlign w:val="bottom"/>
          </w:tcPr>
          <w:p>
            <w:pPr>
              <w:ind w:left="240"/>
              <w:spacing w:after="0"/>
              <w:rPr>
                <w:sz w:val="20"/>
                <w:szCs w:val="20"/>
                <w:color w:val="auto"/>
              </w:rPr>
            </w:pPr>
            <w:r>
              <w:rPr>
                <w:rFonts w:ascii="Arial" w:cs="Arial" w:eastAsia="Arial" w:hAnsi="Arial"/>
                <w:sz w:val="18"/>
                <w:szCs w:val="18"/>
                <w:color w:val="auto"/>
              </w:rPr>
              <w:t>Signature: _____________________</w:t>
            </w:r>
          </w:p>
        </w:tc>
      </w:tr>
      <w:tr>
        <w:trPr>
          <w:trHeight w:val="230"/>
        </w:trPr>
        <w:tc>
          <w:tcPr>
            <w:tcW w:w="1840" w:type="dxa"/>
            <w:vAlign w:val="bottom"/>
          </w:tcPr>
          <w:p>
            <w:pPr>
              <w:spacing w:after="0"/>
              <w:rPr>
                <w:sz w:val="20"/>
                <w:szCs w:val="20"/>
                <w:color w:val="auto"/>
              </w:rPr>
            </w:pPr>
          </w:p>
        </w:tc>
        <w:tc>
          <w:tcPr>
            <w:tcW w:w="9580" w:type="dxa"/>
            <w:vAlign w:val="bottom"/>
          </w:tcPr>
          <w:p>
            <w:pPr>
              <w:ind w:left="240"/>
              <w:spacing w:after="0"/>
              <w:rPr>
                <w:sz w:val="20"/>
                <w:szCs w:val="20"/>
                <w:color w:val="auto"/>
              </w:rPr>
            </w:pPr>
            <w:r>
              <w:rPr>
                <w:rFonts w:ascii="Arial" w:cs="Arial" w:eastAsia="Arial" w:hAnsi="Arial"/>
                <w:sz w:val="18"/>
                <w:szCs w:val="18"/>
                <w:color w:val="auto"/>
              </w:rPr>
              <w:t>Address: ______________________</w:t>
            </w:r>
          </w:p>
        </w:tc>
      </w:tr>
      <w:tr>
        <w:trPr>
          <w:trHeight w:val="216"/>
        </w:trPr>
        <w:tc>
          <w:tcPr>
            <w:tcW w:w="1840" w:type="dxa"/>
            <w:vAlign w:val="bottom"/>
            <w:tcBorders>
              <w:bottom w:val="single" w:sz="8" w:color="auto"/>
            </w:tcBorders>
          </w:tcPr>
          <w:p>
            <w:pPr>
              <w:spacing w:after="0"/>
              <w:rPr>
                <w:sz w:val="18"/>
                <w:szCs w:val="18"/>
                <w:color w:val="auto"/>
              </w:rPr>
            </w:pPr>
          </w:p>
        </w:tc>
        <w:tc>
          <w:tcPr>
            <w:tcW w:w="9580" w:type="dxa"/>
            <w:vAlign w:val="bottom"/>
            <w:tcBorders>
              <w:bottom w:val="single" w:sz="8" w:color="auto"/>
            </w:tcBorders>
          </w:tcPr>
          <w:p>
            <w:pPr>
              <w:spacing w:after="0"/>
              <w:rPr>
                <w:sz w:val="18"/>
                <w:szCs w:val="18"/>
                <w:color w:val="auto"/>
              </w:rPr>
            </w:pPr>
          </w:p>
        </w:tc>
      </w:tr>
      <w:tr>
        <w:trPr>
          <w:trHeight w:val="224"/>
        </w:trPr>
        <w:tc>
          <w:tcPr>
            <w:tcW w:w="1840" w:type="dxa"/>
            <w:vAlign w:val="bottom"/>
          </w:tcPr>
          <w:p>
            <w:pPr>
              <w:spacing w:after="0"/>
              <w:rPr>
                <w:sz w:val="19"/>
                <w:szCs w:val="19"/>
                <w:color w:val="auto"/>
              </w:rPr>
            </w:pPr>
          </w:p>
        </w:tc>
        <w:tc>
          <w:tcPr>
            <w:tcW w:w="9580" w:type="dxa"/>
            <w:vAlign w:val="bottom"/>
          </w:tcPr>
          <w:p>
            <w:pPr>
              <w:jc w:val="right"/>
              <w:ind w:right="557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891" w:right="239" w:bottom="1440" w:gutter="0" w:footer="0" w:header="0"/>
        </w:sectPr>
      </w:pPr>
    </w:p>
    <w:bookmarkStart w:id="70" w:name="page71"/>
    <w:bookmarkEnd w:id="70"/>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A2224B"/>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www.sucpas.com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May 12, 2014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Silberstein Ungar, PLLC hereby consents to the use in the Form S-1/A Amendment No. 1, Registration Statement under the Securities Act of 1933, filed by OptimizeRx Corporation of our report dated March 20, 2014, relating to the consolidated financial statements of OptimizeRx Corporation, a Nevada Corporation, as of and for the years ending December 31, 2013 and 2012, and the reference to us under the caption “Interests of Named Experts”.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ectPr>
          <w:pgSz w:w="11900" w:h="16838" w:orient="portrait"/>
          <w:cols w:equalWidth="0" w:num="1">
            <w:col w:w="11420"/>
          </w:cols>
          <w:pgMar w:left="240" w:top="125"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400 Water Street, Suite 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 Mailstop 3561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P. Shuman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OptimizeRx Corp.</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Filed April 11, 2014</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File No. 333-195210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Shumen: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 write on behalf of OptimizeRx Corp., (the “Company”) in response to Staff’s letter of May 8, 2014, by, Mark P. Shuman, Branch Chief – Legal, of the United States Securities and Exchange Commission (the “Commission”) regarding the above-referenced Registration Statement on Form S-1, filed , (the Comment Letter”).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Paragraph numbering used for each response corresponds to the numbering used in the Comment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2"/>
          <w:szCs w:val="12"/>
          <w:u w:val="single" w:color="auto"/>
          <w:color w:val="auto"/>
        </w:rPr>
        <w:t>ROSPECTUS</w:t>
      </w:r>
      <w:r>
        <w:rPr>
          <w:rFonts w:ascii="Arial" w:cs="Arial" w:eastAsia="Arial" w:hAnsi="Arial"/>
          <w:sz w:val="18"/>
          <w:szCs w:val="18"/>
          <w:u w:val="single" w:color="auto"/>
          <w:color w:val="auto"/>
        </w:rPr>
        <w:t xml:space="preserve"> C</w:t>
      </w:r>
      <w:r>
        <w:rPr>
          <w:rFonts w:ascii="Arial" w:cs="Arial" w:eastAsia="Arial" w:hAnsi="Arial"/>
          <w:sz w:val="12"/>
          <w:szCs w:val="12"/>
          <w:u w:val="single" w:color="auto"/>
          <w:color w:val="auto"/>
        </w:rPr>
        <w:t>OVER</w:t>
      </w:r>
      <w:r>
        <w:rPr>
          <w:rFonts w:ascii="Arial" w:cs="Arial" w:eastAsia="Arial" w:hAnsi="Arial"/>
          <w:sz w:val="18"/>
          <w:szCs w:val="18"/>
          <w:u w:val="single" w:color="auto"/>
          <w:color w:val="auto"/>
        </w:rPr>
        <w:t xml:space="preserve"> P</w:t>
      </w:r>
      <w:r>
        <w:rPr>
          <w:rFonts w:ascii="Arial" w:cs="Arial" w:eastAsia="Arial" w:hAnsi="Arial"/>
          <w:sz w:val="12"/>
          <w:szCs w:val="12"/>
          <w:u w:val="single" w:color="auto"/>
          <w:color w:val="auto"/>
        </w:rPr>
        <w:t>AGE</w:t>
      </w:r>
      <w:r>
        <w:rPr>
          <w:rFonts w:ascii="Arial" w:cs="Arial" w:eastAsia="Arial" w:hAnsi="Arial"/>
          <w:sz w:val="18"/>
          <w:szCs w:val="18"/>
          <w:u w:val="single" w:color="auto"/>
          <w:color w:val="auto"/>
        </w:rPr>
        <w:t xml:space="preserve">, </w:t>
      </w:r>
      <w:r>
        <w:rPr>
          <w:rFonts w:ascii="Arial" w:cs="Arial" w:eastAsia="Arial" w:hAnsi="Arial"/>
          <w:sz w:val="12"/>
          <w:szCs w:val="12"/>
          <w:u w:val="single" w:color="auto"/>
          <w:color w:val="auto"/>
        </w:rPr>
        <w:t>PAGE</w:t>
      </w:r>
      <w:r>
        <w:rPr>
          <w:rFonts w:ascii="Arial" w:cs="Arial" w:eastAsia="Arial" w:hAnsi="Arial"/>
          <w:sz w:val="18"/>
          <w:szCs w:val="18"/>
          <w:u w:val="single" w:color="auto"/>
          <w:color w:val="auto"/>
        </w:rPr>
        <w:t xml:space="preserve"> 2</w:t>
      </w:r>
    </w:p>
    <w:p>
      <w:pPr>
        <w:spacing w:after="0" w:line="225" w:lineRule="exact"/>
        <w:rPr>
          <w:sz w:val="20"/>
          <w:szCs w:val="20"/>
          <w:color w:val="auto"/>
        </w:rPr>
      </w:pPr>
    </w:p>
    <w:p>
      <w:pPr>
        <w:jc w:val="both"/>
        <w:ind w:firstLine="8"/>
        <w:spacing w:after="0" w:line="259" w:lineRule="auto"/>
        <w:tabs>
          <w:tab w:leader="none" w:pos="197" w:val="left"/>
        </w:tabs>
        <w:numPr>
          <w:ilvl w:val="0"/>
          <w:numId w:val="28"/>
        </w:numPr>
        <w:rPr>
          <w:rFonts w:ascii="Arial" w:cs="Arial" w:eastAsia="Arial" w:hAnsi="Arial"/>
          <w:sz w:val="18"/>
          <w:szCs w:val="18"/>
          <w:color w:val="auto"/>
        </w:rPr>
      </w:pPr>
      <w:r>
        <w:rPr>
          <w:rFonts w:ascii="Arial" w:cs="Arial" w:eastAsia="Arial" w:hAnsi="Arial"/>
          <w:sz w:val="18"/>
          <w:szCs w:val="18"/>
          <w:color w:val="auto"/>
        </w:rPr>
        <w:t>Y</w:t>
      </w:r>
      <w:r>
        <w:rPr>
          <w:rFonts w:ascii="Arial" w:cs="Arial" w:eastAsia="Arial" w:hAnsi="Arial"/>
          <w:sz w:val="12"/>
          <w:szCs w:val="12"/>
          <w:color w:val="auto"/>
        </w:rPr>
        <w:t>OU REFER TO YOURSELF AS AN EMERGING GROWTH COMPANY</w:t>
      </w:r>
      <w:r>
        <w:rPr>
          <w:rFonts w:ascii="Arial" w:cs="Arial" w:eastAsia="Arial" w:hAnsi="Arial"/>
          <w:sz w:val="18"/>
          <w:szCs w:val="18"/>
          <w:color w:val="auto"/>
        </w:rPr>
        <w:t xml:space="preserve">, </w:t>
      </w:r>
      <w:r>
        <w:rPr>
          <w:rFonts w:ascii="Arial" w:cs="Arial" w:eastAsia="Arial" w:hAnsi="Arial"/>
          <w:sz w:val="12"/>
          <w:szCs w:val="12"/>
          <w:color w:val="auto"/>
        </w:rPr>
        <w:t>BUT YOU HAD A</w:t>
      </w:r>
      <w:r>
        <w:rPr>
          <w:rFonts w:ascii="Arial" w:cs="Arial" w:eastAsia="Arial" w:hAnsi="Arial"/>
          <w:sz w:val="18"/>
          <w:szCs w:val="18"/>
          <w:color w:val="auto"/>
        </w:rPr>
        <w:t xml:space="preserve"> F</w:t>
      </w:r>
      <w:r>
        <w:rPr>
          <w:rFonts w:ascii="Arial" w:cs="Arial" w:eastAsia="Arial" w:hAnsi="Arial"/>
          <w:sz w:val="12"/>
          <w:szCs w:val="12"/>
          <w:color w:val="auto"/>
        </w:rPr>
        <w:t>ORM</w:t>
      </w:r>
      <w:r>
        <w:rPr>
          <w:rFonts w:ascii="Arial" w:cs="Arial" w:eastAsia="Arial" w:hAnsi="Arial"/>
          <w:sz w:val="18"/>
          <w:szCs w:val="18"/>
          <w:color w:val="auto"/>
        </w:rPr>
        <w:t xml:space="preserve"> S-1 </w:t>
      </w:r>
      <w:r>
        <w:rPr>
          <w:rFonts w:ascii="Arial" w:cs="Arial" w:eastAsia="Arial" w:hAnsi="Arial"/>
          <w:sz w:val="12"/>
          <w:szCs w:val="12"/>
          <w:color w:val="auto"/>
        </w:rPr>
        <w:t>DECLARED EFFECTIVE ON</w:t>
      </w:r>
      <w:r>
        <w:rPr>
          <w:rFonts w:ascii="Arial" w:cs="Arial" w:eastAsia="Arial" w:hAnsi="Arial"/>
          <w:sz w:val="18"/>
          <w:szCs w:val="18"/>
          <w:color w:val="auto"/>
        </w:rPr>
        <w:t xml:space="preserve"> F</w:t>
      </w:r>
      <w:r>
        <w:rPr>
          <w:rFonts w:ascii="Arial" w:cs="Arial" w:eastAsia="Arial" w:hAnsi="Arial"/>
          <w:sz w:val="12"/>
          <w:szCs w:val="12"/>
          <w:color w:val="auto"/>
        </w:rPr>
        <w:t>EBRUARY</w:t>
      </w:r>
      <w:r>
        <w:rPr>
          <w:rFonts w:ascii="Arial" w:cs="Arial" w:eastAsia="Arial" w:hAnsi="Arial"/>
          <w:sz w:val="18"/>
          <w:szCs w:val="18"/>
          <w:color w:val="auto"/>
        </w:rPr>
        <w:t xml:space="preserve"> 12, 2009 </w:t>
      </w:r>
      <w:r>
        <w:rPr>
          <w:rFonts w:ascii="Arial" w:cs="Arial" w:eastAsia="Arial" w:hAnsi="Arial"/>
          <w:sz w:val="12"/>
          <w:szCs w:val="12"/>
          <w:color w:val="auto"/>
        </w:rPr>
        <w:t>AND HAVE BEEN A REPORTING</w:t>
      </w:r>
      <w:r>
        <w:rPr>
          <w:rFonts w:ascii="Arial" w:cs="Arial" w:eastAsia="Arial" w:hAnsi="Arial"/>
          <w:sz w:val="18"/>
          <w:szCs w:val="18"/>
          <w:color w:val="auto"/>
        </w:rPr>
        <w:t xml:space="preserve"> </w:t>
      </w:r>
      <w:r>
        <w:rPr>
          <w:rFonts w:ascii="Arial" w:cs="Arial" w:eastAsia="Arial" w:hAnsi="Arial"/>
          <w:sz w:val="12"/>
          <w:szCs w:val="12"/>
          <w:color w:val="auto"/>
        </w:rPr>
        <w:t>COMPANY SINCE THAT TIME</w:t>
      </w:r>
      <w:r>
        <w:rPr>
          <w:rFonts w:ascii="Arial" w:cs="Arial" w:eastAsia="Arial" w:hAnsi="Arial"/>
          <w:sz w:val="18"/>
          <w:szCs w:val="18"/>
          <w:color w:val="auto"/>
        </w:rPr>
        <w:t>. I</w:t>
      </w:r>
      <w:r>
        <w:rPr>
          <w:rFonts w:ascii="Arial" w:cs="Arial" w:eastAsia="Arial" w:hAnsi="Arial"/>
          <w:sz w:val="12"/>
          <w:szCs w:val="12"/>
          <w:color w:val="auto"/>
        </w:rPr>
        <w:t xml:space="preserve">F ANY SALES OF COMMON EQUITY WERE MADE PURSUANT TO THAT REGISTRATION STATEMENT ON OR BEFORE </w:t>
      </w:r>
      <w:r>
        <w:rPr>
          <w:rFonts w:ascii="Arial" w:cs="Arial" w:eastAsia="Arial" w:hAnsi="Arial"/>
          <w:sz w:val="18"/>
          <w:szCs w:val="18"/>
          <w:color w:val="auto"/>
        </w:rPr>
        <w:t>D</w:t>
      </w:r>
      <w:r>
        <w:rPr>
          <w:rFonts w:ascii="Arial" w:cs="Arial" w:eastAsia="Arial" w:hAnsi="Arial"/>
          <w:sz w:val="12"/>
          <w:szCs w:val="12"/>
          <w:color w:val="auto"/>
        </w:rPr>
        <w:t xml:space="preserve">ECEMBER </w:t>
      </w:r>
      <w:r>
        <w:rPr>
          <w:rFonts w:ascii="Arial" w:cs="Arial" w:eastAsia="Arial" w:hAnsi="Arial"/>
          <w:sz w:val="18"/>
          <w:szCs w:val="18"/>
          <w:color w:val="auto"/>
        </w:rPr>
        <w:t>8, 2011,</w:t>
      </w:r>
      <w:r>
        <w:rPr>
          <w:rFonts w:ascii="Arial" w:cs="Arial" w:eastAsia="Arial" w:hAnsi="Arial"/>
          <w:sz w:val="12"/>
          <w:szCs w:val="12"/>
          <w:color w:val="auto"/>
        </w:rPr>
        <w:t xml:space="preserve"> YOU DO NOT APPEAR TO QUALIFY AS AN EMERGING GROWTH COMPANY</w:t>
      </w:r>
      <w:r>
        <w:rPr>
          <w:rFonts w:ascii="Arial" w:cs="Arial" w:eastAsia="Arial" w:hAnsi="Arial"/>
          <w:sz w:val="18"/>
          <w:szCs w:val="18"/>
          <w:color w:val="auto"/>
        </w:rPr>
        <w:t>. P</w:t>
      </w:r>
      <w:r>
        <w:rPr>
          <w:rFonts w:ascii="Arial" w:cs="Arial" w:eastAsia="Arial" w:hAnsi="Arial"/>
          <w:sz w:val="12"/>
          <w:szCs w:val="12"/>
          <w:color w:val="auto"/>
        </w:rPr>
        <w:t>LEASE ADVISE</w:t>
      </w:r>
      <w:r>
        <w:rPr>
          <w:rFonts w:ascii="Arial" w:cs="Arial" w:eastAsia="Arial" w:hAnsi="Arial"/>
          <w:sz w:val="18"/>
          <w:szCs w:val="18"/>
          <w:color w:val="auto"/>
        </w:rPr>
        <w:t>. F</w:t>
      </w:r>
      <w:r>
        <w:rPr>
          <w:rFonts w:ascii="Arial" w:cs="Arial" w:eastAsia="Arial" w:hAnsi="Arial"/>
          <w:sz w:val="12"/>
          <w:szCs w:val="12"/>
          <w:color w:val="auto"/>
        </w:rPr>
        <w:t>OR ADDITIONAL GUIDANCE</w:t>
      </w:r>
      <w:r>
        <w:rPr>
          <w:rFonts w:ascii="Arial" w:cs="Arial" w:eastAsia="Arial" w:hAnsi="Arial"/>
          <w:sz w:val="18"/>
          <w:szCs w:val="18"/>
          <w:color w:val="auto"/>
        </w:rPr>
        <w:t>,</w:t>
      </w:r>
      <w:r>
        <w:rPr>
          <w:rFonts w:ascii="Arial" w:cs="Arial" w:eastAsia="Arial" w:hAnsi="Arial"/>
          <w:sz w:val="12"/>
          <w:szCs w:val="12"/>
          <w:color w:val="auto"/>
        </w:rPr>
        <w:t xml:space="preserve"> PLEASE CONSIDER </w:t>
      </w:r>
      <w:r>
        <w:rPr>
          <w:rFonts w:ascii="Arial" w:cs="Arial" w:eastAsia="Arial" w:hAnsi="Arial"/>
          <w:sz w:val="18"/>
          <w:szCs w:val="18"/>
          <w:color w:val="auto"/>
        </w:rPr>
        <w:t>Q</w:t>
      </w:r>
      <w:r>
        <w:rPr>
          <w:rFonts w:ascii="Arial" w:cs="Arial" w:eastAsia="Arial" w:hAnsi="Arial"/>
          <w:sz w:val="12"/>
          <w:szCs w:val="12"/>
          <w:color w:val="auto"/>
        </w:rPr>
        <w:t xml:space="preserve">UESTION </w:t>
      </w:r>
      <w:r>
        <w:rPr>
          <w:rFonts w:ascii="Arial" w:cs="Arial" w:eastAsia="Arial" w:hAnsi="Arial"/>
          <w:sz w:val="18"/>
          <w:szCs w:val="18"/>
          <w:color w:val="auto"/>
        </w:rPr>
        <w:t>2</w:t>
      </w:r>
      <w:r>
        <w:rPr>
          <w:rFonts w:ascii="Arial" w:cs="Arial" w:eastAsia="Arial" w:hAnsi="Arial"/>
          <w:sz w:val="12"/>
          <w:szCs w:val="12"/>
          <w:color w:val="auto"/>
        </w:rPr>
        <w:t xml:space="preserve"> OF OUR </w:t>
      </w:r>
      <w:r>
        <w:rPr>
          <w:rFonts w:ascii="Arial" w:cs="Arial" w:eastAsia="Arial" w:hAnsi="Arial"/>
          <w:sz w:val="18"/>
          <w:szCs w:val="18"/>
          <w:color w:val="auto"/>
        </w:rPr>
        <w:t>JOBS A</w:t>
      </w:r>
      <w:r>
        <w:rPr>
          <w:rFonts w:ascii="Arial" w:cs="Arial" w:eastAsia="Arial" w:hAnsi="Arial"/>
          <w:sz w:val="12"/>
          <w:szCs w:val="12"/>
          <w:color w:val="auto"/>
        </w:rPr>
        <w:t xml:space="preserve">CT </w:t>
      </w:r>
      <w:r>
        <w:rPr>
          <w:rFonts w:ascii="Arial" w:cs="Arial" w:eastAsia="Arial" w:hAnsi="Arial"/>
          <w:sz w:val="18"/>
          <w:szCs w:val="18"/>
          <w:color w:val="auto"/>
        </w:rPr>
        <w:t>FAQ</w:t>
      </w:r>
      <w:r>
        <w:rPr>
          <w:rFonts w:ascii="Arial" w:cs="Arial" w:eastAsia="Arial" w:hAnsi="Arial"/>
          <w:sz w:val="12"/>
          <w:szCs w:val="12"/>
          <w:color w:val="auto"/>
        </w:rPr>
        <w:t>S</w:t>
      </w:r>
      <w:r>
        <w:rPr>
          <w:rFonts w:ascii="Arial" w:cs="Arial" w:eastAsia="Arial" w:hAnsi="Arial"/>
          <w:sz w:val="18"/>
          <w:szCs w:val="18"/>
          <w:color w:val="auto"/>
        </w:rPr>
        <w:t>,</w:t>
      </w:r>
      <w:r>
        <w:rPr>
          <w:rFonts w:ascii="Arial" w:cs="Arial" w:eastAsia="Arial" w:hAnsi="Arial"/>
          <w:sz w:val="12"/>
          <w:szCs w:val="12"/>
          <w:color w:val="auto"/>
        </w:rPr>
        <w:t xml:space="preserve"> AVAILABLE ON OUR WEBSITE AT HTTP</w:t>
      </w:r>
      <w:r>
        <w:rPr>
          <w:rFonts w:ascii="Arial" w:cs="Arial" w:eastAsia="Arial" w:hAnsi="Arial"/>
          <w:sz w:val="18"/>
          <w:szCs w:val="18"/>
          <w:color w:val="auto"/>
        </w:rPr>
        <w:t>://</w:t>
      </w:r>
      <w:r>
        <w:rPr>
          <w:rFonts w:ascii="Arial" w:cs="Arial" w:eastAsia="Arial" w:hAnsi="Arial"/>
          <w:sz w:val="12"/>
          <w:szCs w:val="12"/>
          <w:color w:val="auto"/>
        </w:rPr>
        <w:t>WWW</w:t>
      </w:r>
      <w:r>
        <w:rPr>
          <w:rFonts w:ascii="Arial" w:cs="Arial" w:eastAsia="Arial" w:hAnsi="Arial"/>
          <w:sz w:val="18"/>
          <w:szCs w:val="18"/>
          <w:color w:val="auto"/>
        </w:rPr>
        <w:t>.</w:t>
      </w:r>
      <w:r>
        <w:rPr>
          <w:rFonts w:ascii="Arial" w:cs="Arial" w:eastAsia="Arial" w:hAnsi="Arial"/>
          <w:sz w:val="12"/>
          <w:szCs w:val="12"/>
          <w:color w:val="auto"/>
        </w:rPr>
        <w:t>SEC</w:t>
      </w:r>
      <w:r>
        <w:rPr>
          <w:rFonts w:ascii="Arial" w:cs="Arial" w:eastAsia="Arial" w:hAnsi="Arial"/>
          <w:sz w:val="18"/>
          <w:szCs w:val="18"/>
          <w:color w:val="auto"/>
        </w:rPr>
        <w:t>.</w:t>
      </w:r>
      <w:r>
        <w:rPr>
          <w:rFonts w:ascii="Arial" w:cs="Arial" w:eastAsia="Arial" w:hAnsi="Arial"/>
          <w:sz w:val="12"/>
          <w:szCs w:val="12"/>
          <w:color w:val="auto"/>
        </w:rPr>
        <w:t>GOV</w:t>
      </w:r>
      <w:r>
        <w:rPr>
          <w:rFonts w:ascii="Arial" w:cs="Arial" w:eastAsia="Arial" w:hAnsi="Arial"/>
          <w:sz w:val="18"/>
          <w:szCs w:val="18"/>
          <w:color w:val="auto"/>
        </w:rPr>
        <w:t>/</w:t>
      </w:r>
      <w:r>
        <w:rPr>
          <w:rFonts w:ascii="Arial" w:cs="Arial" w:eastAsia="Arial" w:hAnsi="Arial"/>
          <w:sz w:val="12"/>
          <w:szCs w:val="12"/>
          <w:color w:val="auto"/>
        </w:rPr>
        <w:t>DIVISIONS</w:t>
      </w:r>
      <w:r>
        <w:rPr>
          <w:rFonts w:ascii="Arial" w:cs="Arial" w:eastAsia="Arial" w:hAnsi="Arial"/>
          <w:sz w:val="18"/>
          <w:szCs w:val="18"/>
          <w:color w:val="auto"/>
        </w:rPr>
        <w:t>/</w:t>
      </w:r>
      <w:r>
        <w:rPr>
          <w:rFonts w:ascii="Arial" w:cs="Arial" w:eastAsia="Arial" w:hAnsi="Arial"/>
          <w:sz w:val="12"/>
          <w:szCs w:val="12"/>
          <w:color w:val="auto"/>
        </w:rPr>
        <w:t>CORPFIN</w:t>
      </w:r>
      <w:r>
        <w:rPr>
          <w:rFonts w:ascii="Arial" w:cs="Arial" w:eastAsia="Arial" w:hAnsi="Arial"/>
          <w:sz w:val="18"/>
          <w:szCs w:val="18"/>
          <w:color w:val="auto"/>
        </w:rPr>
        <w:t>/</w:t>
      </w:r>
      <w:r>
        <w:rPr>
          <w:rFonts w:ascii="Arial" w:cs="Arial" w:eastAsia="Arial" w:hAnsi="Arial"/>
          <w:sz w:val="12"/>
          <w:szCs w:val="12"/>
          <w:color w:val="auto"/>
        </w:rPr>
        <w:t>GUIDANCE</w:t>
      </w:r>
      <w:r>
        <w:rPr>
          <w:rFonts w:ascii="Arial" w:cs="Arial" w:eastAsia="Arial" w:hAnsi="Arial"/>
          <w:sz w:val="18"/>
          <w:szCs w:val="18"/>
          <w:color w:val="auto"/>
        </w:rPr>
        <w:t>/</w:t>
      </w:r>
      <w:r>
        <w:rPr>
          <w:rFonts w:ascii="Arial" w:cs="Arial" w:eastAsia="Arial" w:hAnsi="Arial"/>
          <w:sz w:val="12"/>
          <w:szCs w:val="12"/>
          <w:color w:val="auto"/>
        </w:rPr>
        <w:t>CFJJOBSACTFAQ</w:t>
      </w:r>
      <w:r>
        <w:rPr>
          <w:rFonts w:ascii="Arial" w:cs="Arial" w:eastAsia="Arial" w:hAnsi="Arial"/>
          <w:sz w:val="18"/>
          <w:szCs w:val="18"/>
          <w:color w:val="auto"/>
        </w:rPr>
        <w:t>-</w:t>
      </w:r>
      <w:r>
        <w:rPr>
          <w:rFonts w:ascii="Arial" w:cs="Arial" w:eastAsia="Arial" w:hAnsi="Arial"/>
          <w:sz w:val="12"/>
          <w:szCs w:val="12"/>
          <w:color w:val="auto"/>
        </w:rPr>
        <w:t>TITLE</w:t>
      </w:r>
      <w:r>
        <w:rPr>
          <w:rFonts w:ascii="Arial" w:cs="Arial" w:eastAsia="Arial" w:hAnsi="Arial"/>
          <w:sz w:val="18"/>
          <w:szCs w:val="18"/>
          <w:color w:val="auto"/>
        </w:rPr>
        <w:t>-</w:t>
      </w:r>
      <w:r>
        <w:rPr>
          <w:rFonts w:ascii="Arial" w:cs="Arial" w:eastAsia="Arial" w:hAnsi="Arial"/>
          <w:sz w:val="12"/>
          <w:szCs w:val="12"/>
          <w:color w:val="auto"/>
        </w:rPr>
        <w:t>I</w:t>
      </w:r>
      <w:r>
        <w:rPr>
          <w:rFonts w:ascii="Arial" w:cs="Arial" w:eastAsia="Arial" w:hAnsi="Arial"/>
          <w:sz w:val="18"/>
          <w:szCs w:val="18"/>
          <w:color w:val="auto"/>
        </w:rPr>
        <w:t>-</w:t>
      </w:r>
      <w:r>
        <w:rPr>
          <w:rFonts w:ascii="Arial" w:cs="Arial" w:eastAsia="Arial" w:hAnsi="Arial"/>
          <w:sz w:val="12"/>
          <w:szCs w:val="12"/>
          <w:color w:val="auto"/>
        </w:rPr>
        <w:t>GENERAL</w:t>
      </w:r>
      <w:r>
        <w:rPr>
          <w:rFonts w:ascii="Arial" w:cs="Arial" w:eastAsia="Arial" w:hAnsi="Arial"/>
          <w:sz w:val="18"/>
          <w:szCs w:val="18"/>
          <w:color w:val="auto"/>
        </w:rPr>
        <w:t>.</w:t>
      </w:r>
      <w:r>
        <w:rPr>
          <w:rFonts w:ascii="Arial" w:cs="Arial" w:eastAsia="Arial" w:hAnsi="Arial"/>
          <w:sz w:val="12"/>
          <w:szCs w:val="12"/>
          <w:color w:val="auto"/>
        </w:rPr>
        <w:t>HTM</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response to this comment, the Company removed reference to itself as an emerging growth company.</w:t>
      </w:r>
    </w:p>
    <w:p>
      <w:pPr>
        <w:spacing w:after="0" w:line="225"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2"/>
          <w:szCs w:val="12"/>
          <w:color w:val="auto"/>
        </w:rPr>
        <w:t>LEASE EXPAND THE COVER PAGE TO CLARIFY THAT</w:t>
      </w:r>
      <w:r>
        <w:rPr>
          <w:rFonts w:ascii="Arial" w:cs="Arial" w:eastAsia="Arial" w:hAnsi="Arial"/>
          <w:sz w:val="18"/>
          <w:szCs w:val="18"/>
          <w:color w:val="auto"/>
        </w:rPr>
        <w:t xml:space="preserve"> 804,139 </w:t>
      </w:r>
      <w:r>
        <w:rPr>
          <w:rFonts w:ascii="Arial" w:cs="Arial" w:eastAsia="Arial" w:hAnsi="Arial"/>
          <w:sz w:val="12"/>
          <w:szCs w:val="12"/>
          <w:color w:val="auto"/>
        </w:rPr>
        <w:t>OF THE SHARES BEING OFFERED ARE ISSUABLE UPON THE EXERCISE OF WARRANTS HELD BY THE TWO PLACEMENT</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AGENTS WHO PARTICIPATED IN YOUR </w:t>
      </w:r>
      <w:r>
        <w:rPr>
          <w:rFonts w:ascii="Arial" w:cs="Arial" w:eastAsia="Arial" w:hAnsi="Arial"/>
          <w:sz w:val="18"/>
          <w:szCs w:val="18"/>
          <w:color w:val="auto"/>
        </w:rPr>
        <w:t>M</w:t>
      </w:r>
      <w:r>
        <w:rPr>
          <w:rFonts w:ascii="Arial" w:cs="Arial" w:eastAsia="Arial" w:hAnsi="Arial"/>
          <w:sz w:val="12"/>
          <w:szCs w:val="12"/>
          <w:color w:val="auto"/>
        </w:rPr>
        <w:t xml:space="preserve">ARCH </w:t>
      </w:r>
      <w:r>
        <w:rPr>
          <w:rFonts w:ascii="Arial" w:cs="Arial" w:eastAsia="Arial" w:hAnsi="Arial"/>
          <w:sz w:val="18"/>
          <w:szCs w:val="18"/>
          <w:color w:val="auto"/>
        </w:rPr>
        <w:t>2014</w:t>
      </w:r>
      <w:r>
        <w:rPr>
          <w:rFonts w:ascii="Arial" w:cs="Arial" w:eastAsia="Arial" w:hAnsi="Arial"/>
          <w:sz w:val="12"/>
          <w:szCs w:val="12"/>
          <w:color w:val="auto"/>
        </w:rPr>
        <w:t xml:space="preserve"> PRIVATE PLACEMENT</w:t>
      </w:r>
      <w:r>
        <w:rPr>
          <w:rFonts w:ascii="Arial" w:cs="Arial" w:eastAsia="Arial" w:hAnsi="Arial"/>
          <w:sz w:val="18"/>
          <w:szCs w:val="18"/>
          <w:color w:val="auto"/>
        </w:rPr>
        <w:t>. I</w:t>
      </w:r>
      <w:r>
        <w:rPr>
          <w:rFonts w:ascii="Arial" w:cs="Arial" w:eastAsia="Arial" w:hAnsi="Arial"/>
          <w:sz w:val="12"/>
          <w:szCs w:val="12"/>
          <w:color w:val="auto"/>
        </w:rPr>
        <w:t>T APPEARS YOU SHOULD FILE THE WARRANT AGREEMENTS WITH THE PLACEMENT AGENTS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TEM</w:t>
      </w:r>
      <w:r>
        <w:rPr>
          <w:rFonts w:ascii="Arial" w:cs="Arial" w:eastAsia="Arial" w:hAnsi="Arial"/>
          <w:sz w:val="18"/>
          <w:szCs w:val="18"/>
          <w:color w:val="auto"/>
        </w:rPr>
        <w:t xml:space="preserve"> 601(</w:t>
      </w:r>
      <w:r>
        <w:rPr>
          <w:rFonts w:ascii="Arial" w:cs="Arial" w:eastAsia="Arial" w:hAnsi="Arial"/>
          <w:sz w:val="12"/>
          <w:szCs w:val="12"/>
          <w:color w:val="auto"/>
        </w:rPr>
        <w:t>B</w:t>
      </w:r>
      <w:r>
        <w:rPr>
          <w:rFonts w:ascii="Arial" w:cs="Arial" w:eastAsia="Arial" w:hAnsi="Arial"/>
          <w:sz w:val="18"/>
          <w:szCs w:val="18"/>
          <w:color w:val="auto"/>
        </w:rPr>
        <w:t>)(10)(</w:t>
      </w:r>
      <w:r>
        <w:rPr>
          <w:rFonts w:ascii="Arial" w:cs="Arial" w:eastAsia="Arial" w:hAnsi="Arial"/>
          <w:sz w:val="12"/>
          <w:szCs w:val="12"/>
          <w:color w:val="auto"/>
        </w:rPr>
        <w:t>II</w:t>
      </w:r>
      <w:r>
        <w:rPr>
          <w:rFonts w:ascii="Arial" w:cs="Arial" w:eastAsia="Arial" w:hAnsi="Arial"/>
          <w:sz w:val="18"/>
          <w:szCs w:val="18"/>
          <w:color w:val="auto"/>
        </w:rPr>
        <w:t xml:space="preserve">)(A) </w:t>
      </w:r>
      <w:r>
        <w:rPr>
          <w:rFonts w:ascii="Arial" w:cs="Arial" w:eastAsia="Arial" w:hAnsi="Arial"/>
          <w:sz w:val="12"/>
          <w:szCs w:val="12"/>
          <w:color w:val="auto"/>
        </w:rPr>
        <w:t>OF</w:t>
      </w:r>
      <w:r>
        <w:rPr>
          <w:rFonts w:ascii="Arial" w:cs="Arial" w:eastAsia="Arial" w:hAnsi="Arial"/>
          <w:sz w:val="18"/>
          <w:szCs w:val="18"/>
          <w:color w:val="auto"/>
        </w:rPr>
        <w:t xml:space="preserve"> R</w:t>
      </w:r>
      <w:r>
        <w:rPr>
          <w:rFonts w:ascii="Arial" w:cs="Arial" w:eastAsia="Arial" w:hAnsi="Arial"/>
          <w:sz w:val="12"/>
          <w:szCs w:val="12"/>
          <w:color w:val="auto"/>
        </w:rPr>
        <w:t>EGULATION</w:t>
      </w:r>
      <w:r>
        <w:rPr>
          <w:rFonts w:ascii="Arial" w:cs="Arial" w:eastAsia="Arial" w:hAnsi="Arial"/>
          <w:sz w:val="18"/>
          <w:szCs w:val="18"/>
          <w:color w:val="auto"/>
        </w:rPr>
        <w:t xml:space="preserve"> S-K.</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response to this comment, the Company revised the disclosure to clarify that 804,139 of the shares being offered are issuable upon exercise of the warrants held by the placement agents. The company also filed the warrant agreements with the placement agents pursuant to Item 601(b)(10)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2"/>
          <w:szCs w:val="12"/>
          <w:u w:val="single" w:color="auto"/>
          <w:color w:val="auto"/>
        </w:rPr>
        <w:t>ART</w:t>
      </w:r>
      <w:r>
        <w:rPr>
          <w:rFonts w:ascii="Arial" w:cs="Arial" w:eastAsia="Arial" w:hAnsi="Arial"/>
          <w:sz w:val="18"/>
          <w:szCs w:val="18"/>
          <w:u w:val="single" w:color="auto"/>
          <w:color w:val="auto"/>
        </w:rPr>
        <w:t xml:space="preserv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w:t>
      </w:r>
      <w:r>
        <w:rPr>
          <w:rFonts w:ascii="Arial" w:cs="Arial" w:eastAsia="Arial" w:hAnsi="Arial"/>
          <w:sz w:val="12"/>
          <w:szCs w:val="12"/>
          <w:u w:val="single" w:color="auto"/>
          <w:color w:val="auto"/>
        </w:rPr>
        <w:t>TEM</w:t>
      </w:r>
      <w:r>
        <w:rPr>
          <w:rFonts w:ascii="Arial" w:cs="Arial" w:eastAsia="Arial" w:hAnsi="Arial"/>
          <w:sz w:val="18"/>
          <w:szCs w:val="18"/>
          <w:u w:val="single" w:color="auto"/>
          <w:color w:val="auto"/>
        </w:rPr>
        <w:t xml:space="preserve"> 17. U</w:t>
      </w:r>
      <w:r>
        <w:rPr>
          <w:rFonts w:ascii="Arial" w:cs="Arial" w:eastAsia="Arial" w:hAnsi="Arial"/>
          <w:sz w:val="12"/>
          <w:szCs w:val="12"/>
          <w:u w:val="single" w:color="auto"/>
          <w:color w:val="auto"/>
        </w:rPr>
        <w:t>NDERTAKINGS</w:t>
      </w:r>
      <w:r>
        <w:rPr>
          <w:rFonts w:ascii="Arial" w:cs="Arial" w:eastAsia="Arial" w:hAnsi="Arial"/>
          <w:sz w:val="18"/>
          <w:szCs w:val="18"/>
          <w:u w:val="single" w:color="auto"/>
          <w:color w:val="auto"/>
        </w:rPr>
        <w:t xml:space="preserve">, </w:t>
      </w:r>
      <w:r>
        <w:rPr>
          <w:rFonts w:ascii="Arial" w:cs="Arial" w:eastAsia="Arial" w:hAnsi="Arial"/>
          <w:sz w:val="12"/>
          <w:szCs w:val="12"/>
          <w:u w:val="single" w:color="auto"/>
          <w:color w:val="auto"/>
        </w:rPr>
        <w:t>PAGE</w:t>
      </w:r>
      <w:r>
        <w:rPr>
          <w:rFonts w:ascii="Arial" w:cs="Arial" w:eastAsia="Arial" w:hAnsi="Arial"/>
          <w:sz w:val="18"/>
          <w:szCs w:val="18"/>
          <w:u w:val="single" w:color="auto"/>
          <w:color w:val="auto"/>
        </w:rPr>
        <w:t xml:space="preserve"> 39</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2"/>
          <w:szCs w:val="12"/>
          <w:color w:val="auto"/>
        </w:rPr>
        <w:t>T APPEARS YOU ARE REQUIRED TO INCLUDE THE UNDERTAKINGS FOUND IN</w:t>
      </w:r>
      <w:r>
        <w:rPr>
          <w:rFonts w:ascii="Arial" w:cs="Arial" w:eastAsia="Arial" w:hAnsi="Arial"/>
          <w:sz w:val="18"/>
          <w:szCs w:val="18"/>
          <w:color w:val="auto"/>
        </w:rPr>
        <w:t xml:space="preserve"> I</w:t>
      </w:r>
      <w:r>
        <w:rPr>
          <w:rFonts w:ascii="Arial" w:cs="Arial" w:eastAsia="Arial" w:hAnsi="Arial"/>
          <w:sz w:val="12"/>
          <w:szCs w:val="12"/>
          <w:color w:val="auto"/>
        </w:rPr>
        <w:t>TEM</w:t>
      </w:r>
      <w:r>
        <w:rPr>
          <w:rFonts w:ascii="Arial" w:cs="Arial" w:eastAsia="Arial" w:hAnsi="Arial"/>
          <w:sz w:val="18"/>
          <w:szCs w:val="18"/>
          <w:color w:val="auto"/>
        </w:rPr>
        <w:t xml:space="preserve"> 512(</w:t>
      </w:r>
      <w:r>
        <w:rPr>
          <w:rFonts w:ascii="Arial" w:cs="Arial" w:eastAsia="Arial" w:hAnsi="Arial"/>
          <w:sz w:val="12"/>
          <w:szCs w:val="12"/>
          <w:color w:val="auto"/>
        </w:rPr>
        <w:t>A</w:t>
      </w:r>
      <w:r>
        <w:rPr>
          <w:rFonts w:ascii="Arial" w:cs="Arial" w:eastAsia="Arial" w:hAnsi="Arial"/>
          <w:sz w:val="18"/>
          <w:szCs w:val="18"/>
          <w:color w:val="auto"/>
        </w:rPr>
        <w:t>)(5)(</w:t>
      </w:r>
      <w:r>
        <w:rPr>
          <w:rFonts w:ascii="Arial" w:cs="Arial" w:eastAsia="Arial" w:hAnsi="Arial"/>
          <w:sz w:val="12"/>
          <w:szCs w:val="12"/>
          <w:color w:val="auto"/>
        </w:rPr>
        <w:t>II</w:t>
      </w:r>
      <w:r>
        <w:rPr>
          <w:rFonts w:ascii="Arial" w:cs="Arial" w:eastAsia="Arial" w:hAnsi="Arial"/>
          <w:sz w:val="18"/>
          <w:szCs w:val="18"/>
          <w:color w:val="auto"/>
        </w:rPr>
        <w:t xml:space="preserve">) </w:t>
      </w:r>
      <w:r>
        <w:rPr>
          <w:rFonts w:ascii="Arial" w:cs="Arial" w:eastAsia="Arial" w:hAnsi="Arial"/>
          <w:sz w:val="12"/>
          <w:szCs w:val="12"/>
          <w:color w:val="auto"/>
        </w:rPr>
        <w:t>OF</w:t>
      </w:r>
      <w:r>
        <w:rPr>
          <w:rFonts w:ascii="Arial" w:cs="Arial" w:eastAsia="Arial" w:hAnsi="Arial"/>
          <w:sz w:val="18"/>
          <w:szCs w:val="18"/>
          <w:color w:val="auto"/>
        </w:rPr>
        <w:t xml:space="preserve"> R</w:t>
      </w:r>
      <w:r>
        <w:rPr>
          <w:rFonts w:ascii="Arial" w:cs="Arial" w:eastAsia="Arial" w:hAnsi="Arial"/>
          <w:sz w:val="12"/>
          <w:szCs w:val="12"/>
          <w:color w:val="auto"/>
        </w:rPr>
        <w:t>EGULATION</w:t>
      </w:r>
      <w:r>
        <w:rPr>
          <w:rFonts w:ascii="Arial" w:cs="Arial" w:eastAsia="Arial" w:hAnsi="Arial"/>
          <w:sz w:val="18"/>
          <w:szCs w:val="18"/>
          <w:color w:val="auto"/>
        </w:rPr>
        <w:t xml:space="preserve"> S-K. P</w:t>
      </w:r>
      <w:r>
        <w:rPr>
          <w:rFonts w:ascii="Arial" w:cs="Arial" w:eastAsia="Arial" w:hAnsi="Arial"/>
          <w:sz w:val="12"/>
          <w:szCs w:val="12"/>
          <w:color w:val="auto"/>
        </w:rPr>
        <w:t>LEASE REVISE OR ADVISE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response to this comment, as discussed with the Staff, this undertaking was included in the initial registration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8"/>
        <w:spacing w:after="0" w:line="277" w:lineRule="auto"/>
        <w:tabs>
          <w:tab w:leader="none" w:pos="1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2"/>
          <w:szCs w:val="12"/>
          <w:color w:val="auto"/>
        </w:rPr>
        <w:t>LEASE REVISE TO INCLUDE THE SIGNATURE OF YOUR CONTROLLER OR PRINCIPAL ACCOUNTING OFFICER</w:t>
      </w:r>
      <w:r>
        <w:rPr>
          <w:rFonts w:ascii="Arial" w:cs="Arial" w:eastAsia="Arial" w:hAnsi="Arial"/>
          <w:sz w:val="18"/>
          <w:szCs w:val="18"/>
          <w:color w:val="auto"/>
        </w:rPr>
        <w:t>. P</w:t>
      </w:r>
      <w:r>
        <w:rPr>
          <w:rFonts w:ascii="Arial" w:cs="Arial" w:eastAsia="Arial" w:hAnsi="Arial"/>
          <w:sz w:val="12"/>
          <w:szCs w:val="12"/>
          <w:color w:val="auto"/>
        </w:rPr>
        <w:t>LEASE NOTE THAT IF A PERSON SIGNED YOUR REGISTRATION STATEMENT</w:t>
      </w:r>
      <w:r>
        <w:rPr>
          <w:rFonts w:ascii="Arial" w:cs="Arial" w:eastAsia="Arial" w:hAnsi="Arial"/>
          <w:sz w:val="18"/>
          <w:szCs w:val="18"/>
          <w:color w:val="auto"/>
        </w:rPr>
        <w:t xml:space="preserve"> </w:t>
      </w:r>
      <w:r>
        <w:rPr>
          <w:rFonts w:ascii="Arial" w:cs="Arial" w:eastAsia="Arial" w:hAnsi="Arial"/>
          <w:sz w:val="12"/>
          <w:szCs w:val="12"/>
          <w:color w:val="auto"/>
        </w:rPr>
        <w:t>IN MORE THAN ONCE CAPACITY</w:t>
      </w:r>
      <w:r>
        <w:rPr>
          <w:rFonts w:ascii="Arial" w:cs="Arial" w:eastAsia="Arial" w:hAnsi="Arial"/>
          <w:sz w:val="18"/>
          <w:szCs w:val="18"/>
          <w:color w:val="auto"/>
        </w:rPr>
        <w:t>,</w:t>
      </w:r>
      <w:r>
        <w:rPr>
          <w:rFonts w:ascii="Arial" w:cs="Arial" w:eastAsia="Arial" w:hAnsi="Arial"/>
          <w:sz w:val="12"/>
          <w:szCs w:val="12"/>
          <w:color w:val="auto"/>
        </w:rPr>
        <w:t xml:space="preserve"> EACH SUCH CAPACITY MUST BE INDICATED</w:t>
      </w:r>
      <w:r>
        <w:rPr>
          <w:rFonts w:ascii="Arial" w:cs="Arial" w:eastAsia="Arial" w:hAnsi="Arial"/>
          <w:sz w:val="18"/>
          <w:szCs w:val="18"/>
          <w:color w:val="auto"/>
        </w:rPr>
        <w:t>. S</w:t>
      </w:r>
      <w:r>
        <w:rPr>
          <w:rFonts w:ascii="Arial" w:cs="Arial" w:eastAsia="Arial" w:hAnsi="Arial"/>
          <w:sz w:val="12"/>
          <w:szCs w:val="12"/>
          <w:color w:val="auto"/>
        </w:rPr>
        <w:t xml:space="preserve">EE </w:t>
      </w:r>
      <w:r>
        <w:rPr>
          <w:rFonts w:ascii="Arial" w:cs="Arial" w:eastAsia="Arial" w:hAnsi="Arial"/>
          <w:sz w:val="18"/>
          <w:szCs w:val="18"/>
          <w:color w:val="auto"/>
        </w:rPr>
        <w:t>I</w:t>
      </w:r>
      <w:r>
        <w:rPr>
          <w:rFonts w:ascii="Arial" w:cs="Arial" w:eastAsia="Arial" w:hAnsi="Arial"/>
          <w:sz w:val="12"/>
          <w:szCs w:val="12"/>
          <w:color w:val="auto"/>
        </w:rPr>
        <w:t xml:space="preserve">NSTRUCTIONS </w:t>
      </w:r>
      <w:r>
        <w:rPr>
          <w:rFonts w:ascii="Arial" w:cs="Arial" w:eastAsia="Arial" w:hAnsi="Arial"/>
          <w:sz w:val="18"/>
          <w:szCs w:val="18"/>
          <w:color w:val="auto"/>
        </w:rPr>
        <w:t>1</w:t>
      </w:r>
      <w:r>
        <w:rPr>
          <w:rFonts w:ascii="Arial" w:cs="Arial" w:eastAsia="Arial" w:hAnsi="Arial"/>
          <w:sz w:val="12"/>
          <w:szCs w:val="12"/>
          <w:color w:val="auto"/>
        </w:rPr>
        <w:t xml:space="preserve"> AND </w:t>
      </w:r>
      <w:r>
        <w:rPr>
          <w:rFonts w:ascii="Arial" w:cs="Arial" w:eastAsia="Arial" w:hAnsi="Arial"/>
          <w:sz w:val="18"/>
          <w:szCs w:val="18"/>
          <w:color w:val="auto"/>
        </w:rPr>
        <w:t>2</w:t>
      </w:r>
      <w:r>
        <w:rPr>
          <w:rFonts w:ascii="Arial" w:cs="Arial" w:eastAsia="Arial" w:hAnsi="Arial"/>
          <w:sz w:val="12"/>
          <w:szCs w:val="12"/>
          <w:color w:val="auto"/>
        </w:rPr>
        <w:t xml:space="preserve"> TO </w:t>
      </w:r>
      <w:r>
        <w:rPr>
          <w:rFonts w:ascii="Arial" w:cs="Arial" w:eastAsia="Arial" w:hAnsi="Arial"/>
          <w:sz w:val="18"/>
          <w:szCs w:val="18"/>
          <w:color w:val="auto"/>
        </w:rPr>
        <w:t>S</w:t>
      </w:r>
      <w:r>
        <w:rPr>
          <w:rFonts w:ascii="Arial" w:cs="Arial" w:eastAsia="Arial" w:hAnsi="Arial"/>
          <w:sz w:val="12"/>
          <w:szCs w:val="12"/>
          <w:color w:val="auto"/>
        </w:rPr>
        <w:t xml:space="preserve">IGNATURES OF </w:t>
      </w:r>
      <w:r>
        <w:rPr>
          <w:rFonts w:ascii="Arial" w:cs="Arial" w:eastAsia="Arial" w:hAnsi="Arial"/>
          <w:sz w:val="18"/>
          <w:szCs w:val="18"/>
          <w:color w:val="auto"/>
        </w:rPr>
        <w:t>F</w:t>
      </w:r>
      <w:r>
        <w:rPr>
          <w:rFonts w:ascii="Arial" w:cs="Arial" w:eastAsia="Arial" w:hAnsi="Arial"/>
          <w:sz w:val="12"/>
          <w:szCs w:val="12"/>
          <w:color w:val="auto"/>
        </w:rPr>
        <w:t xml:space="preserve">ORM </w:t>
      </w:r>
      <w:r>
        <w:rPr>
          <w:rFonts w:ascii="Arial" w:cs="Arial" w:eastAsia="Arial" w:hAnsi="Arial"/>
          <w:sz w:val="18"/>
          <w:szCs w:val="18"/>
          <w:color w:val="auto"/>
        </w:rPr>
        <w:t>S-1.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response to this comment, the Company revised the signature block as requested.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 addition, enclosed herewith please find an acknowledgement letter from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Daivd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Harrell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 (Acknowledgment by the Company)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ROCHESTER, MI 48307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12,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UNITED STATES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Mark P. Shuman, Branch Chief - Legal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OptimizeRx Corp.</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Filed April 11, 2014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File No. 333-195210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Shuman: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Company’s response to the United States Securities and Exchange Commission’s (the “Commission”) comments in a letter dated May 8, 2014 by Mark P. Shuman, Branch Chief – Legal of the Commission’s Division of Corporate Finance, this correspondence shall serve as acknowledgment by the Company of the following:</w:t>
      </w:r>
    </w:p>
    <w:p>
      <w:pPr>
        <w:spacing w:after="0" w:line="181"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ind w:left="1300" w:right="20" w:hanging="320"/>
        <w:spacing w:after="0" w:line="261"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969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bullet"/>
      <w:start w:val="1"/>
    </w:lvl>
  </w:abstractNum>
  <w:abstractNum w:abstractNumId="21">
    <w:nsid w:val="54E49EB4"/>
    <w:multiLevelType w:val="hybridMultilevel"/>
    <w:lvl w:ilvl="0">
      <w:lvlJc w:val="left"/>
      <w:lvlText w:val="9"/>
      <w:numFmt w:val="bullet"/>
      <w:start w:val="1"/>
    </w:lvl>
  </w:abstractNum>
  <w:abstractNum w:abstractNumId="22">
    <w:nsid w:val="71F32454"/>
    <w:multiLevelType w:val="hybridMultilevel"/>
    <w:lvl w:ilvl="0">
      <w:lvlJc w:val="left"/>
      <w:lvlText w:val="(%1)"/>
      <w:numFmt w:val="lowerLetter"/>
      <w:start w:val="1"/>
    </w:lvl>
    <w:lvl w:ilvl="1">
      <w:lvlJc w:val="left"/>
      <w:lvlText w:val="(%2)"/>
      <w:numFmt w:val="lowerRoman"/>
      <w:start w:val="1"/>
    </w:lvl>
  </w:abstractNum>
  <w:abstractNum w:abstractNumId="23">
    <w:nsid w:val="2CA88611"/>
    <w:multiLevelType w:val="hybridMultilevel"/>
    <w:lvl w:ilvl="0">
      <w:lvlJc w:val="left"/>
      <w:lvlText w:val="(%1)"/>
      <w:numFmt w:val="lowerLetter"/>
      <w:start w:val="1"/>
    </w:lvl>
    <w:lvl w:ilvl="1">
      <w:lvlJc w:val="left"/>
      <w:lvlText w:val="(%2)"/>
      <w:numFmt w:val="lowerLetter"/>
      <w:start w:val="35"/>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lvl w:ilvl="1">
      <w:lvlJc w:val="left"/>
      <w:lvlText w:val="(%2)"/>
      <w:numFmt w:val="lowerLetter"/>
      <w:start w:val="35"/>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2"/>
    </w:lvl>
  </w:abstractNum>
  <w:abstractNum w:abstractNumId="29">
    <w:nsid w:val="7C3DBD3D"/>
    <w:multiLevelType w:val="hybridMultilevel"/>
    <w:lvl w:ilvl="0">
      <w:lvlJc w:val="left"/>
      <w:lvlText w:val="%1."/>
      <w:numFmt w:val="decimal"/>
      <w:start w:val="3"/>
    </w:lvl>
  </w:abstractNum>
  <w:abstractNum w:abstractNumId="30">
    <w:nsid w:val="737B8DDC"/>
    <w:multiLevelType w:val="hybridMultilevel"/>
    <w:lvl w:ilvl="0">
      <w:lvlJc w:val="left"/>
      <w:lvlText w:val="%1."/>
      <w:numFmt w:val="decimal"/>
      <w:start w:val="4"/>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2019-12-07T19:46:13Z</dcterms:created>
  <dcterms:modified xsi:type="dcterms:W3CDTF">2019-12-07T19:46:13Z</dcterms:modified>
</cp:coreProperties>
</file>