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4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34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May 8, 2019</w:t>
            </w:r>
          </w:p>
        </w:tc>
        <w:tc>
          <w:tcPr>
            <w:tcW w:w="334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Nevada</w:t>
            </w:r>
          </w:p>
        </w:tc>
        <w:tc>
          <w:tcPr>
            <w:tcW w:w="3480" w:type="dxa"/>
            <w:vAlign w:val="bottom"/>
            <w:gridSpan w:val="6"/>
          </w:tcPr>
          <w:p>
            <w:pPr>
              <w:jc w:val="center"/>
              <w:ind w:left="161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140" w:type="dxa"/>
            <w:vAlign w:val="bottom"/>
            <w:tcBorders>
              <w:top w:val="single" w:sz="8" w:color="auto"/>
            </w:tcBorders>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80" w:type="dxa"/>
            <w:vAlign w:val="bottom"/>
            <w:gridSpan w:val="10"/>
          </w:tcPr>
          <w:p>
            <w:pPr>
              <w:jc w:val="center"/>
              <w:ind w:right="246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34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292100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9"/>
        </w:trPr>
        <w:tc>
          <w:tcPr>
            <w:tcW w:w="440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Markets</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8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8, 2019, we issued a press release announcing the results of operations for the quarter ended March 31, 2019. The press release is furnished with this Current Report on Form 8-K as Exhibit 99.1.</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May 8, 2019</w:t>
        </w:r>
      </w:hyperlink>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157480</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OptimizeRx Reports First Quarter 2019 Results; Total Revenue Up 27% to $5.2 Million,</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Driving Non-GAAP Net Income up 130% to $833,000 or $0.06 per Diluted Share</w:t>
      </w:r>
    </w:p>
    <w:p>
      <w:pPr>
        <w:spacing w:after="0" w:line="1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(May 8, 2019) — </w:t>
      </w:r>
      <w:r>
        <w:rPr>
          <w:rFonts w:ascii="Times New Roman" w:cs="Times New Roman" w:eastAsia="Times New Roman" w:hAnsi="Times New Roman"/>
          <w:sz w:val="18"/>
          <w:szCs w:val="18"/>
          <w:color w:val="auto"/>
        </w:rPr>
        <w:t>OptimizeRx Corp. (NASDAQ: OPRX), a leading provider of digital health messaging for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reported results for the first quarter ended March 31, 2019. Quarterly comparisons are to the same year-ago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2019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27% to $5.2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improved from 51.2% to 69.6%.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$7,000 vs. a loss of $189,000.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up 130% to $833,000 or $0.06 per diluted share (see definition of non-GAAP measures and reconciliation to GAAP,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2019 Operational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with healthcare industry’s leading acute electronic health record (EHR) systems, including Epic and Cerner.</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IllumiCare, a pioneer in point-of-care healthcare information technology that saves hospitals millions annually. IllumiCare’s Smart Ribbon® platform will feature OptimizeRx’s new RxSavings App that delivers drug savings opportunities to providers and patients at the point-of-care.</w:t>
      </w:r>
    </w:p>
    <w:p>
      <w:pPr>
        <w:spacing w:after="0" w:line="17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Formed OptimizeMDs, a multi-specialty physician panel with the mission of improving the effectiveness of digital health communications delivered throughout the care continuum.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2019 Financial Summary</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Total revenue in the first quarter of 2019 increased 27% to $5.2 million from $4.1 million in the same year-ago quarter. The increase was primarily due to increased sales of messaging products.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Gross margin improved to 69.6% in the first quarter of 2019 from 51.2% in the year-ago quarter. The improvement was due to a favorable shift in product mix. The company expects to maintain gross margins of at least 60% on a quarterly basis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expenses totaled $3.5 million, up from $2.3 million in the same year-ago quarter. The increase was related to additional expenses from growth initiatives, as well as the acquisition of CareSpeak Communications which occurred in October 2018.</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on a GAAP basis in the first quarter of 2019 was $7,000 or $0.00 per share, as compared to a net loss of $189,000 or $(0.02) per share in the year-ago quarter.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Non-GAAP net income for the first quarter of 2019 was up 130% to $833,000 or $0.06 per diluted share, compared to non-GAAP net income of $362,000 or $0.04 per share in the same year-ago period (see definition of these non-GAAP measures and reconciliation to GAAP, below).</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expects to remain GAAP profitable on a quarterly basis. Although one-time expenses related to investments in growth initiatives could result in a loss in any given quarter.</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$10.1 million at March 31, 2019, as compared to $8.9 million at December 31, 2018. The increase was primarily due to cash generated from operations and proceeds from exercise of stock options. The company has continued to operate debt-free and expects to continue to generate positive cash flow from operations on a quarterly basis for the balance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Q1, we realized our eighth quarter in a row of revenue growth, along with record gross margin and continued profitability,” said OptimizeRx CEO, William Febbo. “These record results were driven by a number of key factors, including better client access, broader provider reach, solid technology and overall strong operational performance.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saw strong topline growth in Q1, our penetration into pharma remains relatively low. We’re connected to many manufacturers, but we’ve really only just begun to penetrate the market. We see a lot of growth ahead of us and to manage this anticipated growth, we recently appointed Stephen Silvestro to the new position of chief commercialization officer. He brings a depth of knowledge and a shared determination to provide affordability and adherence solutions that link the health care and life sciences industries. We’ve reached a scale where we can better negotiate enterprise pricing and he will help in this area.</w:t>
      </w:r>
    </w:p>
    <w:p>
      <w:pPr>
        <w:spacing w:after="0" w:line="18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Miriam Paramore, president at OptimizeRx, commented: “We also announced in April our latest platform integration with the health care industry’s leading acute EHR systems that includes Epic and Cerner. This latest integration was born out of our continued investment in hospitals and health systems, including our recent appointment of Denys Ashby to the new position of vice president of Hospitals &amp; Health Systems. His appointment demonstrates our commitment to growing this new major market segment.</w:t>
      </w:r>
    </w:p>
    <w:p>
      <w:pPr>
        <w:spacing w:after="0" w:line="180"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“OptimizeRx’s technical integration with Epic and Cerner enables healthcare providers to provide patient savings opportunities for nearly all medications. Research points to improved medication adherence when patients can identify ways of lowering their co-payments.”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right="240"/>
        <w:spacing w:after="0" w:line="266" w:lineRule="auto"/>
        <w:rPr>
          <w:sz w:val="20"/>
          <w:szCs w:val="20"/>
          <w:color w:val="auto"/>
        </w:rPr>
      </w:pPr>
      <w:r>
        <w:rPr>
          <w:rFonts w:ascii="Times New Roman" w:cs="Times New Roman" w:eastAsia="Times New Roman" w:hAnsi="Times New Roman"/>
          <w:sz w:val="18"/>
          <w:szCs w:val="18"/>
          <w:color w:val="auto"/>
        </w:rPr>
        <w:t>Febbo added: “With the growth of both our pharmaceutical products and our distribution network, we expect that our financial, brand, and clinical messaging to continue to grow throughout the year, along with our increasing patient engagement activities. All of this is expected to drive another year of record growth, with strong margins and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May 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1-888-224-1005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1-323-994-2093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3593483</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May 29, 2019, as well as available for replay via the Investors section of the OptimizeRx website at investors.optimizerx.com.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3593483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per share or non-GAAP EPS, both of which are non-GAAP financial measures. The company defines non-GAAP net income (loss) as GAAP net income (loss) with an adjustment to add back depreciation, amortization and stock-based compensation expense. Non-GAAP EPS is defined as non-GAAP net income (loss) divided by the number of weighted average shares outstanding on a basic and diluted basis. We have provided non-GAAP financial measures to aid investors in better understanding our performance. Management believes that these non-GAAP financial measures provide additional insight into the operations and cashflow of the Company.</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consider these non-GAAP measures to be substitutes for or superior to the information provided by its GAAP financial results.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at the end of this press release provides a reconciliation of non-GAAP net income (loss) and non-GAAP EPS for the three month periods ended March 31, 2018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ind w:right="20"/>
        <w:spacing w:after="0" w:line="261" w:lineRule="auto"/>
        <w:rPr>
          <w:sz w:val="20"/>
          <w:szCs w:val="20"/>
          <w:color w:val="auto"/>
        </w:rPr>
      </w:pPr>
      <w:r>
        <w:rPr>
          <w:rFonts w:ascii="Times New Roman" w:cs="Times New Roman" w:eastAsia="Times New Roman" w:hAnsi="Times New Roman"/>
          <w:sz w:val="18"/>
          <w:szCs w:val="18"/>
          <w:color w:val="auto"/>
        </w:rPr>
        <w:t>industry, OptimizeRx provides a direct channel for pharma companies to communicate with healthcare providers right within their workflow and also directly to patients.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10,133,940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8,914,034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4,902,888</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6,457,841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446,022</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360,146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15,482,850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15,732,021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3,678,513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3,678,513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2,712,855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2,766,944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2,397,791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2,492,123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644,335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and deposits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193,972</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235,647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9,627,466</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9,173,227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25,256,859</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25,054,578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584,820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291,456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1,132,102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110,065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contingent purchase price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645,824</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4,231,133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537,716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purchase price payable, net of current portion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1,421,000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5,814,983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6,596,133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March 31, 2019 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12,278,833 and 12,038,618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March 31, 2019 and December 31, 2018,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12,279</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49,705,102</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48,725,211</w:t>
            </w:r>
          </w:p>
        </w:tc>
        <w:tc>
          <w:tcPr>
            <w:tcW w:w="0" w:type="dxa"/>
            <w:vAlign w:val="bottom"/>
          </w:tcPr>
          <w:p>
            <w:pPr>
              <w:spacing w:after="0"/>
              <w:rPr>
                <w:sz w:val="1"/>
                <w:szCs w:val="1"/>
                <w:color w:val="auto"/>
              </w:rPr>
            </w:pPr>
          </w:p>
        </w:tc>
      </w:tr>
      <w:tr>
        <w:trPr>
          <w:trHeight w:val="237"/>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(30,275,505)</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(30,278,805)</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19,441,876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18,458,445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25,256,859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25,054,578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5,209,434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4,112,237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1,583,480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3,625,954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2,104,145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3,493,789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20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(125,636</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vMerge w:val="continue"/>
            <w:shd w:val="clear" w:color="auto" w:fill="CCEEFF"/>
          </w:tcPr>
          <w:p>
            <w:pPr>
              <w:spacing w:after="0"/>
              <w:rPr>
                <w:sz w:val="21"/>
                <w:szCs w:val="21"/>
                <w:color w:val="auto"/>
              </w:rPr>
            </w:pP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12,077,829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9,786,027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tcBorders>
              <w:bottom w:val="single" w:sz="8" w:color="CCEEFF"/>
            </w:tcBorders>
            <w:vMerge w:val="continue"/>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13,077,917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9,786,027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190,301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issued for services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share payable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(1,034,454)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(404,291)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889,969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(787,388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equipment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900"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right="2740"/>
        <w:spacing w:after="0" w:line="281" w:lineRule="auto"/>
        <w:rPr>
          <w:sz w:val="20"/>
          <w:szCs w:val="20"/>
          <w:color w:val="auto"/>
        </w:rPr>
      </w:pPr>
      <w:r>
        <w:rPr>
          <w:rFonts w:ascii="Times New Roman" w:cs="Times New Roman" w:eastAsia="Times New Roman" w:hAnsi="Times New Roman"/>
          <w:sz w:val="17"/>
          <w:szCs w:val="17"/>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560"/>
        <w:spacing w:after="0"/>
        <w:tabs>
          <w:tab w:leader="none" w:pos="2420" w:val="left"/>
        </w:tabs>
        <w:rPr>
          <w:sz w:val="20"/>
          <w:szCs w:val="20"/>
          <w:color w:val="auto"/>
        </w:rPr>
      </w:pPr>
      <w:r>
        <w:rPr>
          <w:rFonts w:ascii="Times New Roman" w:cs="Times New Roman" w:eastAsia="Times New Roman" w:hAnsi="Times New Roman"/>
          <w:sz w:val="18"/>
          <w:szCs w:val="18"/>
          <w:color w:val="auto"/>
        </w:rPr>
        <w:t>343,785</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60"/>
        <w:spacing w:after="0"/>
        <w:tabs>
          <w:tab w:leader="none" w:pos="2420" w:val="left"/>
        </w:tabs>
        <w:rPr>
          <w:sz w:val="20"/>
          <w:szCs w:val="20"/>
          <w:color w:val="auto"/>
        </w:rPr>
      </w:pPr>
      <w:r>
        <w:rPr>
          <w:rFonts w:ascii="Times New Roman" w:cs="Times New Roman" w:eastAsia="Times New Roman" w:hAnsi="Times New Roman"/>
          <w:sz w:val="18"/>
          <w:szCs w:val="18"/>
          <w:color w:val="auto"/>
        </w:rPr>
        <w:t>343,785</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both"/>
        <w:ind w:left="420"/>
        <w:spacing w:after="0"/>
        <w:tabs>
          <w:tab w:leader="none" w:pos="1820" w:val="left"/>
        </w:tabs>
        <w:rPr>
          <w:sz w:val="20"/>
          <w:szCs w:val="20"/>
          <w:color w:val="auto"/>
        </w:rPr>
      </w:pPr>
      <w:r>
        <w:rPr>
          <w:rFonts w:ascii="Times New Roman" w:cs="Times New Roman" w:eastAsia="Times New Roman" w:hAnsi="Times New Roman"/>
          <w:sz w:val="18"/>
          <w:szCs w:val="18"/>
          <w:color w:val="auto"/>
        </w:rPr>
        <w:t>1,219,906</w:t>
      </w:r>
      <w:r>
        <w:rPr>
          <w:sz w:val="20"/>
          <w:szCs w:val="20"/>
          <w:color w:val="auto"/>
        </w:rPr>
        <w:tab/>
      </w:r>
      <w:r>
        <w:rPr>
          <w:rFonts w:ascii="Times New Roman" w:cs="Times New Roman" w:eastAsia="Times New Roman" w:hAnsi="Times New Roman"/>
          <w:sz w:val="18"/>
          <w:szCs w:val="18"/>
          <w:color w:val="auto"/>
        </w:rPr>
        <w:t>(823,954)</w:t>
      </w:r>
    </w:p>
    <w:p>
      <w:pPr>
        <w:spacing w:after="0" w:line="27" w:lineRule="exact"/>
        <w:rPr>
          <w:sz w:val="20"/>
          <w:szCs w:val="20"/>
          <w:color w:val="auto"/>
        </w:rPr>
      </w:pPr>
    </w:p>
    <w:p>
      <w:pPr>
        <w:ind w:left="420"/>
        <w:spacing w:after="0"/>
        <w:tabs>
          <w:tab w:leader="none" w:pos="1760" w:val="left"/>
        </w:tabs>
        <w:rPr>
          <w:sz w:val="20"/>
          <w:szCs w:val="20"/>
          <w:color w:val="auto"/>
        </w:rPr>
      </w:pPr>
      <w:r>
        <w:rPr>
          <w:rFonts w:ascii="Times New Roman" w:cs="Times New Roman" w:eastAsia="Times New Roman" w:hAnsi="Times New Roman"/>
          <w:sz w:val="18"/>
          <w:szCs w:val="18"/>
          <w:color w:val="auto"/>
        </w:rPr>
        <w:t>8,914,034</w:t>
      </w:r>
      <w:r>
        <w:rPr>
          <w:sz w:val="20"/>
          <w:szCs w:val="20"/>
          <w:color w:val="auto"/>
        </w:rPr>
        <w:tab/>
      </w:r>
      <w:r>
        <w:rPr>
          <w:rFonts w:ascii="Times New Roman" w:cs="Times New Roman" w:eastAsia="Times New Roman" w:hAnsi="Times New Roman"/>
          <w:sz w:val="18"/>
          <w:szCs w:val="18"/>
          <w:color w:val="auto"/>
        </w:rPr>
        <w:t>5,122,573</w:t>
      </w:r>
    </w:p>
    <w:p>
      <w:pPr>
        <w:spacing w:after="0" w:line="58" w:lineRule="exact"/>
        <w:rPr>
          <w:sz w:val="20"/>
          <w:szCs w:val="20"/>
          <w:color w:val="auto"/>
        </w:rPr>
      </w:pPr>
    </w:p>
    <w:p>
      <w:pPr>
        <w:spacing w:after="0"/>
        <w:tabs>
          <w:tab w:leader="none" w:pos="320" w:val="left"/>
          <w:tab w:leader="none" w:pos="1340" w:val="left"/>
          <w:tab w:leader="none" w:pos="1760" w:val="left"/>
        </w:tabs>
        <w:rPr>
          <w:sz w:val="20"/>
          <w:szCs w:val="20"/>
          <w:color w:val="auto"/>
        </w:rPr>
      </w:pPr>
      <w:r>
        <w:rPr>
          <w:rFonts w:ascii="Times New Roman" w:cs="Times New Roman" w:eastAsia="Times New Roman" w:hAnsi="Times New Roman"/>
          <w:sz w:val="18"/>
          <w:szCs w:val="18"/>
          <w:color w:val="auto"/>
        </w:rPr>
        <w:t>$</w:t>
        <w:tab/>
        <w:t>10,133,940</w:t>
        <w:tab/>
        <w:t>$</w:t>
      </w:r>
      <w:r>
        <w:rPr>
          <w:sz w:val="20"/>
          <w:szCs w:val="20"/>
          <w:color w:val="auto"/>
        </w:rPr>
        <w:tab/>
      </w:r>
      <w:r>
        <w:rPr>
          <w:rFonts w:ascii="Times New Roman" w:cs="Times New Roman" w:eastAsia="Times New Roman" w:hAnsi="Times New Roman"/>
          <w:sz w:val="18"/>
          <w:szCs w:val="18"/>
          <w:color w:val="auto"/>
        </w:rPr>
        <w:t>4,298,619</w:t>
      </w:r>
    </w:p>
    <w:p>
      <w:pPr>
        <w:spacing w:after="0" w:line="27" w:lineRule="exact"/>
        <w:rPr>
          <w:sz w:val="20"/>
          <w:szCs w:val="20"/>
          <w:color w:val="auto"/>
        </w:rPr>
      </w:pPr>
    </w:p>
    <w:p>
      <w:pPr>
        <w:sectPr>
          <w:pgSz w:w="11900" w:h="16838" w:orient="portrait"/>
          <w:cols w:equalWidth="0" w:num="2">
            <w:col w:w="8100" w:space="720"/>
            <w:col w:w="26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8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vMerge w:val="continue"/>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Non-cash effect of issuance of shares related to net settled options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effect of cumulative adjustments to accumulated deficit</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vMerge w:val="continue"/>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issuance of shares to WPP, plc</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20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82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190,501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31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833,376</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1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20" w:type="dxa"/>
            <w:vAlign w:val="bottom"/>
            <w:tcBorders>
              <w:bottom w:val="single" w:sz="8" w:color="CCEEFF"/>
            </w:tcBorders>
            <w:vMerge w:val="continue"/>
          </w:tcPr>
          <w:p>
            <w:pPr>
              <w:spacing w:after="0"/>
              <w:rPr>
                <w:sz w:val="22"/>
                <w:szCs w:val="22"/>
                <w:color w:val="auto"/>
              </w:rPr>
            </w:pPr>
          </w:p>
        </w:tc>
        <w:tc>
          <w:tcPr>
            <w:tcW w:w="2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12,077,829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9,786,027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2019-12-28T12:38:03Z</dcterms:created>
  <dcterms:modified xsi:type="dcterms:W3CDTF">2019-12-28T12:38:03Z</dcterms:modified>
</cp:coreProperties>
</file>