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800" w:hanging="69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221"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2012</w:t>
      </w:r>
    </w:p>
    <w:p>
      <w:pPr>
        <w:spacing w:after="0" w:line="252" w:lineRule="exact"/>
        <w:rPr>
          <w:sz w:val="24"/>
          <w:szCs w:val="24"/>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UNDER SECTION 13 OR 15(d) OF THE SECURITIES EXCHANGE ACT OF 1934</w:t>
      </w:r>
    </w:p>
    <w:p>
      <w:pPr>
        <w:spacing w:after="0" w:line="225" w:lineRule="exact"/>
        <w:rPr>
          <w:sz w:val="24"/>
          <w:szCs w:val="24"/>
          <w:color w:val="auto"/>
        </w:rPr>
      </w:pPr>
    </w:p>
    <w:p>
      <w:pPr>
        <w:ind w:left="7380"/>
        <w:spacing w:after="0"/>
        <w:rPr>
          <w:sz w:val="20"/>
          <w:szCs w:val="20"/>
          <w:color w:val="auto"/>
        </w:rPr>
      </w:pPr>
      <w:r>
        <w:rPr>
          <w:rFonts w:ascii="Arial" w:cs="Arial" w:eastAsia="Arial" w:hAnsi="Arial"/>
          <w:sz w:val="16"/>
          <w:szCs w:val="16"/>
          <w:color w:val="auto"/>
        </w:rPr>
        <w:t>For the transition period from _________ to ________</w:t>
      </w:r>
    </w:p>
    <w:p>
      <w:pPr>
        <w:spacing w:after="0" w:line="244" w:lineRule="exact"/>
        <w:rPr>
          <w:sz w:val="24"/>
          <w:szCs w:val="24"/>
          <w:color w:val="auto"/>
        </w:rPr>
      </w:pPr>
    </w:p>
    <w:p>
      <w:pPr>
        <w:ind w:left="86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000-53605</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840" w:type="dxa"/>
            <w:vAlign w:val="bottom"/>
            <w:gridSpan w:val="3"/>
          </w:tcPr>
          <w:p>
            <w:pPr>
              <w:spacing w:after="0"/>
              <w:rPr>
                <w:sz w:val="17"/>
                <w:szCs w:val="17"/>
                <w:color w:val="auto"/>
              </w:rPr>
            </w:pPr>
          </w:p>
        </w:tc>
        <w:tc>
          <w:tcPr>
            <w:tcW w:w="31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26-1265381</w:t>
            </w:r>
          </w:p>
        </w:tc>
        <w:tc>
          <w:tcPr>
            <w:tcW w:w="1040" w:type="dxa"/>
            <w:vAlign w:val="bottom"/>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630"/>
        </w:trPr>
        <w:tc>
          <w:tcPr>
            <w:tcW w:w="59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0"/>
              </w:rPr>
              <w:t>400 Water Street, Ste. 200</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4"/>
        </w:trPr>
        <w:tc>
          <w:tcPr>
            <w:tcW w:w="2220" w:type="dxa"/>
            <w:vAlign w:val="bottom"/>
          </w:tcPr>
          <w:p>
            <w:pPr>
              <w:spacing w:after="0"/>
              <w:rPr>
                <w:sz w:val="16"/>
                <w:szCs w:val="16"/>
                <w:color w:val="auto"/>
              </w:rPr>
            </w:pPr>
          </w:p>
        </w:tc>
        <w:tc>
          <w:tcPr>
            <w:tcW w:w="3680" w:type="dxa"/>
            <w:vAlign w:val="bottom"/>
            <w:gridSpan w:val="8"/>
          </w:tcPr>
          <w:p>
            <w:pPr>
              <w:jc w:val="center"/>
              <w:ind w:right="2600"/>
              <w:spacing w:after="0" w:line="194" w:lineRule="exact"/>
              <w:rPr>
                <w:sz w:val="20"/>
                <w:szCs w:val="20"/>
                <w:color w:val="auto"/>
              </w:rPr>
            </w:pPr>
            <w:r>
              <w:rPr>
                <w:rFonts w:ascii="Arial" w:cs="Arial" w:eastAsia="Arial" w:hAnsi="Arial"/>
                <w:sz w:val="18"/>
                <w:szCs w:val="18"/>
                <w:b w:val="1"/>
                <w:bCs w:val="1"/>
                <w:color w:val="auto"/>
                <w:w w:val="91"/>
              </w:rPr>
              <w:t>Rochester, MI</w:t>
            </w:r>
          </w:p>
        </w:tc>
        <w:tc>
          <w:tcPr>
            <w:tcW w:w="3000" w:type="dxa"/>
            <w:vAlign w:val="bottom"/>
            <w:gridSpan w:val="5"/>
          </w:tcPr>
          <w:p>
            <w:pPr>
              <w:jc w:val="right"/>
              <w:ind w:right="200"/>
              <w:spacing w:after="0" w:line="194" w:lineRule="exact"/>
              <w:rPr>
                <w:sz w:val="20"/>
                <w:szCs w:val="20"/>
                <w:color w:val="auto"/>
              </w:rPr>
            </w:pPr>
            <w:r>
              <w:rPr>
                <w:rFonts w:ascii="Arial" w:cs="Arial" w:eastAsia="Arial" w:hAnsi="Arial"/>
                <w:sz w:val="18"/>
                <w:szCs w:val="18"/>
                <w:b w:val="1"/>
                <w:bCs w:val="1"/>
                <w:color w:val="auto"/>
              </w:rPr>
              <w:t>48307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jc w:val="center"/>
              <w:ind w:right="1160"/>
              <w:spacing w:after="0"/>
              <w:rPr>
                <w:sz w:val="20"/>
                <w:szCs w:val="20"/>
                <w:color w:val="auto"/>
              </w:rPr>
            </w:pPr>
            <w:r>
              <w:rPr>
                <w:rFonts w:ascii="Arial" w:cs="Arial" w:eastAsia="Arial" w:hAnsi="Arial"/>
                <w:sz w:val="18"/>
                <w:szCs w:val="18"/>
                <w:color w:val="auto"/>
                <w:w w:val="91"/>
              </w:rPr>
              <w:t>(Zip Code)</w:t>
            </w:r>
          </w:p>
        </w:tc>
      </w:tr>
      <w:tr>
        <w:trPr>
          <w:trHeight w:val="392"/>
        </w:trPr>
        <w:tc>
          <w:tcPr>
            <w:tcW w:w="5900" w:type="dxa"/>
            <w:vAlign w:val="bottom"/>
            <w:gridSpan w:val="9"/>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23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69"/>
        </w:trPr>
        <w:tc>
          <w:tcPr>
            <w:tcW w:w="59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12(b) of the Exchange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5900" w:type="dxa"/>
            <w:vAlign w:val="bottom"/>
            <w:gridSpan w:val="9"/>
          </w:tcPr>
          <w:p>
            <w:pPr>
              <w:jc w:val="center"/>
              <w:ind w:right="360"/>
              <w:spacing w:after="0"/>
              <w:rPr>
                <w:sz w:val="20"/>
                <w:szCs w:val="20"/>
                <w:color w:val="auto"/>
              </w:rPr>
            </w:pPr>
            <w:r>
              <w:rPr>
                <w:rFonts w:ascii="Arial" w:cs="Arial" w:eastAsia="Arial" w:hAnsi="Arial"/>
                <w:sz w:val="18"/>
                <w:szCs w:val="18"/>
                <w:color w:val="auto"/>
                <w:w w:val="90"/>
              </w:rPr>
              <w:t>Title of each class</w:t>
            </w:r>
          </w:p>
        </w:tc>
        <w:tc>
          <w:tcPr>
            <w:tcW w:w="4160" w:type="dxa"/>
            <w:vAlign w:val="bottom"/>
            <w:gridSpan w:val="7"/>
          </w:tcPr>
          <w:p>
            <w:pPr>
              <w:jc w:val="center"/>
              <w:ind w:left="89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5"/>
          </w:tcPr>
          <w:p>
            <w:pPr>
              <w:jc w:val="center"/>
              <w:ind w:right="2960"/>
              <w:spacing w:after="0" w:line="194" w:lineRule="exact"/>
              <w:rPr>
                <w:sz w:val="20"/>
                <w:szCs w:val="20"/>
                <w:color w:val="auto"/>
              </w:rPr>
            </w:pPr>
            <w:r>
              <w:rPr>
                <w:rFonts w:ascii="Arial" w:cs="Arial" w:eastAsia="Arial" w:hAnsi="Arial"/>
                <w:sz w:val="18"/>
                <w:szCs w:val="18"/>
                <w:b w:val="1"/>
                <w:bCs w:val="1"/>
                <w:color w:val="auto"/>
                <w:w w:val="83"/>
              </w:rPr>
              <w:t>none</w:t>
            </w:r>
          </w:p>
        </w:tc>
        <w:tc>
          <w:tcPr>
            <w:tcW w:w="4160" w:type="dxa"/>
            <w:vAlign w:val="bottom"/>
            <w:gridSpan w:val="7"/>
          </w:tcPr>
          <w:p>
            <w:pPr>
              <w:jc w:val="center"/>
              <w:ind w:left="89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258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5900" w:type="dxa"/>
            <w:vAlign w:val="bottom"/>
            <w:gridSpan w:val="9"/>
          </w:tcPr>
          <w:p>
            <w:pPr>
              <w:spacing w:after="0"/>
              <w:rPr>
                <w:sz w:val="20"/>
                <w:szCs w:val="20"/>
                <w:color w:val="auto"/>
              </w:rPr>
            </w:pPr>
            <w:r>
              <w:rPr>
                <w:rFonts w:ascii="Arial" w:cs="Arial" w:eastAsia="Arial" w:hAnsi="Arial"/>
                <w:sz w:val="18"/>
                <w:szCs w:val="18"/>
                <w:color w:val="auto"/>
              </w:rPr>
              <w:t>Securities registered under Section 12(g) of the Exchange Act: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 No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 [ ] No [X]</w:t>
      </w:r>
    </w:p>
    <w:p>
      <w:pPr>
        <w:spacing w:after="0" w:line="18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w:t>
      </w:r>
    </w:p>
    <w:p>
      <w:pPr>
        <w:spacing w:after="0"/>
        <w:rPr>
          <w:sz w:val="20"/>
          <w:szCs w:val="20"/>
          <w:color w:val="auto"/>
        </w:rPr>
      </w:pPr>
      <w:r>
        <w:rPr>
          <w:rFonts w:ascii="Arial" w:cs="Arial" w:eastAsia="Arial" w:hAnsi="Arial"/>
          <w:sz w:val="18"/>
          <w:szCs w:val="18"/>
          <w:b w:val="1"/>
          <w:bCs w:val="1"/>
          <w:color w:val="auto"/>
        </w:rPr>
        <w:t>Yes [ ] No [X]</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449" w:right="239" w:bottom="0" w:gutter="0" w:footer="0" w:header="0"/>
        </w:sectPr>
      </w:pPr>
    </w:p>
    <w:p>
      <w:pPr>
        <w:spacing w:after="0" w:line="233"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 ] Large accelerated filer</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auto"/>
        </w:rPr>
        <w:t>[ ] Non-accelerated filer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[X] Smaller reporting company</w:t>
      </w:r>
    </w:p>
    <w:p>
      <w:pPr>
        <w:spacing w:after="0" w:line="211" w:lineRule="exact"/>
        <w:rPr>
          <w:sz w:val="24"/>
          <w:szCs w:val="24"/>
          <w:color w:val="auto"/>
        </w:rPr>
      </w:pPr>
    </w:p>
    <w:p>
      <w:pPr>
        <w:sectPr>
          <w:pgSz w:w="11900" w:h="16838" w:orient="portrait"/>
          <w:cols w:equalWidth="0" w:num="2">
            <w:col w:w="5100" w:space="720"/>
            <w:col w:w="5600"/>
          </w:cols>
          <w:pgMar w:left="240" w:top="449" w:right="239" w:bottom="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 ] No [X]</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$10,991,495</w:t>
      </w:r>
    </w:p>
    <w:p>
      <w:pPr>
        <w:spacing w:after="0" w:line="177" w:lineRule="exact"/>
        <w:rPr>
          <w:sz w:val="24"/>
          <w:szCs w:val="24"/>
          <w:color w:val="auto"/>
        </w:rPr>
      </w:pPr>
    </w:p>
    <w:p>
      <w:pPr>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14,192,496 common shares as of</w:t>
      </w:r>
      <w:r>
        <w:rPr>
          <w:rFonts w:ascii="Arial" w:cs="Arial" w:eastAsia="Arial" w:hAnsi="Arial"/>
          <w:sz w:val="18"/>
          <w:szCs w:val="18"/>
          <w:color w:val="auto"/>
        </w:rPr>
        <w:t xml:space="preserve"> </w:t>
      </w:r>
      <w:r>
        <w:rPr>
          <w:rFonts w:ascii="Arial" w:cs="Arial" w:eastAsia="Arial" w:hAnsi="Arial"/>
          <w:sz w:val="18"/>
          <w:szCs w:val="18"/>
          <w:b w:val="1"/>
          <w:bCs w:val="1"/>
          <w:color w:val="auto"/>
        </w:rPr>
        <w:t>March 12, 2013</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8"/>
          </w:tcPr>
          <w:p>
            <w:pPr>
              <w:jc w:val="center"/>
              <w:ind w:right="2100"/>
              <w:spacing w:after="0"/>
              <w:rPr>
                <w:sz w:val="20"/>
                <w:szCs w:val="20"/>
                <w:color w:val="auto"/>
              </w:rPr>
            </w:pPr>
            <w:r>
              <w:rPr>
                <w:rFonts w:ascii="Arial" w:cs="Arial" w:eastAsia="Arial" w:hAnsi="Arial"/>
                <w:sz w:val="18"/>
                <w:szCs w:val="18"/>
                <w:b w:val="1"/>
                <w:bCs w:val="1"/>
                <w:color w:val="auto"/>
                <w:w w:val="96"/>
              </w:rPr>
              <w:t>TABLE OF CONTENTS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7"/>
            <w:vMerge w:val="restart"/>
          </w:tcPr>
          <w:p>
            <w:pPr>
              <w:jc w:val="center"/>
              <w:ind w:right="680"/>
              <w:spacing w:after="0"/>
              <w:rPr>
                <w:sz w:val="20"/>
                <w:szCs w:val="20"/>
                <w:color w:val="auto"/>
              </w:rPr>
            </w:pPr>
            <w:r>
              <w:rPr>
                <w:rFonts w:ascii="Arial" w:cs="Arial" w:eastAsia="Arial" w:hAnsi="Arial"/>
                <w:sz w:val="18"/>
                <w:szCs w:val="18"/>
                <w:color w:val="auto"/>
                <w:w w:val="92"/>
              </w:rPr>
              <w:t>PART I</w:t>
            </w:r>
          </w:p>
        </w:tc>
        <w:tc>
          <w:tcPr>
            <w:tcW w:w="2460" w:type="dxa"/>
            <w:vAlign w:val="bottom"/>
            <w:gridSpan w:val="6"/>
            <w:vMerge w:val="restart"/>
          </w:tcPr>
          <w:p>
            <w:pPr>
              <w:spacing w:after="0"/>
              <w:rPr>
                <w:sz w:val="24"/>
                <w:szCs w:val="24"/>
                <w:color w:val="auto"/>
              </w:rPr>
            </w:pPr>
          </w:p>
        </w:tc>
        <w:tc>
          <w:tcPr>
            <w:tcW w:w="1160" w:type="dxa"/>
            <w:vAlign w:val="bottom"/>
            <w:gridSpan w:val="3"/>
          </w:tcPr>
          <w:p>
            <w:pPr>
              <w:ind w:left="300"/>
              <w:spacing w:after="0"/>
              <w:rPr>
                <w:sz w:val="20"/>
                <w:szCs w:val="20"/>
                <w:color w:val="auto"/>
              </w:rPr>
            </w:pPr>
            <w:r>
              <w:rPr>
                <w:rFonts w:ascii="Arial" w:cs="Arial" w:eastAsia="Arial" w:hAnsi="Arial"/>
                <w:sz w:val="18"/>
                <w:szCs w:val="18"/>
                <w:color w:val="auto"/>
              </w:rPr>
              <w:t>Page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gridSpan w:val="7"/>
            <w:vMerge w:val="continue"/>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1.</w:t>
            </w:r>
          </w:p>
        </w:tc>
        <w:tc>
          <w:tcPr>
            <w:tcW w:w="6500" w:type="dxa"/>
            <w:vAlign w:val="bottom"/>
            <w:gridSpan w:val="28"/>
            <w:shd w:val="clear" w:color="auto" w:fill="CCEE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60" w:type="dxa"/>
            <w:vAlign w:val="bottom"/>
            <w:gridSpan w:val="2"/>
            <w:shd w:val="clear" w:color="auto" w:fill="CCEECC"/>
          </w:tcPr>
          <w:p>
            <w:pPr>
              <w:jc w:val="center"/>
              <w:ind w:left="210"/>
              <w:spacing w:after="0" w:line="176" w:lineRule="exact"/>
              <w:rPr>
                <w:sz w:val="20"/>
                <w:szCs w:val="20"/>
                <w:color w:val="auto"/>
              </w:rPr>
            </w:pPr>
            <w:r>
              <w:rPr>
                <w:rFonts w:ascii="Arial" w:cs="Arial" w:eastAsia="Arial" w:hAnsi="Arial"/>
                <w:sz w:val="18"/>
                <w:szCs w:val="18"/>
                <w:color w:val="auto"/>
                <w:w w:val="79"/>
              </w:rPr>
              <w:t>3</w:t>
            </w:r>
          </w:p>
        </w:tc>
        <w:tc>
          <w:tcPr>
            <w:tcW w:w="500" w:type="dxa"/>
            <w:vAlign w:val="bottom"/>
            <w:shd w:val="clear" w:color="auto" w:fill="CCEE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34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52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2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8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2.</w:t>
            </w:r>
          </w:p>
        </w:tc>
        <w:tc>
          <w:tcPr>
            <w:tcW w:w="6500" w:type="dxa"/>
            <w:vAlign w:val="bottom"/>
            <w:gridSpan w:val="28"/>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660" w:type="dxa"/>
            <w:vAlign w:val="bottom"/>
            <w:gridSpan w:val="2"/>
          </w:tcPr>
          <w:p>
            <w:pPr>
              <w:jc w:val="center"/>
              <w:ind w:left="210"/>
              <w:spacing w:after="0" w:line="176" w:lineRule="exact"/>
              <w:rPr>
                <w:sz w:val="20"/>
                <w:szCs w:val="20"/>
                <w:color w:val="auto"/>
              </w:rPr>
            </w:pPr>
            <w:r>
              <w:rPr>
                <w:rFonts w:ascii="Arial" w:cs="Arial" w:eastAsia="Arial" w:hAnsi="Arial"/>
                <w:sz w:val="18"/>
                <w:szCs w:val="18"/>
                <w:color w:val="auto"/>
                <w:w w:val="79"/>
              </w:rPr>
              <w:t>9</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Legal Proceedings</w:t>
              </w:r>
            </w:hyperlink>
          </w:p>
        </w:tc>
        <w:tc>
          <w:tcPr>
            <w:tcW w:w="5160" w:type="dxa"/>
            <w:vAlign w:val="bottom"/>
            <w:tcBorders>
              <w:bottom w:val="single" w:sz="8" w:color="CCEECC"/>
            </w:tcBorders>
            <w:gridSpan w:val="22"/>
            <w:shd w:val="clear" w:color="auto" w:fill="CCEECC"/>
          </w:tcPr>
          <w:p>
            <w:pPr>
              <w:spacing w:after="0"/>
              <w:rPr>
                <w:sz w:val="17"/>
                <w:szCs w:val="17"/>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10</w:t>
            </w:r>
          </w:p>
        </w:tc>
        <w:tc>
          <w:tcPr>
            <w:tcW w:w="500" w:type="dxa"/>
            <w:vAlign w:val="bottom"/>
            <w:tcBorders>
              <w:bottom w:val="single" w:sz="8" w:color="CCEECC"/>
            </w:tcBorders>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4.</w:t>
            </w:r>
          </w:p>
        </w:tc>
        <w:tc>
          <w:tcPr>
            <w:tcW w:w="6500" w:type="dxa"/>
            <w:vAlign w:val="bottom"/>
            <w:gridSpan w:val="2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Mine Safety Disclosures</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10</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gridSpan w:val="14"/>
          </w:tcPr>
          <w:p>
            <w:pPr>
              <w:jc w:val="center"/>
              <w:ind w:right="3100"/>
              <w:spacing w:after="0"/>
              <w:rPr>
                <w:sz w:val="20"/>
                <w:szCs w:val="20"/>
                <w:color w:val="auto"/>
              </w:rPr>
            </w:pPr>
            <w:r>
              <w:rPr>
                <w:rFonts w:ascii="Arial" w:cs="Arial" w:eastAsia="Arial" w:hAnsi="Arial"/>
                <w:sz w:val="18"/>
                <w:szCs w:val="18"/>
                <w:color w:val="auto"/>
                <w:w w:val="95"/>
              </w:rPr>
              <w:t>PART II</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5.</w:t>
            </w:r>
          </w:p>
        </w:tc>
        <w:tc>
          <w:tcPr>
            <w:tcW w:w="6220" w:type="dxa"/>
            <w:vAlign w:val="bottom"/>
            <w:tcBorders>
              <w:bottom w:val="single" w:sz="8" w:color="0000EE"/>
            </w:tcBorders>
            <w:gridSpan w:val="27"/>
            <w:shd w:val="clear" w:color="auto" w:fill="CCEECC"/>
          </w:tcPr>
          <w:p>
            <w:pPr>
              <w:spacing w:after="0" w:line="17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Market for Registrant’s Common Equity and Related Stockholder Matters and Issuer</w:t>
              </w:r>
            </w:hyperlink>
          </w:p>
        </w:tc>
        <w:tc>
          <w:tcPr>
            <w:tcW w:w="280" w:type="dxa"/>
            <w:vAlign w:val="bottom"/>
            <w:tcBorders>
              <w:bottom w:val="single" w:sz="8" w:color="CCEECC"/>
            </w:tcBorders>
            <w:shd w:val="clear" w:color="auto" w:fill="CCEECC"/>
          </w:tcPr>
          <w:p>
            <w:pPr>
              <w:spacing w:after="0"/>
              <w:rPr>
                <w:sz w:val="15"/>
                <w:szCs w:val="15"/>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10</w:t>
            </w:r>
          </w:p>
        </w:tc>
        <w:tc>
          <w:tcPr>
            <w:tcW w:w="500" w:type="dxa"/>
            <w:vAlign w:val="bottom"/>
            <w:tcBorders>
              <w:bottom w:val="single" w:sz="8" w:color="CCEECC"/>
            </w:tcBorders>
            <w:shd w:val="clear" w:color="auto" w:fill="CCEE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Borders>
              <w:bottom w:val="single" w:sz="8" w:color="CCEECC"/>
            </w:tcBorders>
            <w:shd w:val="clear" w:color="auto" w:fill="CCEECC"/>
          </w:tcPr>
          <w:p>
            <w:pPr>
              <w:spacing w:after="0"/>
              <w:rPr>
                <w:sz w:val="18"/>
                <w:szCs w:val="18"/>
                <w:color w:val="auto"/>
              </w:rPr>
            </w:pPr>
          </w:p>
        </w:tc>
        <w:tc>
          <w:tcPr>
            <w:tcW w:w="1340" w:type="dxa"/>
            <w:vAlign w:val="bottom"/>
            <w:tcBorders>
              <w:bottom w:val="single" w:sz="8" w:color="CCEECC"/>
            </w:tcBorders>
            <w:shd w:val="clear" w:color="auto" w:fill="CCEECC"/>
          </w:tcPr>
          <w:p>
            <w:pPr>
              <w:spacing w:after="0"/>
              <w:rPr>
                <w:sz w:val="18"/>
                <w:szCs w:val="18"/>
                <w:color w:val="auto"/>
              </w:rPr>
            </w:pPr>
          </w:p>
        </w:tc>
        <w:tc>
          <w:tcPr>
            <w:tcW w:w="2200" w:type="dxa"/>
            <w:vAlign w:val="bottom"/>
            <w:tcBorders>
              <w:bottom w:val="single" w:sz="8" w:color="0000EE"/>
            </w:tcBorders>
            <w:gridSpan w:val="12"/>
            <w:shd w:val="clear" w:color="auto" w:fill="CCEECC"/>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Purchases of Equity Securities</w:t>
              </w:r>
            </w:hyperlink>
          </w:p>
        </w:tc>
        <w:tc>
          <w:tcPr>
            <w:tcW w:w="4300" w:type="dxa"/>
            <w:vAlign w:val="bottom"/>
            <w:tcBorders>
              <w:bottom w:val="single" w:sz="8" w:color="CCEECC"/>
            </w:tcBorders>
            <w:gridSpan w:val="16"/>
            <w:shd w:val="clear" w:color="auto" w:fill="CCEECC"/>
          </w:tcPr>
          <w:p>
            <w:pPr>
              <w:spacing w:after="0"/>
              <w:rPr>
                <w:sz w:val="18"/>
                <w:szCs w:val="18"/>
                <w:color w:val="auto"/>
              </w:rPr>
            </w:pPr>
          </w:p>
        </w:tc>
        <w:tc>
          <w:tcPr>
            <w:tcW w:w="300" w:type="dxa"/>
            <w:vAlign w:val="bottom"/>
            <w:tcBorders>
              <w:bottom w:val="single" w:sz="8" w:color="CCEECC"/>
            </w:tcBorders>
            <w:shd w:val="clear" w:color="auto" w:fill="CCEECC"/>
          </w:tcPr>
          <w:p>
            <w:pPr>
              <w:spacing w:after="0"/>
              <w:rPr>
                <w:sz w:val="18"/>
                <w:szCs w:val="18"/>
                <w:color w:val="auto"/>
              </w:rPr>
            </w:pPr>
          </w:p>
        </w:tc>
        <w:tc>
          <w:tcPr>
            <w:tcW w:w="360" w:type="dxa"/>
            <w:vAlign w:val="bottom"/>
            <w:tcBorders>
              <w:bottom w:val="single" w:sz="8" w:color="CCEECC"/>
            </w:tcBorders>
            <w:shd w:val="clear" w:color="auto" w:fill="CCEECC"/>
          </w:tcPr>
          <w:p>
            <w:pPr>
              <w:spacing w:after="0"/>
              <w:rPr>
                <w:sz w:val="18"/>
                <w:szCs w:val="18"/>
                <w:color w:val="auto"/>
              </w:rPr>
            </w:pPr>
          </w:p>
        </w:tc>
        <w:tc>
          <w:tcPr>
            <w:tcW w:w="500" w:type="dxa"/>
            <w:vAlign w:val="bottom"/>
            <w:tcBorders>
              <w:bottom w:val="single" w:sz="8" w:color="CCEECC"/>
            </w:tcBorders>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6.</w:t>
            </w:r>
          </w:p>
        </w:tc>
        <w:tc>
          <w:tcPr>
            <w:tcW w:w="6500" w:type="dxa"/>
            <w:vAlign w:val="bottom"/>
            <w:gridSpan w:val="2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13</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7.</w:t>
            </w:r>
          </w:p>
        </w:tc>
        <w:tc>
          <w:tcPr>
            <w:tcW w:w="6220" w:type="dxa"/>
            <w:vAlign w:val="bottom"/>
            <w:tcBorders>
              <w:bottom w:val="single" w:sz="8" w:color="0000EE"/>
            </w:tcBorders>
            <w:gridSpan w:val="27"/>
            <w:shd w:val="clear" w:color="auto" w:fill="CCEECC"/>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w:t>
              </w:r>
            </w:hyperlink>
          </w:p>
        </w:tc>
        <w:tc>
          <w:tcPr>
            <w:tcW w:w="280" w:type="dxa"/>
            <w:vAlign w:val="bottom"/>
            <w:tcBorders>
              <w:bottom w:val="single" w:sz="8" w:color="CCEECC"/>
            </w:tcBorders>
            <w:shd w:val="clear" w:color="auto" w:fill="CCEECC"/>
          </w:tcPr>
          <w:p>
            <w:pPr>
              <w:spacing w:after="0"/>
              <w:rPr>
                <w:sz w:val="15"/>
                <w:szCs w:val="15"/>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13</w:t>
            </w:r>
          </w:p>
        </w:tc>
        <w:tc>
          <w:tcPr>
            <w:tcW w:w="500" w:type="dxa"/>
            <w:vAlign w:val="bottom"/>
            <w:tcBorders>
              <w:bottom w:val="single" w:sz="8" w:color="CCEECC"/>
            </w:tcBorders>
            <w:shd w:val="clear" w:color="auto" w:fill="CCEE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Borders>
              <w:bottom w:val="single" w:sz="8" w:color="CCEECC"/>
            </w:tcBorders>
            <w:shd w:val="clear" w:color="auto" w:fill="CCEECC"/>
          </w:tcPr>
          <w:p>
            <w:pPr>
              <w:spacing w:after="0"/>
              <w:rPr>
                <w:sz w:val="18"/>
                <w:szCs w:val="18"/>
                <w:color w:val="auto"/>
              </w:rPr>
            </w:pPr>
          </w:p>
        </w:tc>
        <w:tc>
          <w:tcPr>
            <w:tcW w:w="1340" w:type="dxa"/>
            <w:vAlign w:val="bottom"/>
            <w:tcBorders>
              <w:bottom w:val="single" w:sz="8" w:color="CCEECC"/>
            </w:tcBorders>
            <w:shd w:val="clear" w:color="auto" w:fill="CCEECC"/>
          </w:tcPr>
          <w:p>
            <w:pPr>
              <w:spacing w:after="0"/>
              <w:rPr>
                <w:sz w:val="18"/>
                <w:szCs w:val="18"/>
                <w:color w:val="auto"/>
              </w:rPr>
            </w:pPr>
          </w:p>
        </w:tc>
        <w:tc>
          <w:tcPr>
            <w:tcW w:w="800" w:type="dxa"/>
            <w:vAlign w:val="bottom"/>
            <w:tcBorders>
              <w:bottom w:val="single" w:sz="8" w:color="0000EE"/>
            </w:tcBorders>
            <w:gridSpan w:val="4"/>
            <w:shd w:val="clear" w:color="auto" w:fill="CCEECC"/>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Operations</w:t>
              </w:r>
            </w:hyperlink>
          </w:p>
        </w:tc>
        <w:tc>
          <w:tcPr>
            <w:tcW w:w="5700" w:type="dxa"/>
            <w:vAlign w:val="bottom"/>
            <w:tcBorders>
              <w:bottom w:val="single" w:sz="8" w:color="CCEECC"/>
            </w:tcBorders>
            <w:gridSpan w:val="24"/>
            <w:shd w:val="clear" w:color="auto" w:fill="CCEECC"/>
          </w:tcPr>
          <w:p>
            <w:pPr>
              <w:spacing w:after="0"/>
              <w:rPr>
                <w:sz w:val="18"/>
                <w:szCs w:val="18"/>
                <w:color w:val="auto"/>
              </w:rPr>
            </w:pPr>
          </w:p>
        </w:tc>
        <w:tc>
          <w:tcPr>
            <w:tcW w:w="300" w:type="dxa"/>
            <w:vAlign w:val="bottom"/>
            <w:tcBorders>
              <w:bottom w:val="single" w:sz="8" w:color="CCEECC"/>
            </w:tcBorders>
            <w:shd w:val="clear" w:color="auto" w:fill="CCEECC"/>
          </w:tcPr>
          <w:p>
            <w:pPr>
              <w:spacing w:after="0"/>
              <w:rPr>
                <w:sz w:val="18"/>
                <w:szCs w:val="18"/>
                <w:color w:val="auto"/>
              </w:rPr>
            </w:pPr>
          </w:p>
        </w:tc>
        <w:tc>
          <w:tcPr>
            <w:tcW w:w="360" w:type="dxa"/>
            <w:vAlign w:val="bottom"/>
            <w:tcBorders>
              <w:bottom w:val="single" w:sz="8" w:color="CCEECC"/>
            </w:tcBorders>
            <w:shd w:val="clear" w:color="auto" w:fill="CCEECC"/>
          </w:tcPr>
          <w:p>
            <w:pPr>
              <w:spacing w:after="0"/>
              <w:rPr>
                <w:sz w:val="18"/>
                <w:szCs w:val="18"/>
                <w:color w:val="auto"/>
              </w:rPr>
            </w:pPr>
          </w:p>
        </w:tc>
        <w:tc>
          <w:tcPr>
            <w:tcW w:w="500" w:type="dxa"/>
            <w:vAlign w:val="bottom"/>
            <w:tcBorders>
              <w:bottom w:val="single" w:sz="8" w:color="CCEECC"/>
            </w:tcBorders>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7A.</w:t>
            </w:r>
          </w:p>
        </w:tc>
        <w:tc>
          <w:tcPr>
            <w:tcW w:w="6500" w:type="dxa"/>
            <w:vAlign w:val="bottom"/>
            <w:gridSpan w:val="2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15</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8"/>
            <w:shd w:val="clear" w:color="auto" w:fill="CCEECC"/>
          </w:tcPr>
          <w:p>
            <w:pPr>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Financial Statements and Supplementary Data</w:t>
              </w:r>
            </w:hyperlink>
          </w:p>
        </w:tc>
        <w:tc>
          <w:tcPr>
            <w:tcW w:w="3160" w:type="dxa"/>
            <w:vAlign w:val="bottom"/>
            <w:tcBorders>
              <w:bottom w:val="single" w:sz="8" w:color="CCEECC"/>
            </w:tcBorders>
            <w:gridSpan w:val="10"/>
            <w:shd w:val="clear" w:color="auto" w:fill="CCEECC"/>
          </w:tcPr>
          <w:p>
            <w:pPr>
              <w:spacing w:after="0"/>
              <w:rPr>
                <w:sz w:val="17"/>
                <w:szCs w:val="17"/>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15</w:t>
            </w:r>
          </w:p>
        </w:tc>
        <w:tc>
          <w:tcPr>
            <w:tcW w:w="500" w:type="dxa"/>
            <w:vAlign w:val="bottom"/>
            <w:tcBorders>
              <w:bottom w:val="single" w:sz="8" w:color="CCEECC"/>
            </w:tcBorders>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9.</w:t>
            </w:r>
          </w:p>
        </w:tc>
        <w:tc>
          <w:tcPr>
            <w:tcW w:w="6220" w:type="dxa"/>
            <w:vAlign w:val="bottom"/>
            <w:tcBorders>
              <w:bottom w:val="single" w:sz="8" w:color="0000EE"/>
            </w:tcBorders>
            <w:gridSpan w:val="27"/>
          </w:tcPr>
          <w:p>
            <w:pPr>
              <w:spacing w:after="0" w:line="17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Changes In and Disagreements With Accountants on Accounting and Financial</w:t>
              </w:r>
            </w:hyperlink>
          </w:p>
        </w:tc>
        <w:tc>
          <w:tcPr>
            <w:tcW w:w="280" w:type="dxa"/>
            <w:vAlign w:val="bottom"/>
          </w:tcPr>
          <w:p>
            <w:pPr>
              <w:spacing w:after="0"/>
              <w:rPr>
                <w:sz w:val="15"/>
                <w:szCs w:val="15"/>
                <w:color w:val="auto"/>
              </w:rPr>
            </w:pPr>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16</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5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Disclosure</w:t>
              </w:r>
            </w:hyperlink>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9"/>
            <w:shd w:val="clear" w:color="auto" w:fill="CCEECC"/>
          </w:tcPr>
          <w:p>
            <w:pPr>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4720" w:type="dxa"/>
            <w:vAlign w:val="bottom"/>
            <w:tcBorders>
              <w:bottom w:val="single" w:sz="8" w:color="CCEECC"/>
            </w:tcBorders>
            <w:gridSpan w:val="19"/>
            <w:shd w:val="clear" w:color="auto" w:fill="CCEECC"/>
          </w:tcPr>
          <w:p>
            <w:pPr>
              <w:spacing w:after="0"/>
              <w:rPr>
                <w:sz w:val="17"/>
                <w:szCs w:val="17"/>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16</w:t>
            </w:r>
          </w:p>
        </w:tc>
        <w:tc>
          <w:tcPr>
            <w:tcW w:w="500" w:type="dxa"/>
            <w:vAlign w:val="bottom"/>
            <w:tcBorders>
              <w:bottom w:val="single" w:sz="8" w:color="CCEECC"/>
            </w:tcBorders>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9B.</w:t>
            </w:r>
          </w:p>
        </w:tc>
        <w:tc>
          <w:tcPr>
            <w:tcW w:w="6500" w:type="dxa"/>
            <w:vAlign w:val="bottom"/>
            <w:gridSpan w:val="2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16</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gridSpan w:val="15"/>
          </w:tcPr>
          <w:p>
            <w:pPr>
              <w:jc w:val="center"/>
              <w:ind w:right="3080"/>
              <w:spacing w:after="0"/>
              <w:rPr>
                <w:sz w:val="20"/>
                <w:szCs w:val="20"/>
                <w:color w:val="auto"/>
              </w:rPr>
            </w:pPr>
            <w:r>
              <w:rPr>
                <w:rFonts w:ascii="Arial" w:cs="Arial" w:eastAsia="Arial" w:hAnsi="Arial"/>
                <w:sz w:val="18"/>
                <w:szCs w:val="18"/>
                <w:color w:val="auto"/>
                <w:w w:val="96"/>
              </w:rPr>
              <w:t>PART III</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3"/>
            <w:shd w:val="clear" w:color="auto" w:fill="CCEECC"/>
          </w:tcPr>
          <w:p>
            <w:pPr>
              <w:spacing w:after="0" w:line="17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Directors, Executive Officers and Corporate Governance</w:t>
              </w:r>
            </w:hyperlink>
          </w:p>
        </w:tc>
        <w:tc>
          <w:tcPr>
            <w:tcW w:w="2400" w:type="dxa"/>
            <w:vAlign w:val="bottom"/>
            <w:tcBorders>
              <w:bottom w:val="single" w:sz="8" w:color="CCEECC"/>
            </w:tcBorders>
            <w:gridSpan w:val="5"/>
            <w:shd w:val="clear" w:color="auto" w:fill="CCEECC"/>
          </w:tcPr>
          <w:p>
            <w:pPr>
              <w:spacing w:after="0"/>
              <w:rPr>
                <w:sz w:val="17"/>
                <w:szCs w:val="17"/>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17</w:t>
            </w:r>
          </w:p>
        </w:tc>
        <w:tc>
          <w:tcPr>
            <w:tcW w:w="500" w:type="dxa"/>
            <w:vAlign w:val="bottom"/>
            <w:tcBorders>
              <w:bottom w:val="single" w:sz="8" w:color="CCEECC"/>
            </w:tcBorders>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11.</w:t>
            </w:r>
          </w:p>
        </w:tc>
        <w:tc>
          <w:tcPr>
            <w:tcW w:w="6500" w:type="dxa"/>
            <w:vAlign w:val="bottom"/>
            <w:gridSpan w:val="28"/>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Executive Compensation</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20</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tcBorders>
              <w:bottom w:val="single" w:sz="8" w:color="CCEECC"/>
            </w:tcBorders>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12.</w:t>
            </w:r>
          </w:p>
        </w:tc>
        <w:tc>
          <w:tcPr>
            <w:tcW w:w="6200" w:type="dxa"/>
            <w:vAlign w:val="bottom"/>
            <w:tcBorders>
              <w:bottom w:val="single" w:sz="8" w:color="0000EE"/>
            </w:tcBorders>
            <w:gridSpan w:val="26"/>
            <w:shd w:val="clear" w:color="auto" w:fill="CCEECC"/>
          </w:tcPr>
          <w:p>
            <w:pPr>
              <w:spacing w:after="0" w:line="17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Security Ownership of Certain Beneficial Owners and Management and Related</w:t>
              </w:r>
            </w:hyperlink>
          </w:p>
        </w:tc>
        <w:tc>
          <w:tcPr>
            <w:tcW w:w="300" w:type="dxa"/>
            <w:vAlign w:val="bottom"/>
            <w:tcBorders>
              <w:bottom w:val="single" w:sz="8" w:color="CCEECC"/>
            </w:tcBorders>
            <w:gridSpan w:val="2"/>
            <w:shd w:val="clear" w:color="auto" w:fill="CCEECC"/>
          </w:tcPr>
          <w:p>
            <w:pPr>
              <w:spacing w:after="0"/>
              <w:rPr>
                <w:sz w:val="15"/>
                <w:szCs w:val="15"/>
                <w:color w:val="auto"/>
              </w:rPr>
            </w:pPr>
          </w:p>
        </w:tc>
        <w:tc>
          <w:tcPr>
            <w:tcW w:w="660" w:type="dxa"/>
            <w:vAlign w:val="bottom"/>
            <w:tcBorders>
              <w:bottom w:val="single" w:sz="8" w:color="CCEECC"/>
            </w:tcBorders>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22</w:t>
            </w:r>
          </w:p>
        </w:tc>
        <w:tc>
          <w:tcPr>
            <w:tcW w:w="500" w:type="dxa"/>
            <w:vAlign w:val="bottom"/>
            <w:tcBorders>
              <w:bottom w:val="single" w:sz="8" w:color="CCEECC"/>
            </w:tcBorders>
            <w:shd w:val="clear" w:color="auto" w:fill="CCEE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6500" w:type="dxa"/>
            <w:vAlign w:val="bottom"/>
            <w:gridSpan w:val="28"/>
            <w:shd w:val="clear" w:color="auto" w:fill="CCEECC"/>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Matters</w:t>
              </w:r>
            </w:hyperlink>
          </w:p>
        </w:tc>
        <w:tc>
          <w:tcPr>
            <w:tcW w:w="30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500" w:type="dxa"/>
            <w:vAlign w:val="bottom"/>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34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5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2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8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Item 13.</w:t>
            </w:r>
          </w:p>
        </w:tc>
        <w:tc>
          <w:tcPr>
            <w:tcW w:w="6500" w:type="dxa"/>
            <w:vAlign w:val="bottom"/>
            <w:gridSpan w:val="28"/>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Certain Relationships and Related Transactions, and Director Independence</w:t>
              </w:r>
            </w:hyperlink>
          </w:p>
        </w:tc>
        <w:tc>
          <w:tcPr>
            <w:tcW w:w="660" w:type="dxa"/>
            <w:vAlign w:val="bottom"/>
            <w:gridSpan w:val="2"/>
          </w:tcPr>
          <w:p>
            <w:pPr>
              <w:jc w:val="center"/>
              <w:ind w:left="190"/>
              <w:spacing w:after="0" w:line="176" w:lineRule="exact"/>
              <w:rPr>
                <w:sz w:val="20"/>
                <w:szCs w:val="20"/>
                <w:color w:val="auto"/>
              </w:rPr>
            </w:pPr>
            <w:r>
              <w:rPr>
                <w:rFonts w:ascii="Arial" w:cs="Arial" w:eastAsia="Arial" w:hAnsi="Arial"/>
                <w:sz w:val="18"/>
                <w:szCs w:val="18"/>
                <w:color w:val="auto"/>
                <w:w w:val="89"/>
              </w:rPr>
              <w:t>23</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1460" w:type="dxa"/>
            <w:vAlign w:val="bottom"/>
            <w:gridSpan w:val="2"/>
            <w:shd w:val="clear" w:color="auto" w:fill="CCEECC"/>
          </w:tcPr>
          <w:p>
            <w:pPr>
              <w:ind w:left="80"/>
              <w:spacing w:after="0" w:line="176" w:lineRule="exact"/>
              <w:rPr>
                <w:sz w:val="20"/>
                <w:szCs w:val="20"/>
                <w:color w:val="auto"/>
              </w:rPr>
            </w:pPr>
            <w:r>
              <w:rPr>
                <w:rFonts w:ascii="Arial" w:cs="Arial" w:eastAsia="Arial" w:hAnsi="Arial"/>
                <w:sz w:val="18"/>
                <w:szCs w:val="18"/>
                <w:color w:val="auto"/>
              </w:rPr>
              <w:t>Item 14.</w:t>
            </w:r>
          </w:p>
        </w:tc>
        <w:tc>
          <w:tcPr>
            <w:tcW w:w="6500" w:type="dxa"/>
            <w:vAlign w:val="bottom"/>
            <w:gridSpan w:val="28"/>
            <w:shd w:val="clear" w:color="auto" w:fill="CCEECC"/>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Principal Accountant Fees and Services</w:t>
              </w:r>
            </w:hyperlink>
          </w:p>
        </w:tc>
        <w:tc>
          <w:tcPr>
            <w:tcW w:w="660" w:type="dxa"/>
            <w:vAlign w:val="bottom"/>
            <w:gridSpan w:val="2"/>
            <w:shd w:val="clear" w:color="auto" w:fill="CCEECC"/>
          </w:tcPr>
          <w:p>
            <w:pPr>
              <w:jc w:val="center"/>
              <w:ind w:left="190"/>
              <w:spacing w:after="0" w:line="176" w:lineRule="exact"/>
              <w:rPr>
                <w:sz w:val="20"/>
                <w:szCs w:val="20"/>
                <w:color w:val="auto"/>
              </w:rPr>
            </w:pPr>
            <w:r>
              <w:rPr>
                <w:rFonts w:ascii="Arial" w:cs="Arial" w:eastAsia="Arial" w:hAnsi="Arial"/>
                <w:sz w:val="18"/>
                <w:szCs w:val="18"/>
                <w:color w:val="auto"/>
                <w:w w:val="89"/>
              </w:rPr>
              <w:t>23</w:t>
            </w:r>
          </w:p>
        </w:tc>
        <w:tc>
          <w:tcPr>
            <w:tcW w:w="500" w:type="dxa"/>
            <w:vAlign w:val="bottom"/>
            <w:shd w:val="clear" w:color="auto" w:fill="CCEE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20" w:type="dxa"/>
            <w:vAlign w:val="bottom"/>
            <w:tcBorders>
              <w:top w:val="single" w:sz="8" w:color="CCEECC"/>
            </w:tcBorders>
            <w:shd w:val="clear" w:color="auto" w:fill="CCEECC"/>
          </w:tcPr>
          <w:p>
            <w:pPr>
              <w:spacing w:after="0" w:line="20" w:lineRule="exact"/>
              <w:rPr>
                <w:sz w:val="1"/>
                <w:szCs w:val="1"/>
                <w:color w:val="auto"/>
              </w:rPr>
            </w:pPr>
          </w:p>
        </w:tc>
        <w:tc>
          <w:tcPr>
            <w:tcW w:w="1340" w:type="dxa"/>
            <w:vAlign w:val="bottom"/>
            <w:tcBorders>
              <w:top w:val="single" w:sz="8" w:color="CCEECC"/>
            </w:tcBorders>
            <w:shd w:val="clear" w:color="auto" w:fill="CCEECC"/>
          </w:tcPr>
          <w:p>
            <w:pPr>
              <w:spacing w:after="0" w:line="20" w:lineRule="exact"/>
              <w:rPr>
                <w:sz w:val="1"/>
                <w:szCs w:val="1"/>
                <w:color w:val="auto"/>
              </w:rPr>
            </w:pPr>
          </w:p>
        </w:tc>
        <w:tc>
          <w:tcPr>
            <w:tcW w:w="640" w:type="dxa"/>
            <w:vAlign w:val="bottom"/>
            <w:tcBorders>
              <w:top w:val="single" w:sz="8" w:color="0000EE"/>
            </w:tcBorders>
            <w:shd w:val="clear" w:color="auto" w:fill="CCEECC"/>
          </w:tcPr>
          <w:p>
            <w:pPr>
              <w:spacing w:after="0" w:line="20" w:lineRule="exact"/>
              <w:rPr>
                <w:sz w:val="1"/>
                <w:szCs w:val="1"/>
                <w:color w:val="auto"/>
              </w:rPr>
            </w:pPr>
          </w:p>
        </w:tc>
        <w:tc>
          <w:tcPr>
            <w:tcW w:w="10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52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260" w:type="dxa"/>
            <w:vAlign w:val="bottom"/>
            <w:tcBorders>
              <w:top w:val="single" w:sz="8" w:color="0000EE"/>
            </w:tcBorders>
            <w:shd w:val="clear" w:color="auto" w:fill="CCEECC"/>
          </w:tcPr>
          <w:p>
            <w:pPr>
              <w:spacing w:after="0" w:line="20" w:lineRule="exact"/>
              <w:rPr>
                <w:sz w:val="1"/>
                <w:szCs w:val="1"/>
                <w:color w:val="auto"/>
              </w:rPr>
            </w:pPr>
          </w:p>
        </w:tc>
        <w:tc>
          <w:tcPr>
            <w:tcW w:w="6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3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620" w:type="dxa"/>
            <w:vAlign w:val="bottom"/>
            <w:tcBorders>
              <w:top w:val="single" w:sz="8" w:color="CCEECC"/>
            </w:tcBorders>
            <w:shd w:val="clear" w:color="auto" w:fill="CCEECC"/>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26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CCEECC"/>
            </w:tcBorders>
            <w:shd w:val="clear" w:color="auto" w:fill="CCEECC"/>
          </w:tcPr>
          <w:p>
            <w:pPr>
              <w:spacing w:after="0" w:line="20" w:lineRule="exact"/>
              <w:rPr>
                <w:sz w:val="1"/>
                <w:szCs w:val="1"/>
                <w:color w:val="auto"/>
              </w:rPr>
            </w:pPr>
          </w:p>
        </w:tc>
        <w:tc>
          <w:tcPr>
            <w:tcW w:w="740" w:type="dxa"/>
            <w:vAlign w:val="bottom"/>
            <w:tcBorders>
              <w:top w:val="single" w:sz="8" w:color="CCEECC"/>
            </w:tcBorders>
            <w:shd w:val="clear" w:color="auto" w:fill="CCEECC"/>
          </w:tcPr>
          <w:p>
            <w:pPr>
              <w:spacing w:after="0" w:line="20" w:lineRule="exact"/>
              <w:rPr>
                <w:sz w:val="1"/>
                <w:szCs w:val="1"/>
                <w:color w:val="auto"/>
              </w:rPr>
            </w:pPr>
          </w:p>
        </w:tc>
        <w:tc>
          <w:tcPr>
            <w:tcW w:w="20" w:type="dxa"/>
            <w:vAlign w:val="bottom"/>
            <w:tcBorders>
              <w:top w:val="single" w:sz="8" w:color="CCEECC"/>
            </w:tcBorders>
            <w:shd w:val="clear" w:color="auto" w:fill="CCEECC"/>
          </w:tcPr>
          <w:p>
            <w:pPr>
              <w:spacing w:after="0" w:line="20" w:lineRule="exact"/>
              <w:rPr>
                <w:sz w:val="1"/>
                <w:szCs w:val="1"/>
                <w:color w:val="auto"/>
              </w:rPr>
            </w:pPr>
          </w:p>
        </w:tc>
        <w:tc>
          <w:tcPr>
            <w:tcW w:w="28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CCEECC"/>
            </w:tcBorders>
            <w:shd w:val="clear" w:color="auto" w:fill="CCEECC"/>
          </w:tcPr>
          <w:p>
            <w:pPr>
              <w:spacing w:after="0" w:line="20" w:lineRule="exact"/>
              <w:rPr>
                <w:sz w:val="1"/>
                <w:szCs w:val="1"/>
                <w:color w:val="auto"/>
              </w:rPr>
            </w:pPr>
          </w:p>
        </w:tc>
        <w:tc>
          <w:tcPr>
            <w:tcW w:w="360" w:type="dxa"/>
            <w:vAlign w:val="bottom"/>
            <w:tcBorders>
              <w:top w:val="single" w:sz="8" w:color="CCEECC"/>
            </w:tcBorders>
            <w:shd w:val="clear" w:color="auto" w:fill="CCEECC"/>
          </w:tcPr>
          <w:p>
            <w:pPr>
              <w:spacing w:after="0" w:line="20" w:lineRule="exact"/>
              <w:rPr>
                <w:sz w:val="1"/>
                <w:szCs w:val="1"/>
                <w:color w:val="auto"/>
              </w:rPr>
            </w:pPr>
          </w:p>
        </w:tc>
        <w:tc>
          <w:tcPr>
            <w:tcW w:w="500" w:type="dxa"/>
            <w:vAlign w:val="bottom"/>
            <w:tcBorders>
              <w:top w:val="single" w:sz="8" w:color="CCEECC"/>
            </w:tcBorders>
            <w:shd w:val="clear" w:color="auto" w:fill="CCEE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gridSpan w:val="15"/>
          </w:tcPr>
          <w:p>
            <w:pPr>
              <w:jc w:val="center"/>
              <w:ind w:right="3080"/>
              <w:spacing w:after="0"/>
              <w:rPr>
                <w:sz w:val="20"/>
                <w:szCs w:val="20"/>
                <w:color w:val="auto"/>
              </w:rPr>
            </w:pPr>
            <w:r>
              <w:rPr>
                <w:rFonts w:ascii="Arial" w:cs="Arial" w:eastAsia="Arial" w:hAnsi="Arial"/>
                <w:sz w:val="18"/>
                <w:szCs w:val="18"/>
                <w:color w:val="auto"/>
                <w:w w:val="94"/>
              </w:rPr>
              <w:t>PART IV</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760" w:type="dxa"/>
            <w:vAlign w:val="bottom"/>
            <w:gridSpan w:val="13"/>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Item 15.</w:t>
            </w:r>
          </w:p>
        </w:tc>
        <w:tc>
          <w:tcPr>
            <w:tcW w:w="650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Financial Statement Schedules</w:t>
              </w:r>
            </w:hyperlink>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24</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gridSpan w:val="17"/>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2012 year showed continued growth in our company with an 85% increase in revenues of $2,048,699 in 2012, as compared with our prior year. Our net loss also improved from $1,453,977 in 2011 to $364,345 in 2012.</w:t>
      </w:r>
    </w:p>
    <w:p>
      <w:pPr>
        <w:spacing w:after="0" w:line="170" w:lineRule="exact"/>
        <w:rPr>
          <w:sz w:val="20"/>
          <w:szCs w:val="20"/>
          <w:color w:val="auto"/>
        </w:rPr>
      </w:pPr>
    </w:p>
    <w:p>
      <w:pPr>
        <w:ind w:right="660"/>
        <w:spacing w:after="0" w:line="395" w:lineRule="auto"/>
        <w:rPr>
          <w:sz w:val="20"/>
          <w:szCs w:val="20"/>
          <w:color w:val="auto"/>
        </w:rPr>
      </w:pPr>
      <w:r>
        <w:rPr>
          <w:rFonts w:ascii="Arial" w:cs="Arial" w:eastAsia="Arial" w:hAnsi="Arial"/>
          <w:sz w:val="16"/>
          <w:szCs w:val="16"/>
          <w:color w:val="auto"/>
        </w:rPr>
        <w:t>For the fourth quarter of 2012,we more than doubled growth in revenues - from $325,910 in 2011 to $750,719 in 2012. Our bottom line significantly improved with net income of $118,993 in the fourth quarter of 2012, as compared with a net loss of $93,143 in the fourth quarter of 2011.</w:t>
      </w:r>
    </w:p>
    <w:p>
      <w:pPr>
        <w:spacing w:after="0" w:line="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recent success is largely attributable to leveraging our market position to further acquire more brands and electronic health platforms to integrate eCoupon support within participating physician’s electronic prescribing workflow.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stuck out this year with a solid message to the pharmaceutical industry that was threefold:</w:t>
      </w:r>
    </w:p>
    <w:p>
      <w:pPr>
        <w:spacing w:after="0" w:line="225"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SampleMD can deliver promotional scale to physicians at point of prescription through interoperability with multiple disparate electronic health platforms;</w:t>
      </w:r>
    </w:p>
    <w:p>
      <w:pPr>
        <w:spacing w:after="0" w:line="46" w:lineRule="exact"/>
        <w:rPr>
          <w:rFonts w:ascii="Arial" w:cs="Arial" w:eastAsia="Arial" w:hAnsi="Arial"/>
          <w:sz w:val="16"/>
          <w:szCs w:val="16"/>
          <w:color w:val="auto"/>
        </w:rPr>
      </w:pPr>
    </w:p>
    <w:p>
      <w:pPr>
        <w:ind w:right="180" w:firstLine="8"/>
        <w:spacing w:after="0" w:line="250" w:lineRule="auto"/>
        <w:tabs>
          <w:tab w:leader="none" w:pos="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Electronic health platforms (EMRs, eRx, Patient Portals) are the new digital frontier to reaching physicians and patients as opposed to external web sites that have been traditionally the focus of their non-rep marketing; and</w:t>
      </w:r>
    </w:p>
    <w:p>
      <w:pPr>
        <w:ind w:right="340" w:firstLine="8"/>
        <w:spacing w:after="0" w:line="261" w:lineRule="auto"/>
        <w:tabs>
          <w:tab w:leader="none" w:pos="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SampleMD solution to integrate within multiple application platforms while adhering to compliance and regulatory requirements by defining and utilizing industry standards was a powerful message to the industry.</w:t>
      </w:r>
    </w:p>
    <w:p>
      <w:pPr>
        <w:spacing w:after="0" w:line="184"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Throughout 2012, we promoted brand support programs, including eVouchers, eCopay Coupons and Patient Education, from 20 major pharmaceutical and medical manufacturers. We have also seen our client base increase with new programs initiated with Eli Lilly, Roche Diagnostics, Pfizer, Daiichi Sankyo, Roche Pharmaceutical, Alcon Laboratories and many others. The industry acknowledged SampleMD leadership in the marketplace as we established new partnerships with DrFirst, and new working relationships with Adheris and Krames Staywell.</w:t>
      </w:r>
    </w:p>
    <w:p>
      <w:pPr>
        <w:spacing w:after="0" w:line="17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Additionally, we launched SampleMD’s unique “dashboard reporting” portal to our clients which enables our clients and platform partners to monitor their programs in real time and evaluate performance of individual channels and overall program effectiveness.</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SampleMD solution also went live in the Allscripts PRO EMR solution. However, automated access to the additional 25,000 Allscripts PRO based clinicians has been limited due to doctors having to actively turn the eCoupon feature on. However, we are working with Allscripts senior management to internally remedy this obstacle because of the clear benefits to the healthcare provider, its patients and the payors looking to improve overall healthcare outcomes. We anticipate Allscripts PRO moving to an “opt-out” feature to turn the eCoupon tool off as opposed to turning it on, thus automating access to these providers in the second quarter of 2013.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begun the integration for SampleMD into HealthTronics, the largest Urology EMR in the country, which serves over 2,200 doctors. This specialty network is very significant to some of our current coupons for brands like Cialis and Vesicare, as well as positioning us to acquire other new brands and manufacturers who seek to reach these types of specialists. SampleMD is also in direct discussion with some of the largest remaining EMRs and ePrescribing platforms, along with the largest hospital and health systems.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To further escalate our value and growth, we have formalized a partnership agreement with one of the premier and most respective brands in the industry: PDR, also known and Physicians Desk Reference. This allows both companies to leverage synergistic strengths to offer more solutions and reach to the pharmaceutical industry, as well as more value to the electronic health records (EMR/EHR) platforms. SampleMD will be PDR’s eCoupon and Rep invite platform, and PDR will enable expansion of SampleMD’s reach to additional EMRs and directly to physicians' offices via a PDR branded downloadable desktop application of the SampleMD solution.</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Additionally, SampleMD has entered into a partnership and licensing agreement with LDM Group, a leading provider of patient support. In addition to settling the legal issues between our companies and giving us full licensing of their patents, LDM allows us to enter into a major new promotional channel: promotion at point of pharmacy. We will be LDMs exclusive eCoupon partner to offer both savings and educational support right when a patient receives their prescription fill.</w:t>
      </w:r>
    </w:p>
    <w:p>
      <w:pPr>
        <w:spacing w:after="0" w:line="18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w:t>
      </w:r>
    </w:p>
    <w:p>
      <w:pPr>
        <w:spacing w:after="0" w:line="16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Adding strength to our organization, we have re-aligned our management team and added Mr. Shad Stastney as the new Chairman and Chief Executive Officer. Mr. Stastney, 43, has served as an active member of our board since 2009 and has provided us with keen insights and guidance. Mr. Stastney is a founding partner of Vicis Capital LLC, which managed assets that peaked at $5 billion dollars. He graduated from the University of North Dakota in 1990 with a B.A. in Political Theory and History, and from Yale Law School in 1994 with a J.D. focusing on corporate and tax law.</w:t>
      </w:r>
    </w:p>
    <w:p>
      <w:pPr>
        <w:spacing w:after="0" w:line="17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From 1994 to 1997, he worked as an associate at Cravath, Swaine and Moore in New York, where he worked in the tax and corporate group, focusing on derivatives. In 1997, he joined CSFB's then-combined convertible/equity derivative origination desk. From 1998 through 2001, he worked in CSFB's corporate equity derivatives origination group, eventually becoming a Director and Head of the Hedging and Monetization Group, a joint venture between derivatives and equity capital markets. In 2001, he jointly founded Vicis Capital Management, LP, and in 2004, he jointly founded Vicis Capital LLC.</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Harrell became Vice-Chairman and will be responsible for developing corporate strategy and product innovation. David Lester, will continue to manage company operations as Chief Operating Officer.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 of use solutions.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and setting the standards within this new frontier of digital EMR solution marketing for patient care.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ind w:left="660" w:right="4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65" w:lineRule="exact"/>
        <w:rPr>
          <w:rFonts w:ascii="Arial" w:cs="Arial" w:eastAsia="Arial" w:hAnsi="Arial"/>
          <w:sz w:val="17"/>
          <w:szCs w:val="17"/>
          <w:color w:val="auto"/>
        </w:rPr>
      </w:pPr>
    </w:p>
    <w:p>
      <w:pPr>
        <w:ind w:left="660" w:right="60"/>
        <w:spacing w:after="0" w:line="257" w:lineRule="auto"/>
        <w:rPr>
          <w:rFonts w:ascii="Arial" w:cs="Arial" w:eastAsia="Arial" w:hAnsi="Arial"/>
          <w:sz w:val="17"/>
          <w:szCs w:val="17"/>
          <w:color w:val="auto"/>
        </w:rPr>
      </w:pPr>
      <w:r>
        <w:rPr>
          <w:rFonts w:ascii="Arial" w:cs="Arial" w:eastAsia="Arial" w:hAnsi="Arial"/>
          <w:sz w:val="18"/>
          <w:szCs w:val="18"/>
          <w:color w:val="auto"/>
        </w:rPr>
        <w:t>SampleMD is a revolutionary virtual "Patient Support Center" that allows doctors and staff to access a universe of sample vouchers, co-pay coupons and the fulfillment and adjudication of claims directly from their or their EMR and/or e-Prescribe systems to search, print or electronically dispense drug samples , co-pay coupons and patient educational support through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188" w:lineRule="exact"/>
        <w:rPr>
          <w:rFonts w:ascii="Arial" w:cs="Arial" w:eastAsia="Arial" w:hAnsi="Arial"/>
          <w:sz w:val="17"/>
          <w:szCs w:val="17"/>
          <w:color w:val="auto"/>
        </w:rPr>
      </w:pPr>
    </w:p>
    <w:p>
      <w:pPr>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actively participated in industry and partner events such as exlPharma and the ACE – Allscripts Users Conference. During the course of the year, we also initiated and delivered successful email marketing campaigns as well as successful public relations and press release communications initiatives. we have enlisted a successful advertising campaign through Pharma Exec magazine that netted several responses and qualified leads.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plan to continue these efforts and with our marketing partners, we intend to continue to promote OPTIMIZERx and SampleMD primarily through the following:</w:t>
      </w:r>
    </w:p>
    <w:p>
      <w:pPr>
        <w:spacing w:after="0" w:line="170" w:lineRule="exact"/>
        <w:rPr>
          <w:sz w:val="20"/>
          <w:szCs w:val="20"/>
          <w:color w:val="auto"/>
        </w:rPr>
      </w:pPr>
    </w:p>
    <w:p>
      <w:pPr>
        <w:ind w:left="660" w:right="884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Industry and Partner event Email Comapigns Internet Marketing</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Organizations and Associations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work through our existing and new partners, including Dr First, Allscripts and PDR, to promote our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keen on the opinions and input that we gain from all stake 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 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developed two new key functions involved with allowing a live chat or conversation between the health provider and product manufacturer or service, as well as a one click way to request a representative visit. This addresses major access barriers that limit doctors interaction with the manufacturer and allows the health system or provider to access needed information when they want it.</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Last year we added a Director of Technology and Director of Software Development to strengthen our core technical team while further developing our core portfolio products and solutions, and begin development of new solutions offerings to expand our solutions offerings footprint. We also continue to work with the Engineering and Information Technology department of Oakland University in Rochester Michigan. As the University has opened the doors of its new medical school, it also brings highly skilled technology and application developers whom posses a solid knowledge of medical industry IT requirements.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ind w:left="660" w:hanging="358"/>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ind w:left="660" w:right="60" w:hanging="35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1" w:lineRule="exact"/>
        <w:rPr>
          <w:rFonts w:ascii="Arial" w:cs="Arial" w:eastAsia="Arial" w:hAnsi="Arial"/>
          <w:sz w:val="18"/>
          <w:szCs w:val="18"/>
          <w:color w:val="auto"/>
        </w:rPr>
      </w:pPr>
    </w:p>
    <w:p>
      <w:pPr>
        <w:ind w:left="660" w:right="260" w:hanging="35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9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entered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2012, we had 11 full-time employees and 2 part time / co-op employees in addition to 3 contracted programmers through our established a relationship with Oakland University for technical and programming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November 5, 2012, LDM Group, LLC commenced an action against us in the United States District Court for the Eastern District of Missouri, Eastern Division. The complaint alleges that we infringed on a patent issued on February 21, 2012 in favor of LDM. LDM alleges that its patent is an invention of a method for making available targeted content to a prescription medication patient while the patient is still in the physician’s office. According to LDM, our Integrated SampleMD uses systems and methods that perform the elements of the LDM patent and, therefore, infringes on its patent.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intend to vigorously defend the action brought by LDM.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March 11, 2013, no further action has occurred in that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2040"/>
        <w:spacing w:after="0" w:line="503"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w:t>
      </w:r>
    </w:p>
    <w:p>
      <w:pPr>
        <w:spacing w:after="0" w:line="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common stock is quoted under the symbol “OPRX” on the OTCBB operated by the Financial Industry Regulatory Authority, Inc. (“FINRA”) and the OTCQB operated by OTC Markets Group, Inc. Few market makers continue to participate in the OTCBB system because of high fees charged by FINRA. Consequently, market makers that once quoted our shares on the OTCBB system may no longer be posting a quotation for our shares. As of the date of this report, however, our shares are quoted by several market makers on the OTCQB. The criteria for listing on either the OTCBB or OTCQB are similar and include that we remain current in our SEC reporting. Our reporting is presently current and, since inception, we have filed our SEC reports on time.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Only a limited market exists for our securities. There is no assurance that a regular trading market will develop, or if developed, that it will be sustained.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a shareholder may be unable to resell his securities in our company.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20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Quarter Ended</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High $</w:t>
            </w: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5"/>
              </w:rPr>
              <w:t>Low $</w:t>
            </w:r>
          </w:p>
        </w:tc>
      </w:tr>
      <w:tr>
        <w:trPr>
          <w:trHeight w:val="210"/>
        </w:trPr>
        <w:tc>
          <w:tcPr>
            <w:tcW w:w="2040" w:type="dxa"/>
            <w:vAlign w:val="bottom"/>
            <w:shd w:val="clear" w:color="auto" w:fill="CCEECC"/>
          </w:tcPr>
          <w:p>
            <w:pPr>
              <w:ind w:left="80"/>
              <w:spacing w:after="0"/>
              <w:rPr>
                <w:sz w:val="20"/>
                <w:szCs w:val="20"/>
                <w:color w:val="auto"/>
              </w:rPr>
            </w:pPr>
            <w:r>
              <w:rPr>
                <w:rFonts w:ascii="Arial" w:cs="Arial" w:eastAsia="Arial" w:hAnsi="Arial"/>
                <w:sz w:val="18"/>
                <w:szCs w:val="18"/>
                <w:color w:val="auto"/>
              </w:rPr>
              <w:t>December 31, 2012</w:t>
            </w:r>
          </w:p>
        </w:tc>
        <w:tc>
          <w:tcPr>
            <w:tcW w:w="2960" w:type="dxa"/>
            <w:vAlign w:val="bottom"/>
            <w:gridSpan w:val="3"/>
            <w:shd w:val="clear" w:color="auto" w:fill="CCEECC"/>
          </w:tcPr>
          <w:p>
            <w:pPr>
              <w:jc w:val="center"/>
              <w:ind w:left="450"/>
              <w:spacing w:after="0"/>
              <w:rPr>
                <w:sz w:val="20"/>
                <w:szCs w:val="20"/>
                <w:color w:val="auto"/>
              </w:rPr>
            </w:pPr>
            <w:r>
              <w:rPr>
                <w:rFonts w:ascii="Arial" w:cs="Arial" w:eastAsia="Arial" w:hAnsi="Arial"/>
                <w:sz w:val="18"/>
                <w:szCs w:val="18"/>
                <w:color w:val="auto"/>
                <w:w w:val="85"/>
              </w:rPr>
              <w:t>1.61</w:t>
            </w:r>
          </w:p>
        </w:tc>
        <w:tc>
          <w:tcPr>
            <w:tcW w:w="8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40" w:type="dxa"/>
            <w:vAlign w:val="bottom"/>
            <w:shd w:val="clear" w:color="auto" w:fill="CCEECC"/>
          </w:tcPr>
          <w:p>
            <w:pPr>
              <w:jc w:val="center"/>
              <w:ind w:right="430"/>
              <w:spacing w:after="0"/>
              <w:rPr>
                <w:sz w:val="20"/>
                <w:szCs w:val="20"/>
                <w:color w:val="auto"/>
              </w:rPr>
            </w:pPr>
            <w:r>
              <w:rPr>
                <w:rFonts w:ascii="Arial" w:cs="Arial" w:eastAsia="Arial" w:hAnsi="Arial"/>
                <w:sz w:val="18"/>
                <w:szCs w:val="18"/>
                <w:color w:val="auto"/>
                <w:w w:val="91"/>
              </w:rPr>
              <w:t>0.85</w:t>
            </w:r>
          </w:p>
        </w:tc>
      </w:tr>
      <w:tr>
        <w:trPr>
          <w:trHeight w:val="216"/>
        </w:trPr>
        <w:tc>
          <w:tcPr>
            <w:tcW w:w="2040" w:type="dxa"/>
            <w:vAlign w:val="bottom"/>
          </w:tcPr>
          <w:p>
            <w:pPr>
              <w:ind w:left="80"/>
              <w:spacing w:after="0"/>
              <w:rPr>
                <w:sz w:val="20"/>
                <w:szCs w:val="20"/>
                <w:color w:val="auto"/>
              </w:rPr>
            </w:pPr>
            <w:r>
              <w:rPr>
                <w:rFonts w:ascii="Arial" w:cs="Arial" w:eastAsia="Arial" w:hAnsi="Arial"/>
                <w:sz w:val="18"/>
                <w:szCs w:val="18"/>
                <w:color w:val="auto"/>
              </w:rPr>
              <w:t>September 30, 2012</w:t>
            </w:r>
          </w:p>
        </w:tc>
        <w:tc>
          <w:tcPr>
            <w:tcW w:w="2960" w:type="dxa"/>
            <w:vAlign w:val="bottom"/>
            <w:gridSpan w:val="3"/>
          </w:tcPr>
          <w:p>
            <w:pPr>
              <w:jc w:val="center"/>
              <w:ind w:left="450"/>
              <w:spacing w:after="0"/>
              <w:rPr>
                <w:sz w:val="20"/>
                <w:szCs w:val="20"/>
                <w:color w:val="auto"/>
              </w:rPr>
            </w:pPr>
            <w:r>
              <w:rPr>
                <w:rFonts w:ascii="Arial" w:cs="Arial" w:eastAsia="Arial" w:hAnsi="Arial"/>
                <w:sz w:val="18"/>
                <w:szCs w:val="18"/>
                <w:color w:val="auto"/>
                <w:w w:val="85"/>
              </w:rPr>
              <w:t>1.85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0.43</w:t>
            </w:r>
          </w:p>
        </w:tc>
      </w:tr>
      <w:tr>
        <w:trPr>
          <w:trHeight w:val="216"/>
        </w:trPr>
        <w:tc>
          <w:tcPr>
            <w:tcW w:w="2040" w:type="dxa"/>
            <w:vAlign w:val="bottom"/>
            <w:shd w:val="clear" w:color="auto" w:fill="CCEECC"/>
          </w:tcPr>
          <w:p>
            <w:pPr>
              <w:ind w:left="80"/>
              <w:spacing w:after="0"/>
              <w:rPr>
                <w:sz w:val="20"/>
                <w:szCs w:val="20"/>
                <w:color w:val="auto"/>
              </w:rPr>
            </w:pPr>
            <w:r>
              <w:rPr>
                <w:rFonts w:ascii="Arial" w:cs="Arial" w:eastAsia="Arial" w:hAnsi="Arial"/>
                <w:sz w:val="18"/>
                <w:szCs w:val="18"/>
                <w:color w:val="auto"/>
              </w:rPr>
              <w:t>June 30, 2012</w:t>
            </w:r>
          </w:p>
        </w:tc>
        <w:tc>
          <w:tcPr>
            <w:tcW w:w="2960" w:type="dxa"/>
            <w:vAlign w:val="bottom"/>
            <w:gridSpan w:val="3"/>
            <w:shd w:val="clear" w:color="auto" w:fill="CCEECC"/>
          </w:tcPr>
          <w:p>
            <w:pPr>
              <w:jc w:val="center"/>
              <w:ind w:left="450"/>
              <w:spacing w:after="0"/>
              <w:rPr>
                <w:sz w:val="20"/>
                <w:szCs w:val="20"/>
                <w:color w:val="auto"/>
              </w:rPr>
            </w:pPr>
            <w:r>
              <w:rPr>
                <w:rFonts w:ascii="Arial" w:cs="Arial" w:eastAsia="Arial" w:hAnsi="Arial"/>
                <w:sz w:val="18"/>
                <w:szCs w:val="18"/>
                <w:color w:val="auto"/>
                <w:w w:val="85"/>
              </w:rPr>
              <w:t>1.35</w:t>
            </w:r>
          </w:p>
        </w:tc>
        <w:tc>
          <w:tcPr>
            <w:tcW w:w="8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40" w:type="dxa"/>
            <w:vAlign w:val="bottom"/>
            <w:shd w:val="clear" w:color="auto" w:fill="CCEECC"/>
          </w:tcPr>
          <w:p>
            <w:pPr>
              <w:jc w:val="center"/>
              <w:ind w:right="430"/>
              <w:spacing w:after="0"/>
              <w:rPr>
                <w:sz w:val="20"/>
                <w:szCs w:val="20"/>
                <w:color w:val="auto"/>
              </w:rPr>
            </w:pPr>
            <w:r>
              <w:rPr>
                <w:rFonts w:ascii="Arial" w:cs="Arial" w:eastAsia="Arial" w:hAnsi="Arial"/>
                <w:sz w:val="18"/>
                <w:szCs w:val="18"/>
                <w:color w:val="auto"/>
                <w:w w:val="91"/>
              </w:rPr>
              <w:t>0.75</w:t>
            </w:r>
          </w:p>
        </w:tc>
      </w:tr>
      <w:tr>
        <w:trPr>
          <w:trHeight w:val="230"/>
        </w:trPr>
        <w:tc>
          <w:tcPr>
            <w:tcW w:w="2040" w:type="dxa"/>
            <w:vAlign w:val="bottom"/>
          </w:tcPr>
          <w:p>
            <w:pPr>
              <w:ind w:left="80"/>
              <w:spacing w:after="0"/>
              <w:rPr>
                <w:sz w:val="20"/>
                <w:szCs w:val="20"/>
                <w:color w:val="auto"/>
              </w:rPr>
            </w:pPr>
            <w:r>
              <w:rPr>
                <w:rFonts w:ascii="Arial" w:cs="Arial" w:eastAsia="Arial" w:hAnsi="Arial"/>
                <w:sz w:val="18"/>
                <w:szCs w:val="18"/>
                <w:color w:val="auto"/>
              </w:rPr>
              <w:t>March 31, 2012</w:t>
            </w:r>
          </w:p>
        </w:tc>
        <w:tc>
          <w:tcPr>
            <w:tcW w:w="2960" w:type="dxa"/>
            <w:vAlign w:val="bottom"/>
            <w:gridSpan w:val="3"/>
          </w:tcPr>
          <w:p>
            <w:pPr>
              <w:jc w:val="center"/>
              <w:ind w:left="450"/>
              <w:spacing w:after="0"/>
              <w:rPr>
                <w:sz w:val="20"/>
                <w:szCs w:val="20"/>
                <w:color w:val="auto"/>
              </w:rPr>
            </w:pPr>
            <w:r>
              <w:rPr>
                <w:rFonts w:ascii="Arial" w:cs="Arial" w:eastAsia="Arial" w:hAnsi="Arial"/>
                <w:sz w:val="18"/>
                <w:szCs w:val="18"/>
                <w:color w:val="auto"/>
                <w:w w:val="85"/>
              </w:rPr>
              <w:t>1.23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0.53</w:t>
            </w:r>
          </w:p>
        </w:tc>
      </w:tr>
      <w:tr>
        <w:trPr>
          <w:trHeight w:val="634"/>
        </w:trPr>
        <w:tc>
          <w:tcPr>
            <w:tcW w:w="20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Fiscal Year Ending December 31, 2011</w:t>
            </w:r>
          </w:p>
        </w:tc>
        <w:tc>
          <w:tcPr>
            <w:tcW w:w="1840" w:type="dxa"/>
            <w:vAlign w:val="bottom"/>
            <w:tcBorders>
              <w:bottom w:val="single" w:sz="8" w:color="auto"/>
            </w:tcBorders>
          </w:tcPr>
          <w:p>
            <w:pPr>
              <w:spacing w:after="0"/>
              <w:rPr>
                <w:sz w:val="24"/>
                <w:szCs w:val="24"/>
                <w:color w:val="auto"/>
              </w:rPr>
            </w:pPr>
          </w:p>
        </w:tc>
      </w:tr>
      <w:tr>
        <w:trPr>
          <w:trHeight w:val="210"/>
        </w:trPr>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Quarter Ended</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High $</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5"/>
              </w:rPr>
              <w:t>Low $</w:t>
            </w:r>
          </w:p>
        </w:tc>
      </w:tr>
      <w:tr>
        <w:trPr>
          <w:trHeight w:val="210"/>
        </w:trPr>
        <w:tc>
          <w:tcPr>
            <w:tcW w:w="2040" w:type="dxa"/>
            <w:vAlign w:val="bottom"/>
            <w:shd w:val="clear" w:color="auto" w:fill="CCEECC"/>
          </w:tcPr>
          <w:p>
            <w:pPr>
              <w:ind w:left="80"/>
              <w:spacing w:after="0"/>
              <w:rPr>
                <w:sz w:val="20"/>
                <w:szCs w:val="20"/>
                <w:color w:val="auto"/>
              </w:rPr>
            </w:pPr>
            <w:r>
              <w:rPr>
                <w:rFonts w:ascii="Arial" w:cs="Arial" w:eastAsia="Arial" w:hAnsi="Arial"/>
                <w:sz w:val="18"/>
                <w:szCs w:val="18"/>
                <w:color w:val="auto"/>
              </w:rPr>
              <w:t>December 31, 2011</w:t>
            </w:r>
          </w:p>
        </w:tc>
        <w:tc>
          <w:tcPr>
            <w:tcW w:w="2960" w:type="dxa"/>
            <w:vAlign w:val="bottom"/>
            <w:gridSpan w:val="3"/>
            <w:shd w:val="clear" w:color="auto" w:fill="CCEECC"/>
          </w:tcPr>
          <w:p>
            <w:pPr>
              <w:jc w:val="center"/>
              <w:ind w:left="450"/>
              <w:spacing w:after="0"/>
              <w:rPr>
                <w:sz w:val="20"/>
                <w:szCs w:val="20"/>
                <w:color w:val="auto"/>
              </w:rPr>
            </w:pPr>
            <w:r>
              <w:rPr>
                <w:rFonts w:ascii="Arial" w:cs="Arial" w:eastAsia="Arial" w:hAnsi="Arial"/>
                <w:sz w:val="18"/>
                <w:szCs w:val="18"/>
                <w:color w:val="auto"/>
                <w:w w:val="85"/>
              </w:rPr>
              <w:t>1.37</w:t>
            </w:r>
          </w:p>
        </w:tc>
        <w:tc>
          <w:tcPr>
            <w:tcW w:w="8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40" w:type="dxa"/>
            <w:vAlign w:val="bottom"/>
            <w:shd w:val="clear" w:color="auto" w:fill="CCEECC"/>
          </w:tcPr>
          <w:p>
            <w:pPr>
              <w:jc w:val="center"/>
              <w:ind w:right="430"/>
              <w:spacing w:after="0"/>
              <w:rPr>
                <w:sz w:val="20"/>
                <w:szCs w:val="20"/>
                <w:color w:val="auto"/>
              </w:rPr>
            </w:pPr>
            <w:r>
              <w:rPr>
                <w:rFonts w:ascii="Arial" w:cs="Arial" w:eastAsia="Arial" w:hAnsi="Arial"/>
                <w:sz w:val="18"/>
                <w:szCs w:val="18"/>
                <w:color w:val="auto"/>
                <w:w w:val="91"/>
              </w:rPr>
              <w:t>0.25</w:t>
            </w:r>
          </w:p>
        </w:tc>
      </w:tr>
      <w:tr>
        <w:trPr>
          <w:trHeight w:val="216"/>
        </w:trPr>
        <w:tc>
          <w:tcPr>
            <w:tcW w:w="2040" w:type="dxa"/>
            <w:vAlign w:val="bottom"/>
          </w:tcPr>
          <w:p>
            <w:pPr>
              <w:ind w:left="80"/>
              <w:spacing w:after="0"/>
              <w:rPr>
                <w:sz w:val="20"/>
                <w:szCs w:val="20"/>
                <w:color w:val="auto"/>
              </w:rPr>
            </w:pPr>
            <w:r>
              <w:rPr>
                <w:rFonts w:ascii="Arial" w:cs="Arial" w:eastAsia="Arial" w:hAnsi="Arial"/>
                <w:sz w:val="18"/>
                <w:szCs w:val="18"/>
                <w:color w:val="auto"/>
              </w:rPr>
              <w:t>September 30, 2011</w:t>
            </w:r>
          </w:p>
        </w:tc>
        <w:tc>
          <w:tcPr>
            <w:tcW w:w="2960" w:type="dxa"/>
            <w:vAlign w:val="bottom"/>
            <w:gridSpan w:val="3"/>
          </w:tcPr>
          <w:p>
            <w:pPr>
              <w:jc w:val="center"/>
              <w:ind w:left="450"/>
              <w:spacing w:after="0"/>
              <w:rPr>
                <w:sz w:val="20"/>
                <w:szCs w:val="20"/>
                <w:color w:val="auto"/>
              </w:rPr>
            </w:pPr>
            <w:r>
              <w:rPr>
                <w:rFonts w:ascii="Arial" w:cs="Arial" w:eastAsia="Arial" w:hAnsi="Arial"/>
                <w:sz w:val="18"/>
                <w:szCs w:val="18"/>
                <w:color w:val="auto"/>
                <w:w w:val="85"/>
              </w:rPr>
              <w:t>1.44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0.21</w:t>
            </w:r>
          </w:p>
        </w:tc>
      </w:tr>
      <w:tr>
        <w:trPr>
          <w:trHeight w:val="216"/>
        </w:trPr>
        <w:tc>
          <w:tcPr>
            <w:tcW w:w="2040" w:type="dxa"/>
            <w:vAlign w:val="bottom"/>
            <w:shd w:val="clear" w:color="auto" w:fill="CCEECC"/>
          </w:tcPr>
          <w:p>
            <w:pPr>
              <w:ind w:left="80"/>
              <w:spacing w:after="0"/>
              <w:rPr>
                <w:sz w:val="20"/>
                <w:szCs w:val="20"/>
                <w:color w:val="auto"/>
              </w:rPr>
            </w:pPr>
            <w:r>
              <w:rPr>
                <w:rFonts w:ascii="Arial" w:cs="Arial" w:eastAsia="Arial" w:hAnsi="Arial"/>
                <w:sz w:val="18"/>
                <w:szCs w:val="18"/>
                <w:color w:val="auto"/>
              </w:rPr>
              <w:t>June 30, 2011</w:t>
            </w:r>
          </w:p>
        </w:tc>
        <w:tc>
          <w:tcPr>
            <w:tcW w:w="2960" w:type="dxa"/>
            <w:vAlign w:val="bottom"/>
            <w:gridSpan w:val="3"/>
            <w:shd w:val="clear" w:color="auto" w:fill="CCEECC"/>
          </w:tcPr>
          <w:p>
            <w:pPr>
              <w:jc w:val="center"/>
              <w:ind w:left="450"/>
              <w:spacing w:after="0"/>
              <w:rPr>
                <w:sz w:val="20"/>
                <w:szCs w:val="20"/>
                <w:color w:val="auto"/>
              </w:rPr>
            </w:pPr>
            <w:r>
              <w:rPr>
                <w:rFonts w:ascii="Arial" w:cs="Arial" w:eastAsia="Arial" w:hAnsi="Arial"/>
                <w:sz w:val="18"/>
                <w:szCs w:val="18"/>
                <w:color w:val="auto"/>
                <w:w w:val="85"/>
              </w:rPr>
              <w:t>1.08</w:t>
            </w:r>
          </w:p>
        </w:tc>
        <w:tc>
          <w:tcPr>
            <w:tcW w:w="80" w:type="dxa"/>
            <w:vAlign w:val="bottom"/>
            <w:shd w:val="clear" w:color="auto" w:fill="CCEECC"/>
          </w:tcPr>
          <w:p>
            <w:pPr>
              <w:spacing w:after="0"/>
              <w:rPr>
                <w:sz w:val="18"/>
                <w:szCs w:val="18"/>
                <w:color w:val="auto"/>
              </w:rPr>
            </w:pPr>
          </w:p>
        </w:tc>
        <w:tc>
          <w:tcPr>
            <w:tcW w:w="500" w:type="dxa"/>
            <w:vAlign w:val="bottom"/>
            <w:shd w:val="clear" w:color="auto" w:fill="CCEECC"/>
          </w:tcPr>
          <w:p>
            <w:pPr>
              <w:spacing w:after="0"/>
              <w:rPr>
                <w:sz w:val="18"/>
                <w:szCs w:val="18"/>
                <w:color w:val="auto"/>
              </w:rPr>
            </w:pPr>
          </w:p>
        </w:tc>
        <w:tc>
          <w:tcPr>
            <w:tcW w:w="1840" w:type="dxa"/>
            <w:vAlign w:val="bottom"/>
            <w:shd w:val="clear" w:color="auto" w:fill="CCEECC"/>
          </w:tcPr>
          <w:p>
            <w:pPr>
              <w:jc w:val="center"/>
              <w:ind w:right="430"/>
              <w:spacing w:after="0"/>
              <w:rPr>
                <w:sz w:val="20"/>
                <w:szCs w:val="20"/>
                <w:color w:val="auto"/>
              </w:rPr>
            </w:pPr>
            <w:r>
              <w:rPr>
                <w:rFonts w:ascii="Arial" w:cs="Arial" w:eastAsia="Arial" w:hAnsi="Arial"/>
                <w:sz w:val="18"/>
                <w:szCs w:val="18"/>
                <w:color w:val="auto"/>
                <w:w w:val="91"/>
              </w:rPr>
              <w:t>0.45</w:t>
            </w:r>
          </w:p>
        </w:tc>
      </w:tr>
      <w:tr>
        <w:trPr>
          <w:trHeight w:val="230"/>
        </w:trPr>
        <w:tc>
          <w:tcPr>
            <w:tcW w:w="2040" w:type="dxa"/>
            <w:vAlign w:val="bottom"/>
          </w:tcPr>
          <w:p>
            <w:pPr>
              <w:ind w:left="80"/>
              <w:spacing w:after="0"/>
              <w:rPr>
                <w:sz w:val="20"/>
                <w:szCs w:val="20"/>
                <w:color w:val="auto"/>
              </w:rPr>
            </w:pPr>
            <w:r>
              <w:rPr>
                <w:rFonts w:ascii="Arial" w:cs="Arial" w:eastAsia="Arial" w:hAnsi="Arial"/>
                <w:sz w:val="18"/>
                <w:szCs w:val="18"/>
                <w:color w:val="auto"/>
              </w:rPr>
              <w:t>March 31, 2011</w:t>
            </w:r>
          </w:p>
        </w:tc>
        <w:tc>
          <w:tcPr>
            <w:tcW w:w="2960" w:type="dxa"/>
            <w:vAlign w:val="bottom"/>
            <w:gridSpan w:val="3"/>
          </w:tcPr>
          <w:p>
            <w:pPr>
              <w:jc w:val="center"/>
              <w:ind w:left="450"/>
              <w:spacing w:after="0"/>
              <w:rPr>
                <w:sz w:val="20"/>
                <w:szCs w:val="20"/>
                <w:color w:val="auto"/>
              </w:rPr>
            </w:pPr>
            <w:r>
              <w:rPr>
                <w:rFonts w:ascii="Arial" w:cs="Arial" w:eastAsia="Arial" w:hAnsi="Arial"/>
                <w:sz w:val="18"/>
                <w:szCs w:val="18"/>
                <w:color w:val="auto"/>
                <w:w w:val="85"/>
              </w:rPr>
              <w:t>1.09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0.60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2013, the last sales price per share of our common stock was $1.25.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12, 2013, we had 14,232,496 shares of our common stock issued and outstanding, held by 310 shareholders of record, not including those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3"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currently in the process of establishing a new stock incentive plan for employees, directors and consultants that provide valuable services to our company. We expect to have the plan adopted by our board of directors in the coming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as of December 31, 2012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195"/>
        </w:trPr>
        <w:tc>
          <w:tcPr>
            <w:tcW w:w="2900" w:type="dxa"/>
            <w:vAlign w:val="bottom"/>
            <w:tcBorders>
              <w:left w:val="single" w:sz="8" w:color="auto"/>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Number of securities remaining</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available for future issuance</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 securities to be issued</w:t>
            </w:r>
          </w:p>
        </w:tc>
        <w:tc>
          <w:tcPr>
            <w:tcW w:w="32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under equity compensation plans</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upon exercise of outstanding</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Weighted-average exercise price of</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(excluding securities reflected in</w:t>
            </w:r>
          </w:p>
        </w:tc>
      </w:tr>
      <w:tr>
        <w:trPr>
          <w:trHeight w:val="23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Plan Category</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outstanding options, warrants and right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column (A))</w:t>
            </w:r>
          </w:p>
        </w:tc>
      </w:tr>
      <w:tr>
        <w:trPr>
          <w:trHeight w:val="195"/>
        </w:trPr>
        <w:tc>
          <w:tcPr>
            <w:tcW w:w="2900" w:type="dxa"/>
            <w:vAlign w:val="bottom"/>
            <w:tcBorders>
              <w:left w:val="single" w:sz="8" w:color="auto"/>
              <w:right w:val="single" w:sz="8" w:color="auto"/>
            </w:tcBorders>
            <w:shd w:val="clear" w:color="auto" w:fill="CCEECC"/>
          </w:tcPr>
          <w:p>
            <w:pPr>
              <w:ind w:left="120"/>
              <w:spacing w:after="0" w:line="195" w:lineRule="exact"/>
              <w:rPr>
                <w:sz w:val="20"/>
                <w:szCs w:val="20"/>
                <w:color w:val="auto"/>
              </w:rPr>
            </w:pPr>
            <w:r>
              <w:rPr>
                <w:rFonts w:ascii="Arial" w:cs="Arial" w:eastAsia="Arial" w:hAnsi="Arial"/>
                <w:sz w:val="18"/>
                <w:szCs w:val="18"/>
                <w:color w:val="auto"/>
              </w:rPr>
              <w:t>Equity compensation plans</w:t>
            </w:r>
          </w:p>
        </w:tc>
        <w:tc>
          <w:tcPr>
            <w:tcW w:w="2620" w:type="dxa"/>
            <w:vAlign w:val="bottom"/>
            <w:tcBorders>
              <w:right w:val="single" w:sz="8" w:color="auto"/>
            </w:tcBorders>
            <w:shd w:val="clear" w:color="auto" w:fill="CCEECC"/>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280" w:type="dxa"/>
            <w:vAlign w:val="bottom"/>
            <w:tcBorders>
              <w:right w:val="single" w:sz="8" w:color="auto"/>
            </w:tcBorders>
            <w:shd w:val="clear" w:color="auto" w:fill="CCEECC"/>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shd w:val="clear" w:color="auto" w:fill="CCEECC"/>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30"/>
        </w:trPr>
        <w:tc>
          <w:tcPr>
            <w:tcW w:w="2900" w:type="dxa"/>
            <w:vAlign w:val="bottom"/>
            <w:tcBorders>
              <w:left w:val="single" w:sz="8" w:color="auto"/>
              <w:bottom w:val="single" w:sz="8" w:color="auto"/>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approved by security holders</w:t>
            </w:r>
          </w:p>
        </w:tc>
        <w:tc>
          <w:tcPr>
            <w:tcW w:w="2620" w:type="dxa"/>
            <w:vAlign w:val="bottom"/>
            <w:tcBorders>
              <w:bottom w:val="single" w:sz="8" w:color="auto"/>
              <w:right w:val="single" w:sz="8" w:color="auto"/>
            </w:tcBorders>
            <w:shd w:val="clear" w:color="auto" w:fill="CCEECC"/>
          </w:tcPr>
          <w:p>
            <w:pPr>
              <w:spacing w:after="0"/>
              <w:rPr>
                <w:sz w:val="20"/>
                <w:szCs w:val="20"/>
                <w:color w:val="auto"/>
              </w:rPr>
            </w:pPr>
          </w:p>
        </w:tc>
        <w:tc>
          <w:tcPr>
            <w:tcW w:w="3280" w:type="dxa"/>
            <w:vAlign w:val="bottom"/>
            <w:tcBorders>
              <w:bottom w:val="single" w:sz="8" w:color="auto"/>
              <w:right w:val="single" w:sz="8" w:color="auto"/>
            </w:tcBorders>
            <w:shd w:val="clear" w:color="auto" w:fill="CCEECC"/>
          </w:tcPr>
          <w:p>
            <w:pPr>
              <w:spacing w:after="0"/>
              <w:rPr>
                <w:sz w:val="20"/>
                <w:szCs w:val="20"/>
                <w:color w:val="auto"/>
              </w:rPr>
            </w:pPr>
          </w:p>
        </w:tc>
        <w:tc>
          <w:tcPr>
            <w:tcW w:w="2620" w:type="dxa"/>
            <w:vAlign w:val="bottom"/>
            <w:tcBorders>
              <w:bottom w:val="single" w:sz="8" w:color="auto"/>
              <w:right w:val="single" w:sz="8" w:color="auto"/>
            </w:tcBorders>
            <w:shd w:val="clear" w:color="auto" w:fill="CCEECC"/>
          </w:tcPr>
          <w:p>
            <w:pPr>
              <w:spacing w:after="0"/>
              <w:rPr>
                <w:sz w:val="20"/>
                <w:szCs w:val="20"/>
                <w:color w:val="auto"/>
              </w:rPr>
            </w:pPr>
          </w:p>
        </w:tc>
      </w:tr>
      <w:tr>
        <w:trPr>
          <w:trHeight w:val="195"/>
        </w:trPr>
        <w:tc>
          <w:tcPr>
            <w:tcW w:w="2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Equity compensation plans not</w:t>
            </w:r>
          </w:p>
        </w:tc>
        <w:tc>
          <w:tcPr>
            <w:tcW w:w="26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13,411,100</w:t>
            </w:r>
          </w:p>
        </w:tc>
        <w:tc>
          <w:tcPr>
            <w:tcW w:w="328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2.14</w:t>
            </w:r>
          </w:p>
        </w:tc>
        <w:tc>
          <w:tcPr>
            <w:tcW w:w="26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3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approved by security holders</w:t>
            </w:r>
          </w:p>
        </w:tc>
        <w:tc>
          <w:tcPr>
            <w:tcW w:w="262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left w:val="single" w:sz="8" w:color="auto"/>
              <w:bottom w:val="single" w:sz="8" w:color="auto"/>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right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13,411,100</w:t>
            </w:r>
          </w:p>
        </w:tc>
        <w:tc>
          <w:tcPr>
            <w:tcW w:w="3280" w:type="dxa"/>
            <w:vAlign w:val="bottom"/>
            <w:tcBorders>
              <w:bottom w:val="single" w:sz="8" w:color="auto"/>
              <w:right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2.14</w:t>
            </w:r>
          </w:p>
        </w:tc>
        <w:tc>
          <w:tcPr>
            <w:tcW w:w="2620" w:type="dxa"/>
            <w:vAlign w:val="bottom"/>
            <w:tcBorders>
              <w:bottom w:val="single" w:sz="8" w:color="auto"/>
              <w:right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below describes our issuance of securities without registration under the Securities Act of 1933, as amended,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that were not previously disclosed in a Quarterly Report on Form 10-Q or in a Current Report on Form 8-K: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On October 12, 2012, we issued a five year option to a consultant to purchase 25,000 shares of our common stock at an exercise price of $1.58 per share.</w:t>
      </w: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2012 was $2,048,699, an increase from $1,111,520 from the prior year.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increased revenue for the year ended December 31, 2012 as compared with the prior year is a result of the continued viability of our SampleMD solution and the setup and integration fees for pharmaceutical manufacturers whom are participating within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Operating expenses increased to $2,413,044 for the year ended December 31, 2012 from $2,565,497 for the year ended December 31, 2011. Our major expenses for the year ended December 31, 2012 were advertising expenses of $57,218, professional fees of $263,396, consulting expenses of $19,148, salaries, wages, and benefits of $1,184,367, rent of $62,362, depreciation and amortization of $187,104, stock based compensation of $285,605 and general and administrative expenses of $353,844. In comparison, our operating expenses for the year ended December 31, 2011 were advertising expenses of $544,071, professional fees of $342,503, consulting expenses of $185,174, salaries, wages, and benefits of $864,655, rent of $37,868, depreciation and amortization of $145,315 and general and administrative expenses of $445,911.</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expenses decreased in 2012 as compared with 2011 largely as a result of decreased advertising costs, professional fees, consulting expenses and general and administrative costs.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income was $369 for year ended December 31, 2012 an increase from other expenses of $666,785 for same period ended 2011. We had $958,641 in interest expenses in 2011 over only $100 in 2012, which mostly accounted for the difference.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2012 was $363,976, compared to net loss of $ $2,120,762 for the year ended December 31, 2011.</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Notwithstanding the net loss for the year, we believe that our company is starting to show real signs of improvement. In our fourth quarter 2012, we had revenues of $750,719, as compared to revenues of $325,910 for our fourth quarter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2012, we had total current assets of $969,219 and total assets in the amount of $2,175,404. Our total current liabilities as of December 31, 2012 were $679,945. We had working capital of $289,274 as of December 31, 2012.</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Operating activities used $624,033 in cash for the year ended December 31, 2012. Our net loss of $363,976 along with $282,019 in accounts payable, $60,000 in accrued expenses, $151,851 in accounts receivable, and $281,353 in deferred revenue were the primary components of our negative operating cash flow, offset mainly by $180,640 in stock-based compensation, $187,104 in depreciation and amortization and $50,874 in prepaid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used $50,870 during the year ended December 31, 2012 largely as a result of website development costs.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September 16, 2011, we entered into a Securities Purchase Agreement with Vicis Capital Master Fund for sale of up to 50 shares of our Series B Preferred Stock and warrants to purchase up to 3,333,334 shares of our common stock with an exercise price of $3.00 per share.</w:t>
      </w:r>
    </w:p>
    <w:p>
      <w:pPr>
        <w:spacing w:after="0" w:line="17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We have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2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financing deal with Vicis has lapsed according to the terms of the Securities Purchase Agreement. However, we are in discussions with Vicis, who we feel is a committed financial partner, to address our capital needs as we continue to generate revenues and our business expands. There is no written agreement in place for such financing, but we will update our disclosures if and when such financing becomes available.</w:t>
      </w:r>
    </w:p>
    <w:p>
      <w:pPr>
        <w:spacing w:after="0" w:line="16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On January 10, 2013, we entered into a Securities Redemption Option Agreement with Vicis that provides us with an option to purchase all of the outstanding shares and derivative securities held by Vicis for total payment of nine million dollars ($9,000,000). The shares and derivative securities include the Series A Convertible Preferred Stock, Series B Convertible Preferred Stock, Common Stock, and warrants to purchase shares of Series A Convertible Preferred Stock and Series B Convertible Preferred Stock held by Vicis. Our option expires on December 31, 2013 and may be extinguished if Vicis sells its securities before we exercise our option.</w:t>
      </w:r>
    </w:p>
    <w:p>
      <w:pPr>
        <w:spacing w:after="0" w:line="181"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As of December 31, 2012 with the current level of financing and cash on hand, we have sufficient cash to operate our business at the current level for the next twelve months but insufficient cash to achieve our business goals unless we: a) realize cash revenues on sales generated; and/or b) receive financing from Vicis. We are uncertain what type of financing we will need as we continue to ramp up our revenue stream. As mentioned, we are continually in contact with Vicis about our financing needs and hope to have something in place if we need more cash.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16">
        <w:r>
          <w:rPr>
            <w:rFonts w:ascii="Arial" w:cs="Arial" w:eastAsia="Arial" w:hAnsi="Arial"/>
            <w:sz w:val="16"/>
            <w:szCs w:val="16"/>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17">
        <w:r>
          <w:rPr>
            <w:rFonts w:ascii="Arial" w:cs="Arial" w:eastAsia="Arial" w:hAnsi="Arial"/>
            <w:sz w:val="16"/>
            <w:szCs w:val="16"/>
            <w:u w:val="single" w:color="auto"/>
            <w:color w:val="0000EE"/>
          </w:rPr>
          <w:t>Consolidated Balance Sheets as of December 31, 2012 and 2011;</w:t>
        </w:r>
      </w:hyperlink>
    </w:p>
    <w:p>
      <w:pPr>
        <w:spacing w:after="0" w:line="9" w:lineRule="exact"/>
        <w:rPr>
          <w:sz w:val="20"/>
          <w:szCs w:val="20"/>
          <w:color w:val="auto"/>
        </w:rPr>
      </w:pPr>
    </w:p>
    <w:p>
      <w:pPr>
        <w:ind w:left="1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18">
        <w:r>
          <w:rPr>
            <w:rFonts w:ascii="Arial" w:cs="Arial" w:eastAsia="Arial" w:hAnsi="Arial"/>
            <w:sz w:val="16"/>
            <w:szCs w:val="16"/>
            <w:u w:val="single" w:color="auto"/>
            <w:color w:val="0000EE"/>
          </w:rPr>
          <w:t>Consolidated Statements of Operations for the years ended December 31, 2012 and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ind w:left="1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19">
        <w:r>
          <w:rPr>
            <w:rFonts w:ascii="Arial" w:cs="Arial" w:eastAsia="Arial" w:hAnsi="Arial"/>
            <w:sz w:val="16"/>
            <w:szCs w:val="16"/>
            <w:u w:val="single" w:color="auto"/>
            <w:color w:val="0000EE"/>
          </w:rPr>
          <w:t>Consolidated Statement of Stockholders’ Equity as of December 31, 2012;</w:t>
        </w:r>
      </w:hyperlink>
    </w:p>
    <w:p>
      <w:pPr>
        <w:spacing w:after="0" w:line="9" w:lineRule="exact"/>
        <w:rPr>
          <w:sz w:val="20"/>
          <w:szCs w:val="20"/>
          <w:color w:val="auto"/>
        </w:rPr>
      </w:pPr>
    </w:p>
    <w:p>
      <w:pPr>
        <w:ind w:left="760" w:right="3860" w:hanging="645"/>
        <w:spacing w:after="0" w:line="250"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F-5</w:t>
      </w:r>
      <w:r>
        <w:rPr>
          <w:sz w:val="20"/>
          <w:szCs w:val="20"/>
          <w:color w:val="auto"/>
        </w:rPr>
        <w:tab/>
      </w:r>
      <w:hyperlink w:anchor="page20">
        <w:r>
          <w:rPr>
            <w:rFonts w:ascii="Arial" w:cs="Arial" w:eastAsia="Arial" w:hAnsi="Arial"/>
            <w:sz w:val="18"/>
            <w:szCs w:val="18"/>
            <w:u w:val="single" w:color="auto"/>
            <w:color w:val="0000EE"/>
          </w:rPr>
          <w:t>Consolidated Statements of Cash Flows for the years ended December 31, 2012 and 2011;</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470789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07890" cy="274320"/>
                    </a:xfrm>
                    <a:prstGeom prst="rect">
                      <a:avLst/>
                    </a:prstGeom>
                    <a:noFill/>
                  </pic:spPr>
                </pic:pic>
              </a:graphicData>
            </a:graphic>
          </wp:anchor>
        </w:drawing>
      </w:r>
    </w:p>
    <w:p>
      <w:pPr>
        <w:ind w:left="10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21">
        <w:r>
          <w:rPr>
            <w:rFonts w:ascii="Arial" w:cs="Arial" w:eastAsia="Arial" w:hAnsi="Arial"/>
            <w:sz w:val="16"/>
            <w:szCs w:val="16"/>
            <w:u w:val="single" w:color="auto"/>
            <w:color w:val="0000EE"/>
          </w:rPr>
          <w:t>Consolidated Notes to Financial Statements.</w:t>
        </w:r>
      </w:hyperlink>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233"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Silberstein Ungar, PLLC CPAs and Business Advisors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2012 and 2011,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2012 and 2011 and the results of their operations and cash flows for the years then ended, in conformity with accounting principles generally accepted in the United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940" w:type="dxa"/>
            <w:vAlign w:val="bottom"/>
          </w:tcPr>
          <w:p>
            <w:pPr>
              <w:ind w:left="21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471,870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119,032</w:t>
            </w:r>
          </w:p>
        </w:tc>
        <w:tc>
          <w:tcPr>
            <w:tcW w:w="80" w:type="dxa"/>
            <w:vAlign w:val="bottom"/>
            <w:shd w:val="clear" w:color="auto" w:fill="CCEE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1,550,068</w:t>
            </w:r>
          </w:p>
        </w:tc>
        <w:tc>
          <w:tcPr>
            <w:tcW w:w="80" w:type="dxa"/>
            <w:vAlign w:val="bottom"/>
            <w:tcBorders>
              <w:bottom w:val="single" w:sz="8" w:color="CCEE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80" w:type="dxa"/>
            <w:vAlign w:val="bottom"/>
            <w:tcBorders>
              <w:bottom w:val="single" w:sz="8" w:color="CCEE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847,941</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465,498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1,318,488</w:t>
            </w:r>
          </w:p>
        </w:tc>
        <w:tc>
          <w:tcPr>
            <w:tcW w:w="80" w:type="dxa"/>
            <w:vAlign w:val="bottom"/>
            <w:tcBorders>
              <w:bottom w:val="single" w:sz="8" w:color="CCEE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60" w:type="dxa"/>
            <w:vAlign w:val="bottom"/>
            <w:vMerge w:val="continue"/>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2,892,487</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940" w:type="dxa"/>
            <w:vAlign w:val="bottom"/>
            <w:tcBorders>
              <w:top w:val="single" w:sz="8" w:color="CCEECC"/>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280" w:type="dxa"/>
            <w:vAlign w:val="bottom"/>
            <w:tcBorders>
              <w:top w:val="single" w:sz="8" w:color="auto"/>
            </w:tcBorders>
            <w:shd w:val="clear" w:color="auto" w:fill="CCEECC"/>
          </w:tcPr>
          <w:p>
            <w:pPr>
              <w:spacing w:after="0"/>
              <w:rPr>
                <w:sz w:val="17"/>
                <w:szCs w:val="17"/>
                <w:color w:val="auto"/>
              </w:rPr>
            </w:pPr>
          </w:p>
        </w:tc>
        <w:tc>
          <w:tcPr>
            <w:tcW w:w="164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6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94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54,693</w:t>
            </w:r>
          </w:p>
        </w:tc>
        <w:tc>
          <w:tcPr>
            <w:tcW w:w="80" w:type="dxa"/>
            <w:vAlign w:val="bottom"/>
            <w:shd w:val="clear" w:color="auto" w:fill="CCEECC"/>
          </w:tcPr>
          <w:p>
            <w:pPr>
              <w:spacing w:after="0"/>
              <w:rPr>
                <w:sz w:val="18"/>
                <w:szCs w:val="18"/>
                <w:color w:val="auto"/>
              </w:rPr>
            </w:pP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336,712</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payable - related party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4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330,605</w:t>
            </w:r>
          </w:p>
        </w:tc>
        <w:tc>
          <w:tcPr>
            <w:tcW w:w="80" w:type="dxa"/>
            <w:vAlign w:val="bottom"/>
            <w:tcBorders>
              <w:bottom w:val="single" w:sz="8" w:color="CCEE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679,945</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1,303,317</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940" w:type="dxa"/>
            <w:vAlign w:val="bottom"/>
          </w:tcPr>
          <w:p>
            <w:pPr>
              <w:ind w:left="320"/>
              <w:spacing w:after="0" w:line="201" w:lineRule="exact"/>
              <w:rPr>
                <w:sz w:val="20"/>
                <w:szCs w:val="20"/>
                <w:color w:val="auto"/>
              </w:rPr>
            </w:pPr>
            <w:r>
              <w:rPr>
                <w:rFonts w:ascii="Arial" w:cs="Arial" w:eastAsia="Arial" w:hAnsi="Arial"/>
                <w:sz w:val="18"/>
                <w:szCs w:val="18"/>
                <w:color w:val="auto"/>
              </w:rPr>
              <w:t>Common stock, $.001 par value, 500,000,000 shares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w w:val="98"/>
              </w:rPr>
              <w:t>authorized, 14,232,496 and 14,192,496 shares issued and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14,192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94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w:t>
            </w:r>
          </w:p>
        </w:tc>
        <w:tc>
          <w:tcPr>
            <w:tcW w:w="1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10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Stock warrants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20,826,934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5,125,558</w:t>
            </w:r>
          </w:p>
        </w:tc>
        <w:tc>
          <w:tcPr>
            <w:tcW w:w="80" w:type="dxa"/>
            <w:vAlign w:val="bottom"/>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(24,741,490)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(24,377,514)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1,495,459</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1,589,170</w:t>
            </w:r>
          </w:p>
        </w:tc>
        <w:tc>
          <w:tcPr>
            <w:tcW w:w="80" w:type="dxa"/>
            <w:vAlign w:val="bottom"/>
            <w:tcBorders>
              <w:top w:val="single" w:sz="8" w:color="CCEECC"/>
            </w:tcBorders>
            <w:shd w:val="clear" w:color="auto" w:fill="CCEE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shd w:val="clear" w:color="auto" w:fill="CCEECC"/>
          </w:tcPr>
          <w:p>
            <w:pPr>
              <w:spacing w:after="0"/>
              <w:rPr>
                <w:sz w:val="21"/>
                <w:szCs w:val="21"/>
                <w:color w:val="auto"/>
              </w:rPr>
            </w:pPr>
          </w:p>
        </w:tc>
        <w:tc>
          <w:tcPr>
            <w:tcW w:w="38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2,892,487</w:t>
            </w:r>
          </w:p>
        </w:tc>
        <w:tc>
          <w:tcPr>
            <w:tcW w:w="80" w:type="dxa"/>
            <w:vAlign w:val="bottom"/>
            <w:shd w:val="clear" w:color="auto" w:fill="CCEECC"/>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Borders>
              <w:top w:val="single" w:sz="8" w:color="CCEECC"/>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CC"/>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7420" w:type="dxa"/>
            <w:vAlign w:val="bottom"/>
            <w:gridSpan w:val="7"/>
          </w:tcPr>
          <w:p>
            <w:pPr>
              <w:ind w:left="1880"/>
              <w:spacing w:after="0"/>
              <w:rPr>
                <w:sz w:val="20"/>
                <w:szCs w:val="20"/>
                <w:color w:val="auto"/>
              </w:rPr>
            </w:pPr>
            <w:r>
              <w:rPr>
                <w:rFonts w:ascii="Arial" w:cs="Arial" w:eastAsia="Arial" w:hAnsi="Arial"/>
                <w:sz w:val="18"/>
                <w:szCs w:val="18"/>
                <w:color w:val="auto"/>
                <w:w w:val="92"/>
              </w:rPr>
              <w:t>The accompanying notes are an integral part of these financial statements.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4420"/>
              <w:spacing w:after="0"/>
              <w:rPr>
                <w:sz w:val="20"/>
                <w:szCs w:val="20"/>
                <w:color w:val="auto"/>
              </w:rPr>
            </w:pPr>
            <w:r>
              <w:rPr>
                <w:rFonts w:ascii="Arial" w:cs="Arial" w:eastAsia="Arial" w:hAnsi="Arial"/>
                <w:sz w:val="18"/>
                <w:szCs w:val="18"/>
                <w:color w:val="auto"/>
              </w:rPr>
              <w:t>F-2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4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OPTIMIZERx CORPORATION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7"/>
              </w:rPr>
              <w:t>FOR THE YEARS ENDED DECEMBER 31, 2012 AND 2011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80" w:type="dxa"/>
            <w:vAlign w:val="bottom"/>
            <w:gridSpan w:val="3"/>
            <w:vMerge w:val="restart"/>
          </w:tcPr>
          <w:p>
            <w:pPr>
              <w:ind w:left="1140"/>
              <w:spacing w:after="0"/>
              <w:rPr>
                <w:sz w:val="20"/>
                <w:szCs w:val="20"/>
                <w:color w:val="auto"/>
              </w:rPr>
            </w:pPr>
            <w:r>
              <w:rPr>
                <w:rFonts w:ascii="Arial" w:cs="Arial" w:eastAsia="Arial" w:hAnsi="Arial"/>
                <w:sz w:val="18"/>
                <w:szCs w:val="18"/>
                <w:color w:val="auto"/>
              </w:rPr>
              <w:t>REVENUE</w:t>
            </w:r>
          </w:p>
        </w:tc>
        <w:tc>
          <w:tcPr>
            <w:tcW w:w="3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2011</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gridSpan w:val="3"/>
            <w:vMerge w:val="continue"/>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400" w:type="dxa"/>
            <w:vAlign w:val="bottom"/>
            <w:shd w:val="clear" w:color="auto" w:fill="CCEECC"/>
          </w:tcPr>
          <w:p>
            <w:pPr>
              <w:ind w:left="40"/>
              <w:spacing w:after="0"/>
              <w:rPr>
                <w:sz w:val="20"/>
                <w:szCs w:val="20"/>
                <w:color w:val="auto"/>
              </w:rPr>
            </w:pPr>
            <w:r>
              <w:rPr>
                <w:rFonts w:ascii="Arial" w:cs="Arial" w:eastAsia="Arial" w:hAnsi="Arial"/>
                <w:sz w:val="18"/>
                <w:szCs w:val="18"/>
                <w:color w:val="auto"/>
              </w:rPr>
              <w:t>Sales</w:t>
            </w:r>
          </w:p>
        </w:tc>
        <w:tc>
          <w:tcPr>
            <w:tcW w:w="380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2,048,699</w:t>
            </w:r>
          </w:p>
        </w:tc>
        <w:tc>
          <w:tcPr>
            <w:tcW w:w="460" w:type="dxa"/>
            <w:vAlign w:val="bottom"/>
            <w:gridSpan w:val="3"/>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1,111,520</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216" w:right="239" w:bottom="1440" w:gutter="0" w:footer="0" w:header="0"/>
        </w:sectPr>
      </w:pPr>
    </w:p>
    <w:p>
      <w:pPr>
        <w:ind w:left="2120"/>
        <w:spacing w:after="0"/>
        <w:rPr>
          <w:sz w:val="20"/>
          <w:szCs w:val="20"/>
          <w:color w:val="auto"/>
        </w:rPr>
      </w:pPr>
      <w:r>
        <w:rPr>
          <w:rFonts w:ascii="Arial" w:cs="Arial" w:eastAsia="Arial" w:hAnsi="Arial"/>
          <w:sz w:val="18"/>
          <w:szCs w:val="18"/>
          <w:color w:val="auto"/>
        </w:rPr>
        <w:t>TOTAL REVENUE</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EXPENSES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expenses (See note 17)</w:t>
      </w: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 EXPENSES</w:t>
      </w:r>
    </w:p>
    <w:p>
      <w:pPr>
        <w:spacing w:after="0" w:line="23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LOSS FROM OPERATIONS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w:t>
      </w: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TOTAL OTHER INCOME (EXPENSE)</w:t>
      </w:r>
    </w:p>
    <w:p>
      <w:pPr>
        <w:spacing w:after="0" w:line="25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LOSS BEFORE PROVISION FOR INCOME TAXES</w:t>
      </w:r>
    </w:p>
    <w:p>
      <w:pPr>
        <w:spacing w:after="0" w:line="2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2,048,699</w:t>
            </w:r>
          </w:p>
        </w:tc>
        <w:tc>
          <w:tcPr>
            <w:tcW w:w="16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1,111,520</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642"/>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2,413,044</w:t>
            </w:r>
          </w:p>
        </w:tc>
        <w:tc>
          <w:tcPr>
            <w:tcW w:w="16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2,565,497</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2,413,044</w:t>
            </w:r>
          </w:p>
        </w:tc>
        <w:tc>
          <w:tcPr>
            <w:tcW w:w="16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2,565,497</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(364,345)</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(1,453,977)</w:t>
            </w:r>
          </w:p>
        </w:tc>
      </w:tr>
      <w:tr>
        <w:trPr>
          <w:trHeight w:val="614"/>
        </w:trPr>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24"/>
                <w:szCs w:val="24"/>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290,566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(958,641)</w:t>
            </w: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26"/>
        </w:trPr>
        <w:tc>
          <w:tcPr>
            <w:tcW w:w="192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(666,785)</w:t>
            </w: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(363,976)</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(2,120,762)</w:t>
            </w:r>
          </w:p>
        </w:tc>
      </w:tr>
      <w:tr>
        <w:trPr>
          <w:trHeight w:val="432"/>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-2666365</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-2383155</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-2100580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-1817370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-1534160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-1259840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-985520</wp:posOffset>
            </wp:positionV>
            <wp:extent cx="57975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-702310</wp:posOffset>
            </wp:positionV>
            <wp:extent cx="57975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-419735</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-153670</wp:posOffset>
            </wp:positionV>
            <wp:extent cx="57975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220"/>
          </w:cols>
          <w:pgMar w:left="240" w:top="216"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40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CC"/>
          </w:tcPr>
          <w:p>
            <w:pPr>
              <w:jc w:val="right"/>
              <w:ind w:right="500"/>
              <w:spacing w:after="0"/>
              <w:rPr>
                <w:sz w:val="20"/>
                <w:szCs w:val="20"/>
                <w:color w:val="auto"/>
              </w:rPr>
            </w:pPr>
            <w:r>
              <w:rPr>
                <w:rFonts w:ascii="Arial" w:cs="Arial" w:eastAsia="Arial" w:hAnsi="Arial"/>
                <w:sz w:val="18"/>
                <w:szCs w:val="18"/>
                <w:color w:val="auto"/>
              </w:rPr>
              <w:t>(363,976) $</w:t>
            </w:r>
          </w:p>
        </w:tc>
        <w:tc>
          <w:tcPr>
            <w:tcW w:w="14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(2,120,762)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Borders>
              <w:top w:val="single" w:sz="8" w:color="CCEECC"/>
            </w:tcBorders>
          </w:tcPr>
          <w:p>
            <w:pPr>
              <w:spacing w:after="0" w:line="20" w:lineRule="exact"/>
              <w:rPr>
                <w:sz w:val="1"/>
                <w:szCs w:val="1"/>
                <w:color w:val="auto"/>
              </w:rPr>
            </w:pPr>
          </w:p>
        </w:tc>
        <w:tc>
          <w:tcPr>
            <w:tcW w:w="960" w:type="dxa"/>
            <w:vAlign w:val="bottom"/>
            <w:tcBorders>
              <w:top w:val="single" w:sz="8" w:color="CCEE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restart"/>
          </w:tcPr>
          <w:p>
            <w:pPr>
              <w:spacing w:after="0"/>
              <w:rPr>
                <w:sz w:val="15"/>
                <w:szCs w:val="15"/>
                <w:color w:val="auto"/>
              </w:rPr>
            </w:pPr>
          </w:p>
        </w:tc>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0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9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0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OUTSTANDING: BASIC AND DILUTED</w:t>
            </w:r>
          </w:p>
        </w:tc>
        <w:tc>
          <w:tcPr>
            <w:tcW w:w="960" w:type="dxa"/>
            <w:vAlign w:val="bottom"/>
            <w:tcBorders>
              <w:bottom w:val="single" w:sz="8" w:color="CCEECC"/>
            </w:tcBorders>
            <w:shd w:val="clear" w:color="auto" w:fill="CCEECC"/>
          </w:tcPr>
          <w:p>
            <w:pPr>
              <w:spacing w:after="0"/>
              <w:rPr>
                <w:sz w:val="22"/>
                <w:szCs w:val="22"/>
                <w:color w:val="auto"/>
              </w:rPr>
            </w:pPr>
          </w:p>
        </w:tc>
        <w:tc>
          <w:tcPr>
            <w:tcW w:w="600" w:type="dxa"/>
            <w:vAlign w:val="bottom"/>
            <w:tcBorders>
              <w:bottom w:val="single" w:sz="8" w:color="auto"/>
            </w:tcBorders>
            <w:shd w:val="clear" w:color="auto" w:fill="CCEECC"/>
          </w:tcPr>
          <w:p>
            <w:pPr>
              <w:spacing w:after="0"/>
              <w:rPr>
                <w:sz w:val="22"/>
                <w:szCs w:val="22"/>
                <w:color w:val="auto"/>
              </w:rPr>
            </w:pPr>
          </w:p>
        </w:tc>
        <w:tc>
          <w:tcPr>
            <w:tcW w:w="13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14,215,884</w:t>
            </w:r>
          </w:p>
        </w:tc>
        <w:tc>
          <w:tcPr>
            <w:tcW w:w="160" w:type="dxa"/>
            <w:vAlign w:val="bottom"/>
            <w:tcBorders>
              <w:bottom w:val="single" w:sz="8" w:color="CCEECC"/>
            </w:tcBorders>
            <w:shd w:val="clear" w:color="auto" w:fill="CCEECC"/>
          </w:tcPr>
          <w:p>
            <w:pPr>
              <w:spacing w:after="0"/>
              <w:rPr>
                <w:sz w:val="22"/>
                <w:szCs w:val="22"/>
                <w:color w:val="auto"/>
              </w:rPr>
            </w:pPr>
          </w:p>
        </w:tc>
        <w:tc>
          <w:tcPr>
            <w:tcW w:w="600" w:type="dxa"/>
            <w:vAlign w:val="bottom"/>
            <w:tcBorders>
              <w:bottom w:val="single" w:sz="8" w:color="auto"/>
            </w:tcBorders>
            <w:shd w:val="clear" w:color="auto" w:fill="CCEECC"/>
          </w:tcPr>
          <w:p>
            <w:pPr>
              <w:spacing w:after="0"/>
              <w:rPr>
                <w:sz w:val="22"/>
                <w:szCs w:val="22"/>
                <w:color w:val="auto"/>
              </w:rPr>
            </w:pPr>
          </w:p>
        </w:tc>
        <w:tc>
          <w:tcPr>
            <w:tcW w:w="13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13,921,669</w:t>
            </w:r>
          </w:p>
        </w:tc>
        <w:tc>
          <w:tcPr>
            <w:tcW w:w="80" w:type="dxa"/>
            <w:vAlign w:val="bottom"/>
            <w:tcBorders>
              <w:bottom w:val="single" w:sz="8" w:color="CCEECC"/>
            </w:tcBorders>
            <w:shd w:val="clear" w:color="auto" w:fill="CCEECC"/>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restart"/>
          </w:tcPr>
          <w:p>
            <w:pPr>
              <w:spacing w:after="0"/>
              <w:rPr>
                <w:sz w:val="15"/>
                <w:szCs w:val="15"/>
                <w:color w:val="auto"/>
              </w:rPr>
            </w:pPr>
          </w:p>
        </w:tc>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408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gridSpan w:val="2"/>
            <w:shd w:val="clear" w:color="auto" w:fill="CCEECC"/>
          </w:tcPr>
          <w:p>
            <w:pPr>
              <w:jc w:val="right"/>
              <w:ind w:right="52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CC"/>
          </w:tcPr>
          <w:p>
            <w:pPr>
              <w:jc w:val="right"/>
              <w:ind w:right="500"/>
              <w:spacing w:after="0"/>
              <w:rPr>
                <w:sz w:val="20"/>
                <w:szCs w:val="20"/>
                <w:color w:val="auto"/>
              </w:rPr>
            </w:pPr>
            <w:r>
              <w:rPr>
                <w:rFonts w:ascii="Arial" w:cs="Arial" w:eastAsia="Arial" w:hAnsi="Arial"/>
                <w:sz w:val="18"/>
                <w:szCs w:val="18"/>
                <w:color w:val="auto"/>
              </w:rPr>
              <w:t>(0.03) $</w:t>
            </w:r>
          </w:p>
        </w:tc>
        <w:tc>
          <w:tcPr>
            <w:tcW w:w="14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(0.15)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Borders>
              <w:top w:val="single" w:sz="8" w:color="CCEECC"/>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7720" w:type="dxa"/>
            <w:vAlign w:val="bottom"/>
            <w:gridSpan w:val="6"/>
          </w:tcPr>
          <w:p>
            <w:pPr>
              <w:ind w:left="1860"/>
              <w:spacing w:after="0"/>
              <w:rPr>
                <w:sz w:val="20"/>
                <w:szCs w:val="20"/>
                <w:color w:val="auto"/>
              </w:rPr>
            </w:pPr>
            <w:r>
              <w:rPr>
                <w:rFonts w:ascii="Arial" w:cs="Arial" w:eastAsia="Arial" w:hAnsi="Arial"/>
                <w:sz w:val="18"/>
                <w:szCs w:val="18"/>
                <w:color w:val="auto"/>
                <w:w w:val="98"/>
              </w:rPr>
              <w:t>The accompanying notes are an integral part of these financial statements.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8"/>
                <w:szCs w:val="18"/>
                <w:color w:val="auto"/>
              </w:rPr>
              <w:t>F-3</w:t>
            </w: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Additional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80" w:type="dxa"/>
            <w:vAlign w:val="bottom"/>
            <w:gridSpan w:val="6"/>
          </w:tcPr>
          <w:p>
            <w:pPr>
              <w:ind w:left="540"/>
              <w:spacing w:after="0"/>
              <w:rPr>
                <w:sz w:val="20"/>
                <w:szCs w:val="20"/>
                <w:color w:val="auto"/>
              </w:rPr>
            </w:pPr>
            <w:r>
              <w:rPr>
                <w:rFonts w:ascii="Arial" w:cs="Arial" w:eastAsia="Arial" w:hAnsi="Arial"/>
                <w:sz w:val="18"/>
                <w:szCs w:val="18"/>
                <w:color w:val="auto"/>
              </w:rPr>
              <w:t>Common Stock</w:t>
            </w:r>
          </w:p>
        </w:tc>
        <w:tc>
          <w:tcPr>
            <w:tcW w:w="2240" w:type="dxa"/>
            <w:vAlign w:val="bottom"/>
            <w:gridSpan w:val="6"/>
          </w:tcPr>
          <w:p>
            <w:pPr>
              <w:ind w:left="520"/>
              <w:spacing w:after="0"/>
              <w:rPr>
                <w:sz w:val="20"/>
                <w:szCs w:val="20"/>
                <w:color w:val="auto"/>
              </w:rPr>
            </w:pPr>
            <w:r>
              <w:rPr>
                <w:rFonts w:ascii="Arial" w:cs="Arial" w:eastAsia="Arial" w:hAnsi="Arial"/>
                <w:sz w:val="18"/>
                <w:szCs w:val="18"/>
                <w:color w:val="auto"/>
              </w:rPr>
              <w:t>Preferred Stock</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Paid-in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Accumulated</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w w:val="90"/>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Capital</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Balance, January 1, 2011</w:t>
            </w:r>
          </w:p>
        </w:tc>
        <w:tc>
          <w:tcPr>
            <w:tcW w:w="11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13,606,676</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13,607</w:t>
            </w: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85"/>
              </w:rPr>
              <w:t>$ 20,281,328</w:t>
            </w:r>
          </w:p>
        </w:tc>
        <w:tc>
          <w:tcPr>
            <w:tcW w:w="1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4"/>
              </w:rPr>
              <w:t>3,355,615</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88"/>
              </w:rPr>
              <w:t>$ (21,756,752)</w:t>
            </w:r>
          </w:p>
        </w:tc>
        <w:tc>
          <w:tcPr>
            <w:tcW w:w="2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7"/>
              </w:rPr>
              <w:t>1,893,798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w w:val="99"/>
              </w:rPr>
              <w:t>Outstanding share adjustment</w:t>
            </w:r>
          </w:p>
        </w:tc>
        <w:tc>
          <w:tcPr>
            <w:tcW w:w="11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for preferred dividends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475,820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499,525</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settlement</w:t>
            </w:r>
          </w:p>
        </w:tc>
        <w:tc>
          <w:tcPr>
            <w:tcW w:w="11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114,900</w:t>
            </w: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equity issuance costs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(172,500)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w w:val="94"/>
              </w:rPr>
              <w:t>Issuance of preferred stock and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644,540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855,460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Issuance of stock options: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consulting</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184,149</w:t>
            </w: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184,149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 employees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189,485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Cancellation of stock warrants: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settlement</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(98,934)</w:t>
            </w: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98,934</w:t>
            </w: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Net loss for the year</w:t>
            </w:r>
          </w:p>
        </w:tc>
        <w:tc>
          <w:tcPr>
            <w:tcW w:w="96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7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7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92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7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(2,120,762)</w:t>
            </w:r>
          </w:p>
        </w:tc>
        <w:tc>
          <w:tcPr>
            <w:tcW w:w="8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9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1"/>
              </w:rPr>
              <w:t>(2,120,762)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Balance, December 31, 2011</w:t>
            </w:r>
          </w:p>
        </w:tc>
        <w:tc>
          <w:tcPr>
            <w:tcW w:w="116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14,192,496</w:t>
            </w: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14,192</w:t>
            </w:r>
          </w:p>
        </w:tc>
        <w:tc>
          <w:tcPr>
            <w:tcW w:w="10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20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CC"/>
          </w:tcPr>
          <w:p>
            <w:pPr>
              <w:spacing w:after="0"/>
              <w:rPr>
                <w:sz w:val="18"/>
                <w:szCs w:val="18"/>
                <w:color w:val="auto"/>
              </w:rPr>
            </w:pPr>
          </w:p>
        </w:tc>
        <w:tc>
          <w:tcPr>
            <w:tcW w:w="960" w:type="dxa"/>
            <w:vAlign w:val="bottom"/>
            <w:gridSpan w:val="3"/>
            <w:shd w:val="clear" w:color="auto" w:fill="CCEECC"/>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85"/>
              </w:rPr>
              <w:t>$ 20,826,934</w:t>
            </w: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4"/>
              </w:rPr>
              <w:t>5,125,558</w:t>
            </w:r>
          </w:p>
        </w:tc>
        <w:tc>
          <w:tcPr>
            <w:tcW w:w="220" w:type="dxa"/>
            <w:vAlign w:val="bottom"/>
            <w:shd w:val="clear" w:color="auto" w:fill="CCEECC"/>
          </w:tcPr>
          <w:p>
            <w:pPr>
              <w:spacing w:after="0"/>
              <w:rPr>
                <w:sz w:val="18"/>
                <w:szCs w:val="18"/>
                <w:color w:val="auto"/>
              </w:rPr>
            </w:pPr>
          </w:p>
        </w:tc>
        <w:tc>
          <w:tcPr>
            <w:tcW w:w="11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(24,377,514)</w:t>
            </w: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7"/>
              </w:rPr>
              <w:t>1,589,170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stock options:</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 employees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150,367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for consulting</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rPr>
              <w:t>75,098</w:t>
            </w: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90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75,098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CC"/>
          </w:tcPr>
          <w:p>
            <w:pPr>
              <w:spacing w:after="0"/>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44,760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Reclassification for options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w w:val="94"/>
              </w:rPr>
              <w:t>previously recorded as warrants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(768,883)</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768,883</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7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Net loss for the year</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(363,976)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CC"/>
            </w:tcBorders>
            <w:shd w:val="clear" w:color="auto" w:fill="CCEECC"/>
          </w:tcPr>
          <w:p>
            <w:pPr>
              <w:spacing w:after="0"/>
              <w:rPr>
                <w:sz w:val="18"/>
                <w:szCs w:val="18"/>
                <w:color w:val="auto"/>
              </w:rPr>
            </w:pPr>
          </w:p>
        </w:tc>
        <w:tc>
          <w:tcPr>
            <w:tcW w:w="96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0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auto"/>
            </w:tcBorders>
            <w:shd w:val="clear" w:color="auto" w:fill="CCEECC"/>
          </w:tcPr>
          <w:p>
            <w:pPr>
              <w:spacing w:after="0"/>
              <w:rPr>
                <w:sz w:val="18"/>
                <w:szCs w:val="18"/>
                <w:color w:val="auto"/>
              </w:rPr>
            </w:pPr>
          </w:p>
        </w:tc>
        <w:tc>
          <w:tcPr>
            <w:tcW w:w="76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92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780" w:type="dxa"/>
            <w:vAlign w:val="bottom"/>
            <w:tcBorders>
              <w:top w:val="single" w:sz="8" w:color="auto"/>
            </w:tcBorders>
            <w:shd w:val="clear" w:color="auto" w:fill="CCEECC"/>
          </w:tcPr>
          <w:p>
            <w:pPr>
              <w:spacing w:after="0"/>
              <w:rPr>
                <w:sz w:val="18"/>
                <w:szCs w:val="18"/>
                <w:color w:val="auto"/>
              </w:rPr>
            </w:pPr>
          </w:p>
        </w:tc>
        <w:tc>
          <w:tcPr>
            <w:tcW w:w="220" w:type="dxa"/>
            <w:vAlign w:val="bottom"/>
            <w:tcBorders>
              <w:top w:val="single" w:sz="8" w:color="CCEECC"/>
            </w:tcBorders>
            <w:shd w:val="clear" w:color="auto" w:fill="CCEECC"/>
          </w:tcPr>
          <w:p>
            <w:pPr>
              <w:spacing w:after="0"/>
              <w:rPr>
                <w:sz w:val="18"/>
                <w:szCs w:val="18"/>
                <w:color w:val="auto"/>
              </w:rPr>
            </w:pPr>
          </w:p>
        </w:tc>
        <w:tc>
          <w:tcPr>
            <w:tcW w:w="1000" w:type="dxa"/>
            <w:vAlign w:val="bottom"/>
            <w:tcBorders>
              <w:top w:val="single" w:sz="8" w:color="auto"/>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960" w:type="dxa"/>
            <w:vAlign w:val="bottom"/>
          </w:tcPr>
          <w:p>
            <w:pPr>
              <w:jc w:val="right"/>
              <w:spacing w:after="0"/>
              <w:rPr>
                <w:sz w:val="20"/>
                <w:szCs w:val="20"/>
                <w:color w:val="auto"/>
              </w:rPr>
            </w:pPr>
            <w:r>
              <w:rPr>
                <w:rFonts w:ascii="Arial" w:cs="Arial" w:eastAsia="Arial" w:hAnsi="Arial"/>
                <w:sz w:val="18"/>
                <w:szCs w:val="18"/>
                <w:color w:val="auto"/>
              </w:rPr>
              <w:t>14,232,496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20,058,051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6,164,666</w:t>
            </w: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(24,741,490)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1,495,459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780" w:type="dxa"/>
            <w:vAlign w:val="bottom"/>
            <w:gridSpan w:val="17"/>
          </w:tcPr>
          <w:p>
            <w:pPr>
              <w:jc w:val="right"/>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F-4</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FOR THE YEARS ENDED DECEMBER 31, 2012 AND 2011</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2011</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loss for the year</w:t>
            </w:r>
          </w:p>
        </w:tc>
        <w:tc>
          <w:tcPr>
            <w:tcW w:w="40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(363,976)</w:t>
            </w:r>
          </w:p>
        </w:tc>
        <w:tc>
          <w:tcPr>
            <w:tcW w:w="400" w:type="dxa"/>
            <w:vAlign w:val="bottom"/>
            <w:gridSpan w:val="2"/>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(2,120,762)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 net cash used by operating</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145,315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Stock issued for services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180,640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189,485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Stock options issued for services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Amortization of debt discount</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916,667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Bad debt 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(151,851)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50,874</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(282,019)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304,303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(281,353)</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104,885</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(624,033</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(521,509</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Payment of security deposit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Website site development costs</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(48,640)</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(221,770)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(239,919</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Equity issuance costs</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Issuance of preferred stock</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855,460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Issuance of warrants in connection with preferred stock</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644,540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Payments on loan payable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442,500</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(674,903)</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(318,928)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color w:val="auto"/>
              </w:rPr>
              <w:t>CASH AND CASH EQUIVALENTS - BEGINNING OF PERIOD</w:t>
            </w:r>
          </w:p>
        </w:tc>
        <w:tc>
          <w:tcPr>
            <w:tcW w:w="8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1,278,094</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0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100" w:type="dxa"/>
            <w:vAlign w:val="bottom"/>
            <w:shd w:val="clear" w:color="auto" w:fill="CCEECC"/>
          </w:tcPr>
          <w:p>
            <w:pPr>
              <w:spacing w:after="0"/>
              <w:rPr>
                <w:sz w:val="21"/>
                <w:szCs w:val="21"/>
                <w:color w:val="auto"/>
              </w:rPr>
            </w:pPr>
          </w:p>
        </w:tc>
        <w:tc>
          <w:tcPr>
            <w:tcW w:w="400" w:type="dxa"/>
            <w:vAlign w:val="bottom"/>
            <w:gridSpan w:val="2"/>
            <w:shd w:val="clear" w:color="auto" w:fill="CCEECC"/>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41,974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6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SUPPLEMENTAL DISCLOSURE OF NONCASH INVESTING</w:t>
            </w: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AND FINANCING ACTIVITIES:</w:t>
            </w:r>
          </w:p>
        </w:tc>
        <w:tc>
          <w:tcPr>
            <w:tcW w:w="8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w w:val="91"/>
              </w:rPr>
              <w:t>Common stock issued to satisfy dividends related to preferred stock</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Common stock issued for settlement of equity issuance costs</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115,000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233" w:right="10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$6,923 and $0 for the years ended December 31, 2012 and 2011, respectively. The allowance for doubtful accounts was $0 as of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December 31, 2012 and 2011,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NOTE 3 – PREPAID EXPENSES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w w:val="94"/>
              </w:rPr>
              <w:t>Prepaid expenses consisted of the following as of December 31, 2012 and 2011:</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4080" w:type="dxa"/>
            <w:vAlign w:val="bottom"/>
            <w:tcBorders>
              <w:bottom w:val="single" w:sz="8" w:color="CCEEC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CC"/>
            </w:tcBorders>
          </w:tcPr>
          <w:p>
            <w:pPr>
              <w:spacing w:after="0"/>
              <w:rPr>
                <w:sz w:val="24"/>
                <w:szCs w:val="24"/>
                <w:color w:val="auto"/>
              </w:rPr>
            </w:pPr>
          </w:p>
        </w:tc>
        <w:tc>
          <w:tcPr>
            <w:tcW w:w="20" w:type="dxa"/>
            <w:vAlign w:val="bottom"/>
            <w:tcBorders>
              <w:bottom w:val="single" w:sz="8" w:color="CCEEC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2000" w:type="dxa"/>
            <w:vAlign w:val="bottom"/>
          </w:tcPr>
          <w:p>
            <w:pPr>
              <w:spacing w:after="0"/>
              <w:rPr>
                <w:sz w:val="18"/>
                <w:szCs w:val="18"/>
                <w:color w:val="auto"/>
              </w:rPr>
            </w:pPr>
          </w:p>
        </w:tc>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Insurance</w:t>
            </w:r>
          </w:p>
        </w:tc>
        <w:tc>
          <w:tcPr>
            <w:tcW w:w="1040" w:type="dxa"/>
            <w:vAlign w:val="bottom"/>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6,437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5,937</w:t>
            </w:r>
          </w:p>
        </w:tc>
        <w:tc>
          <w:tcPr>
            <w:tcW w:w="40" w:type="dxa"/>
            <w:vAlign w:val="bottom"/>
            <w:shd w:val="clear" w:color="auto" w:fill="CCEE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Website maintenance</w:t>
            </w: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17,500</w:t>
            </w:r>
          </w:p>
        </w:tc>
        <w:tc>
          <w:tcPr>
            <w:tcW w:w="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1040" w:type="dxa"/>
            <w:vAlign w:val="bottom"/>
            <w:shd w:val="clear" w:color="auto" w:fill="CCEECC"/>
          </w:tcPr>
          <w:p>
            <w:pPr>
              <w:spacing w:after="0"/>
              <w:rPr>
                <w:sz w:val="18"/>
                <w:szCs w:val="18"/>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31,672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Employee advances</w:t>
            </w:r>
          </w:p>
        </w:tc>
        <w:tc>
          <w:tcPr>
            <w:tcW w:w="1040" w:type="dxa"/>
            <w:vAlign w:val="bottom"/>
            <w:shd w:val="clear" w:color="auto" w:fill="CCEECC"/>
          </w:tcPr>
          <w:p>
            <w:pPr>
              <w:spacing w:after="0"/>
              <w:rPr>
                <w:sz w:val="18"/>
                <w:szCs w:val="18"/>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694</w:t>
            </w:r>
          </w:p>
        </w:tc>
        <w:tc>
          <w:tcPr>
            <w:tcW w:w="40" w:type="dxa"/>
            <w:vAlign w:val="bottom"/>
            <w:shd w:val="clear" w:color="auto" w:fill="CCEE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Advertising</w:t>
            </w: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c>
          <w:tcPr>
            <w:tcW w:w="4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Legal</w:t>
            </w:r>
          </w:p>
        </w:tc>
        <w:tc>
          <w:tcPr>
            <w:tcW w:w="1040" w:type="dxa"/>
            <w:vAlign w:val="bottom"/>
            <w:shd w:val="clear" w:color="auto" w:fill="CCEECC"/>
          </w:tcPr>
          <w:p>
            <w:pPr>
              <w:spacing w:after="0"/>
              <w:rPr>
                <w:sz w:val="19"/>
                <w:szCs w:val="19"/>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4"/>
              </w:rPr>
              <w:t>25,000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Total prepaid expenses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68,158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2012 and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20,130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1000" w:type="dxa"/>
            <w:vAlign w:val="bottom"/>
            <w:tcBorders>
              <w:top w:val="single" w:sz="8" w:color="auto"/>
            </w:tcBorders>
            <w:shd w:val="clear" w:color="auto" w:fill="CCEECC"/>
          </w:tcPr>
          <w:p>
            <w:pPr>
              <w:spacing w:after="0"/>
              <w:rPr>
                <w:sz w:val="18"/>
                <w:szCs w:val="18"/>
                <w:color w:val="auto"/>
              </w:rPr>
            </w:pPr>
          </w:p>
        </w:tc>
        <w:tc>
          <w:tcPr>
            <w:tcW w:w="5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31,218</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10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(12,763)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(7,287)</w:t>
            </w: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auto"/>
              <w:bottom w:val="single" w:sz="8" w:color="auto"/>
            </w:tcBorders>
            <w:shd w:val="clear" w:color="auto" w:fill="CCEEC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23,931</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$5,476 and $2,230 for the years ended December 31,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developing their website and web-based products, which consisted of the following as of December 31, 2012 and 2011:</w:t>
      </w:r>
    </w:p>
    <w:p>
      <w:pPr>
        <w:spacing w:after="0" w:line="262"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OptimizeRx web development</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154,133</w:t>
            </w:r>
          </w:p>
        </w:tc>
        <w:tc>
          <w:tcPr>
            <w:tcW w:w="40" w:type="dxa"/>
            <w:vAlign w:val="bottom"/>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SampleMD web development</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553,877</w:t>
            </w:r>
          </w:p>
        </w:tc>
        <w:tc>
          <w:tcPr>
            <w:tcW w:w="4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Subtotal, web development costs</w:t>
            </w:r>
          </w:p>
        </w:tc>
        <w:tc>
          <w:tcPr>
            <w:tcW w:w="36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708,010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(310,352)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(183,429)</w:t>
            </w:r>
          </w:p>
        </w:tc>
      </w:tr>
      <w:tr>
        <w:trPr>
          <w:trHeight w:val="23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Impairment</w:t>
            </w:r>
          </w:p>
        </w:tc>
        <w:tc>
          <w:tcPr>
            <w:tcW w:w="3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6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4080" w:type="dxa"/>
            <w:vAlign w:val="bottom"/>
          </w:tcPr>
          <w:p>
            <w:pPr>
              <w:ind w:left="280"/>
              <w:spacing w:after="0"/>
              <w:rPr>
                <w:sz w:val="20"/>
                <w:szCs w:val="20"/>
                <w:color w:val="auto"/>
              </w:rPr>
            </w:pPr>
            <w:r>
              <w:rPr>
                <w:rFonts w:ascii="Arial" w:cs="Arial" w:eastAsia="Arial" w:hAnsi="Arial"/>
                <w:sz w:val="18"/>
                <w:szCs w:val="18"/>
                <w:color w:val="auto"/>
              </w:rPr>
              <w:t>Web development costs,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is recorded using the straight-line method over a period of five years. The Company determined that the original OptimizeRx website was no longer useful so the remaining unamortized balance of $59,083 was impaired as of December 31, 2010. Amortization expense for the web development costs was $126,923 and $88,379 for the years ended December 31, 2012 and 2011,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purchasing the SampleMD patent, which consisted of the following as of December 31, 2012 and 2011:</w:t>
      </w:r>
    </w:p>
    <w:p>
      <w:pPr>
        <w:spacing w:after="0" w:line="131"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Patent rights and intangible assets</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(136,764)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(82,059)</w:t>
            </w: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Patent rights and intangible assets, net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847,941</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$54,705 and $54,706 for the years ended December 31, 2012 and 2011,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w w:val="95"/>
              </w:rPr>
              <w:t>NOTE 7</w:t>
            </w: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 ACCRUED EXPENSES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3"/>
          </w:tcPr>
          <w:p>
            <w:pPr>
              <w:spacing w:after="0"/>
              <w:rPr>
                <w:sz w:val="20"/>
                <w:szCs w:val="20"/>
                <w:color w:val="auto"/>
              </w:rPr>
            </w:pPr>
            <w:r>
              <w:rPr>
                <w:rFonts w:ascii="Arial" w:cs="Arial" w:eastAsia="Arial" w:hAnsi="Arial"/>
                <w:sz w:val="18"/>
                <w:szCs w:val="18"/>
                <w:color w:val="auto"/>
                <w:w w:val="93"/>
              </w:rPr>
              <w:t>Accrued expenses consisted of the following as of December 31, 2012 and 2011:</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80" w:type="dxa"/>
            <w:vAlign w:val="bottom"/>
            <w:tcBorders>
              <w:bottom w:val="single" w:sz="8" w:color="CCEECC"/>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C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Accrued bonuses</w:t>
            </w:r>
          </w:p>
        </w:tc>
        <w:tc>
          <w:tcPr>
            <w:tcW w:w="1080" w:type="dxa"/>
            <w:vAlign w:val="bottom"/>
            <w:shd w:val="clear" w:color="auto" w:fill="CCEECC"/>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Accrued audit fees</w:t>
            </w:r>
          </w:p>
        </w:tc>
        <w:tc>
          <w:tcPr>
            <w:tcW w:w="10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80" w:type="dxa"/>
            <w:vAlign w:val="bottom"/>
            <w:tcBorders>
              <w:top w:val="single" w:sz="8" w:color="CCEECC"/>
              <w:bottom w:val="single" w:sz="8" w:color="CCEECC"/>
            </w:tcBorders>
            <w:shd w:val="clear" w:color="auto" w:fill="CCEECC"/>
          </w:tcPr>
          <w:p>
            <w:pPr>
              <w:ind w:left="200"/>
              <w:spacing w:after="0"/>
              <w:rPr>
                <w:sz w:val="20"/>
                <w:szCs w:val="20"/>
                <w:color w:val="auto"/>
              </w:rPr>
            </w:pPr>
            <w:r>
              <w:rPr>
                <w:rFonts w:ascii="Arial" w:cs="Arial" w:eastAsia="Arial" w:hAnsi="Arial"/>
                <w:sz w:val="18"/>
                <w:szCs w:val="18"/>
                <w:color w:val="auto"/>
              </w:rPr>
              <w:t>Total accrued expenses</w:t>
            </w:r>
          </w:p>
        </w:tc>
        <w:tc>
          <w:tcPr>
            <w:tcW w:w="1080" w:type="dxa"/>
            <w:vAlign w:val="bottom"/>
            <w:tcBorders>
              <w:top w:val="single" w:sz="8" w:color="auto"/>
              <w:bottom w:val="single" w:sz="8" w:color="auto"/>
            </w:tcBorders>
            <w:shd w:val="clear" w:color="auto" w:fill="CCEECC"/>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66,000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8"/>
                <w:szCs w:val="18"/>
                <w:color w:val="auto"/>
                <w:w w:val="95"/>
              </w:rPr>
              <w:t>NOTE 8</w:t>
            </w: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 DEFERRED REVENUE</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$49,252 and $330,605 as of December 31, 2012 and 2011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14,232,496 and 14,192,496 common shares issued and outstanding at December 31, 2012 and 2011,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was dismissed.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2011, the Company issued 475,820 shares of common stock to satisfy $500,000 of preferred dividends. The Company has not declared any dividends in 2012.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as of December 31, 2012.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options were fully expensed as of December 31, 2011.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$83,992 during the year ended December 31, 2011.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of expense during the years ended December 31, 2012 and 2011,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$91,811 during the year ended December 31, 2012.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$8,335 during the three months ended December 31, 2012. The remaining balance will be recognized in the following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for the years ended December 31, 2012 and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2400" w:type="dxa"/>
            <w:vAlign w:val="bottom"/>
            <w:tcBorders>
              <w:bottom w:val="single" w:sz="8" w:color="CCEECC"/>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24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Number of Options</w:t>
            </w:r>
          </w:p>
        </w:tc>
        <w:tc>
          <w:tcPr>
            <w:tcW w:w="60" w:type="dxa"/>
            <w:vAlign w:val="bottom"/>
            <w:tcBorders>
              <w:bottom w:val="single" w:sz="8" w:color="CCEECC"/>
            </w:tcBorders>
          </w:tcPr>
          <w:p>
            <w:pPr>
              <w:spacing w:after="0"/>
              <w:rPr>
                <w:sz w:val="20"/>
                <w:szCs w:val="20"/>
                <w:color w:val="auto"/>
              </w:rPr>
            </w:pPr>
          </w:p>
        </w:tc>
        <w:tc>
          <w:tcPr>
            <w:tcW w:w="2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Weighted average exercise price</w:t>
            </w:r>
          </w:p>
        </w:tc>
      </w:tr>
      <w:tr>
        <w:trPr>
          <w:trHeight w:val="210"/>
        </w:trPr>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Outstanding, January 1, 2011</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540" w:type="dxa"/>
            <w:vAlign w:val="bottom"/>
            <w:gridSpan w:val="2"/>
          </w:tcPr>
          <w:p>
            <w:pPr>
              <w:ind w:left="80"/>
              <w:spacing w:after="0"/>
              <w:rPr>
                <w:sz w:val="20"/>
                <w:szCs w:val="20"/>
                <w:color w:val="auto"/>
              </w:rPr>
            </w:pPr>
            <w:r>
              <w:rPr>
                <w:rFonts w:ascii="Arial" w:cs="Arial" w:eastAsia="Arial" w:hAnsi="Arial"/>
                <w:sz w:val="18"/>
                <w:szCs w:val="18"/>
                <w:color w:val="auto"/>
              </w:rPr>
              <w:t>Granted - 2011</w:t>
            </w:r>
          </w:p>
        </w:tc>
        <w:tc>
          <w:tcPr>
            <w:tcW w:w="2360" w:type="dxa"/>
            <w:vAlign w:val="bottom"/>
          </w:tcPr>
          <w:p>
            <w:pPr>
              <w:jc w:val="right"/>
              <w:spacing w:after="0"/>
              <w:rPr>
                <w:sz w:val="20"/>
                <w:szCs w:val="20"/>
                <w:color w:val="auto"/>
              </w:rPr>
            </w:pPr>
            <w:r>
              <w:rPr>
                <w:rFonts w:ascii="Arial" w:cs="Arial" w:eastAsia="Arial" w:hAnsi="Arial"/>
                <w:sz w:val="18"/>
                <w:szCs w:val="18"/>
                <w:color w:val="auto"/>
              </w:rPr>
              <w:t>505,000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Exercised - 2011</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540" w:type="dxa"/>
            <w:vAlign w:val="bottom"/>
            <w:gridSpan w:val="2"/>
          </w:tcPr>
          <w:p>
            <w:pPr>
              <w:ind w:left="80"/>
              <w:spacing w:after="0"/>
              <w:rPr>
                <w:sz w:val="20"/>
                <w:szCs w:val="20"/>
                <w:color w:val="auto"/>
              </w:rPr>
            </w:pPr>
            <w:r>
              <w:rPr>
                <w:rFonts w:ascii="Arial" w:cs="Arial" w:eastAsia="Arial" w:hAnsi="Arial"/>
                <w:sz w:val="18"/>
                <w:szCs w:val="18"/>
                <w:color w:val="auto"/>
              </w:rPr>
              <w:t>Expired - 2011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400" w:type="dxa"/>
            <w:vAlign w:val="bottom"/>
            <w:tcBorders>
              <w:top w:val="single" w:sz="8" w:color="auto"/>
            </w:tcBorders>
            <w:shd w:val="clear" w:color="auto" w:fill="CCEECC"/>
          </w:tcPr>
          <w:p>
            <w:pPr>
              <w:ind w:left="260"/>
              <w:spacing w:after="0"/>
              <w:rPr>
                <w:sz w:val="20"/>
                <w:szCs w:val="20"/>
                <w:color w:val="auto"/>
              </w:rPr>
            </w:pPr>
            <w:r>
              <w:rPr>
                <w:rFonts w:ascii="Arial" w:cs="Arial" w:eastAsia="Arial" w:hAnsi="Arial"/>
                <w:sz w:val="18"/>
                <w:szCs w:val="18"/>
                <w:color w:val="auto"/>
                <w:w w:val="90"/>
              </w:rPr>
              <w:t>Balance, December 31, 2011</w:t>
            </w:r>
          </w:p>
        </w:tc>
        <w:tc>
          <w:tcPr>
            <w:tcW w:w="140" w:type="dxa"/>
            <w:vAlign w:val="bottom"/>
            <w:tcBorders>
              <w:top w:val="single" w:sz="8" w:color="CCEECC"/>
            </w:tcBorders>
            <w:shd w:val="clear" w:color="auto" w:fill="CCEECC"/>
          </w:tcPr>
          <w:p>
            <w:pPr>
              <w:spacing w:after="0"/>
              <w:rPr>
                <w:sz w:val="18"/>
                <w:szCs w:val="18"/>
                <w:color w:val="auto"/>
              </w:rPr>
            </w:pPr>
          </w:p>
        </w:tc>
        <w:tc>
          <w:tcPr>
            <w:tcW w:w="23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13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2540" w:type="dxa"/>
            <w:vAlign w:val="bottom"/>
            <w:gridSpan w:val="2"/>
          </w:tcPr>
          <w:p>
            <w:pPr>
              <w:ind w:left="80"/>
              <w:spacing w:after="0"/>
              <w:rPr>
                <w:sz w:val="20"/>
                <w:szCs w:val="20"/>
                <w:color w:val="auto"/>
              </w:rPr>
            </w:pPr>
            <w:r>
              <w:rPr>
                <w:rFonts w:ascii="Arial" w:cs="Arial" w:eastAsia="Arial" w:hAnsi="Arial"/>
                <w:sz w:val="18"/>
                <w:szCs w:val="18"/>
                <w:color w:val="auto"/>
              </w:rPr>
              <w:t>Granted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Exercised - 2012</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3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540" w:type="dxa"/>
            <w:vAlign w:val="bottom"/>
            <w:gridSpan w:val="2"/>
          </w:tcPr>
          <w:p>
            <w:pPr>
              <w:ind w:left="80"/>
              <w:spacing w:after="0"/>
              <w:rPr>
                <w:sz w:val="20"/>
                <w:szCs w:val="20"/>
                <w:color w:val="auto"/>
              </w:rPr>
            </w:pPr>
            <w:r>
              <w:rPr>
                <w:rFonts w:ascii="Arial" w:cs="Arial" w:eastAsia="Arial" w:hAnsi="Arial"/>
                <w:sz w:val="18"/>
                <w:szCs w:val="18"/>
                <w:color w:val="auto"/>
              </w:rPr>
              <w:t>Expired - 2012</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400" w:type="dxa"/>
            <w:vAlign w:val="bottom"/>
            <w:tcBorders>
              <w:top w:val="single" w:sz="8" w:color="auto"/>
              <w:bottom w:val="single" w:sz="8" w:color="auto"/>
            </w:tcBorders>
            <w:shd w:val="clear" w:color="auto" w:fill="CCEECC"/>
          </w:tcPr>
          <w:p>
            <w:pPr>
              <w:ind w:left="260"/>
              <w:spacing w:after="0"/>
              <w:rPr>
                <w:sz w:val="20"/>
                <w:szCs w:val="20"/>
                <w:color w:val="auto"/>
              </w:rPr>
            </w:pPr>
            <w:r>
              <w:rPr>
                <w:rFonts w:ascii="Arial" w:cs="Arial" w:eastAsia="Arial" w:hAnsi="Arial"/>
                <w:sz w:val="18"/>
                <w:szCs w:val="18"/>
                <w:color w:val="auto"/>
                <w:w w:val="90"/>
              </w:rPr>
              <w:t>Balance, December 31, 2012</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23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auto"/>
              <w:bottom w:val="single" w:sz="8" w:color="auto"/>
            </w:tcBorders>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for the years ended December 31, 2012 and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400" w:type="dxa"/>
            <w:vAlign w:val="bottom"/>
            <w:tcBorders>
              <w:bottom w:val="single" w:sz="8" w:color="CCEECC"/>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24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Number of Warrants</w:t>
            </w:r>
          </w:p>
        </w:tc>
        <w:tc>
          <w:tcPr>
            <w:tcW w:w="60" w:type="dxa"/>
            <w:vAlign w:val="bottom"/>
            <w:tcBorders>
              <w:bottom w:val="single" w:sz="8" w:color="CCEECC"/>
            </w:tcBorders>
          </w:tcPr>
          <w:p>
            <w:pPr>
              <w:spacing w:after="0"/>
              <w:rPr>
                <w:sz w:val="20"/>
                <w:szCs w:val="20"/>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Weighted average exercise price</w:t>
            </w:r>
          </w:p>
        </w:tc>
        <w:tc>
          <w:tcPr>
            <w:tcW w:w="2000" w:type="dxa"/>
            <w:vAlign w:val="bottom"/>
          </w:tcPr>
          <w:p>
            <w:pPr>
              <w:spacing w:after="0"/>
              <w:rPr>
                <w:sz w:val="20"/>
                <w:szCs w:val="20"/>
                <w:color w:val="auto"/>
              </w:rPr>
            </w:pPr>
          </w:p>
        </w:tc>
      </w:tr>
      <w:tr>
        <w:trPr>
          <w:trHeight w:val="210"/>
        </w:trPr>
        <w:tc>
          <w:tcPr>
            <w:tcW w:w="2000" w:type="dxa"/>
            <w:vAlign w:val="bottom"/>
          </w:tcPr>
          <w:p>
            <w:pPr>
              <w:spacing w:after="0"/>
              <w:rPr>
                <w:sz w:val="18"/>
                <w:szCs w:val="18"/>
                <w:color w:val="auto"/>
              </w:rPr>
            </w:pPr>
          </w:p>
        </w:tc>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Outstanding, January 1, 2011</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11,111,100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2.26</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Granted - 2011</w:t>
            </w:r>
          </w:p>
        </w:tc>
        <w:tc>
          <w:tcPr>
            <w:tcW w:w="2360" w:type="dxa"/>
            <w:vAlign w:val="bottom"/>
          </w:tcPr>
          <w:p>
            <w:pPr>
              <w:jc w:val="right"/>
              <w:spacing w:after="0"/>
              <w:rPr>
                <w:sz w:val="20"/>
                <w:szCs w:val="20"/>
                <w:color w:val="auto"/>
              </w:rPr>
            </w:pPr>
            <w:r>
              <w:rPr>
                <w:rFonts w:ascii="Arial" w:cs="Arial" w:eastAsia="Arial" w:hAnsi="Arial"/>
                <w:sz w:val="18"/>
                <w:szCs w:val="18"/>
                <w:color w:val="auto"/>
              </w:rPr>
              <w:t>3,333,334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Exercised - 2011</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Expired - 2011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2000" w:type="dxa"/>
            <w:vAlign w:val="bottom"/>
          </w:tcPr>
          <w:p>
            <w:pPr>
              <w:spacing w:after="0"/>
              <w:rPr>
                <w:sz w:val="19"/>
                <w:szCs w:val="19"/>
                <w:color w:val="auto"/>
              </w:rPr>
            </w:pPr>
          </w:p>
        </w:tc>
      </w:tr>
      <w:tr>
        <w:trPr>
          <w:trHeight w:val="210"/>
        </w:trPr>
        <w:tc>
          <w:tcPr>
            <w:tcW w:w="2000" w:type="dxa"/>
            <w:vAlign w:val="bottom"/>
          </w:tcPr>
          <w:p>
            <w:pPr>
              <w:spacing w:after="0"/>
              <w:rPr>
                <w:sz w:val="18"/>
                <w:szCs w:val="18"/>
                <w:color w:val="auto"/>
              </w:rPr>
            </w:pPr>
          </w:p>
        </w:tc>
        <w:tc>
          <w:tcPr>
            <w:tcW w:w="2400" w:type="dxa"/>
            <w:vAlign w:val="bottom"/>
            <w:tcBorders>
              <w:top w:val="single" w:sz="8" w:color="auto"/>
            </w:tcBorders>
            <w:shd w:val="clear" w:color="auto" w:fill="CCEECC"/>
          </w:tcPr>
          <w:p>
            <w:pPr>
              <w:ind w:left="260"/>
              <w:spacing w:after="0"/>
              <w:rPr>
                <w:sz w:val="20"/>
                <w:szCs w:val="20"/>
                <w:color w:val="auto"/>
              </w:rPr>
            </w:pPr>
            <w:r>
              <w:rPr>
                <w:rFonts w:ascii="Arial" w:cs="Arial" w:eastAsia="Arial" w:hAnsi="Arial"/>
                <w:sz w:val="18"/>
                <w:szCs w:val="18"/>
                <w:color w:val="auto"/>
                <w:w w:val="90"/>
              </w:rPr>
              <w:t>Balance, December 31, 2011</w:t>
            </w:r>
          </w:p>
        </w:tc>
        <w:tc>
          <w:tcPr>
            <w:tcW w:w="140" w:type="dxa"/>
            <w:vAlign w:val="bottom"/>
            <w:tcBorders>
              <w:top w:val="single" w:sz="8" w:color="CCEECC"/>
            </w:tcBorders>
            <w:shd w:val="clear" w:color="auto" w:fill="CCEECC"/>
          </w:tcPr>
          <w:p>
            <w:pPr>
              <w:spacing w:after="0"/>
              <w:rPr>
                <w:sz w:val="18"/>
                <w:szCs w:val="18"/>
                <w:color w:val="auto"/>
              </w:rPr>
            </w:pPr>
          </w:p>
        </w:tc>
        <w:tc>
          <w:tcPr>
            <w:tcW w:w="23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020" w:type="dxa"/>
            <w:vAlign w:val="bottom"/>
            <w:tcBorders>
              <w:top w:val="single" w:sz="8" w:color="auto"/>
            </w:tcBorders>
            <w:shd w:val="clear" w:color="auto" w:fill="CCEECC"/>
          </w:tcPr>
          <w:p>
            <w:pPr>
              <w:spacing w:after="0"/>
              <w:rPr>
                <w:sz w:val="18"/>
                <w:szCs w:val="18"/>
                <w:color w:val="auto"/>
              </w:rPr>
            </w:pPr>
          </w:p>
        </w:tc>
        <w:tc>
          <w:tcPr>
            <w:tcW w:w="1360" w:type="dxa"/>
            <w:vAlign w:val="bottom"/>
            <w:tcBorders>
              <w:top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Granted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Exercised - 2012</w:t>
            </w:r>
          </w:p>
        </w:tc>
        <w:tc>
          <w:tcPr>
            <w:tcW w:w="244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13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Expired - 2012</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2400" w:type="dxa"/>
            <w:vAlign w:val="bottom"/>
            <w:tcBorders>
              <w:top w:val="single" w:sz="8" w:color="auto"/>
              <w:bottom w:val="single" w:sz="8" w:color="auto"/>
            </w:tcBorders>
            <w:shd w:val="clear" w:color="auto" w:fill="CCEECC"/>
          </w:tcPr>
          <w:p>
            <w:pPr>
              <w:ind w:left="260"/>
              <w:spacing w:after="0"/>
              <w:rPr>
                <w:sz w:val="20"/>
                <w:szCs w:val="20"/>
                <w:color w:val="auto"/>
              </w:rPr>
            </w:pPr>
            <w:r>
              <w:rPr>
                <w:rFonts w:ascii="Arial" w:cs="Arial" w:eastAsia="Arial" w:hAnsi="Arial"/>
                <w:sz w:val="18"/>
                <w:szCs w:val="18"/>
                <w:color w:val="auto"/>
                <w:w w:val="90"/>
              </w:rPr>
              <w:t>Balance, December 31, 2012</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23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020" w:type="dxa"/>
            <w:vAlign w:val="bottom"/>
            <w:tcBorders>
              <w:top w:val="single" w:sz="8" w:color="auto"/>
              <w:bottom w:val="single" w:sz="8" w:color="auto"/>
            </w:tcBorders>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200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29"/>
        </w:trPr>
        <w:tc>
          <w:tcPr>
            <w:tcW w:w="2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8"/>
                <w:szCs w:val="18"/>
                <w:color w:val="auto"/>
              </w:rPr>
              <w:t>F-14</w:t>
            </w: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Minimum annual rent is as follows for the initial term of the lease:</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58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6"/>
              </w:rPr>
              <w:t>Year ended December 31, 2013</w:t>
            </w:r>
          </w:p>
        </w:tc>
        <w:tc>
          <w:tcPr>
            <w:tcW w:w="1000" w:type="dxa"/>
            <w:vAlign w:val="bottom"/>
            <w:gridSpan w:val="2"/>
            <w:shd w:val="clear" w:color="auto" w:fill="CCEECC"/>
          </w:tcPr>
          <w:p>
            <w:pPr>
              <w:jc w:val="right"/>
              <w:ind w:right="825"/>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60,591</w:t>
            </w:r>
          </w:p>
        </w:tc>
        <w:tc>
          <w:tcPr>
            <w:tcW w:w="40" w:type="dxa"/>
            <w:vAlign w:val="bottom"/>
            <w:shd w:val="clear" w:color="auto" w:fill="CCEECC"/>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8"/>
                <w:szCs w:val="18"/>
                <w:color w:val="auto"/>
              </w:rPr>
            </w:pPr>
          </w:p>
        </w:tc>
      </w:tr>
      <w:tr>
        <w:trPr>
          <w:trHeight w:val="230"/>
        </w:trPr>
        <w:tc>
          <w:tcPr>
            <w:tcW w:w="3160" w:type="dxa"/>
            <w:vAlign w:val="bottom"/>
          </w:tcPr>
          <w:p>
            <w:pPr>
              <w:spacing w:after="0"/>
              <w:rPr>
                <w:sz w:val="19"/>
                <w:szCs w:val="19"/>
                <w:color w:val="auto"/>
              </w:rPr>
            </w:pPr>
          </w:p>
        </w:tc>
        <w:tc>
          <w:tcPr>
            <w:tcW w:w="2480" w:type="dxa"/>
            <w:vAlign w:val="bottom"/>
            <w:tcBorders>
              <w:bottom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980" w:type="dxa"/>
            <w:vAlign w:val="bottom"/>
            <w:tcBorders>
              <w:bottom w:val="single" w:sz="8" w:color="auto"/>
            </w:tcBorders>
            <w:shd w:val="clear" w:color="auto" w:fill="CCEECC"/>
          </w:tcPr>
          <w:p>
            <w:pPr>
              <w:spacing w:after="0"/>
              <w:rPr>
                <w:sz w:val="19"/>
                <w:szCs w:val="19"/>
                <w:color w:val="auto"/>
              </w:rPr>
            </w:pPr>
          </w:p>
        </w:tc>
        <w:tc>
          <w:tcPr>
            <w:tcW w:w="15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9"/>
                <w:szCs w:val="19"/>
                <w:color w:val="auto"/>
              </w:rPr>
            </w:pPr>
          </w:p>
        </w:tc>
      </w:tr>
      <w:tr>
        <w:trPr>
          <w:trHeight w:val="223"/>
        </w:trPr>
        <w:tc>
          <w:tcPr>
            <w:tcW w:w="3160" w:type="dxa"/>
            <w:vAlign w:val="bottom"/>
          </w:tcPr>
          <w:p>
            <w:pPr>
              <w:spacing w:after="0"/>
              <w:rPr>
                <w:sz w:val="19"/>
                <w:szCs w:val="19"/>
                <w:color w:val="auto"/>
              </w:rPr>
            </w:pP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lease commitment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116,133</w:t>
            </w:r>
          </w:p>
        </w:tc>
        <w:tc>
          <w:tcPr>
            <w:tcW w:w="4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52% and two major customers that accounted for 50% of the Company’s revenues for the years ended December 31, 2012 and 2011,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2012, the Company incurred a net loss of approximately $364,000 and therefore has no tax liability. The Company began operations in 2007 and has previous net operating loss carry-forwards of $13,479,000 through December 31, 2011. The cumulative loss of $13,843,000 will be carried forward and can be used through the year 2032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2012 and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Federal income tax benefit attributable to: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Current operations</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123,000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721,000</w:t>
            </w: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(123,000)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(721,000)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Net provision for federal income tax</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tax effect at the expected rate of 34% of significant items comprising our net deferred tax amount is as follows as of December 31,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Deferred tax asset attributable to: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operating loss carryover</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4,706,000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4,583,000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(4,706,000)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(4,583,000)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$13,843,000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2012 and 2011, respectively:</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Advertising</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57,218</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544,071</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263,396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342,503</w:t>
            </w: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19,148</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185,174</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1,184,367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864,655</w:t>
            </w: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62,362</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37,868</w:t>
            </w: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187,104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145,315</w:t>
            </w:r>
          </w:p>
        </w:tc>
      </w:tr>
      <w:tr>
        <w:trPr>
          <w:trHeight w:val="216"/>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CC"/>
          </w:tcPr>
          <w:p>
            <w:pPr>
              <w:spacing w:after="0"/>
              <w:rPr>
                <w:sz w:val="18"/>
                <w:szCs w:val="18"/>
                <w:color w:val="auto"/>
              </w:rPr>
            </w:pP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285,605</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353,844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445,911</w:t>
            </w:r>
          </w:p>
        </w:tc>
      </w:tr>
      <w:tr>
        <w:trPr>
          <w:trHeight w:val="223"/>
        </w:trPr>
        <w:tc>
          <w:tcPr>
            <w:tcW w:w="408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2,413,044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2,565,497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2013, the Company hired a new CEO. The employment agreement requires annual compensation of $175,000 that will be accrued and deferred until at least January 1, 2014. Additionally, the agreement requires the issuance of 2,000,000 options with an exercise price of $1.00 for a term of five years. The options are not exercisable until at least January 1, 2014.</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2012 through the date these financial statements were issued and has determined that it does not have any material subsequent events to disclose in these financial statements other than the events described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treasurer, as appropriate to allow timely decisions regarding required disclosure.</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2012. Based on their evaluation, they concluded that our disclosure controls and procedures were effective.</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defined in Rules 13a-15(f) and 15d-15(f) of the Exchange Act). Our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we conducted an evaluation of the effectiveness of our internal control over financial reporting based on the criteria established in Internal Control – Integrated Framework issued by the Committee of Sponsoring Organizations of the Treadway Commission (“COSO”). Based on this evaluation under the criteria established in Internal Control – Integrated Framework, our management concluded that our internal control over financial reporting was effective as of December 31, 2012.</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2012.</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1700" w:type="dxa"/>
            <w:vAlign w:val="bottom"/>
          </w:tcPr>
          <w:p>
            <w:pPr>
              <w:ind w:left="680"/>
              <w:spacing w:after="0"/>
              <w:rPr>
                <w:sz w:val="20"/>
                <w:szCs w:val="20"/>
                <w:color w:val="auto"/>
              </w:rPr>
            </w:pPr>
            <w:r>
              <w:rPr>
                <w:rFonts w:ascii="Arial" w:cs="Arial" w:eastAsia="Arial" w:hAnsi="Arial"/>
                <w:sz w:val="18"/>
                <w:szCs w:val="18"/>
                <w:b w:val="1"/>
                <w:bCs w:val="1"/>
                <w:color w:val="auto"/>
              </w:rPr>
              <w:t>Name</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Age</w:t>
            </w:r>
          </w:p>
        </w:tc>
        <w:tc>
          <w:tcPr>
            <w:tcW w:w="3780" w:type="dxa"/>
            <w:vAlign w:val="bottom"/>
          </w:tcPr>
          <w:p>
            <w:pPr>
              <w:ind w:left="96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170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Shad Stastney</w:t>
            </w:r>
          </w:p>
        </w:tc>
        <w:tc>
          <w:tcPr>
            <w:tcW w:w="1360" w:type="dxa"/>
            <w:vAlign w:val="bottom"/>
            <w:shd w:val="clear" w:color="auto" w:fill="CCEECC"/>
          </w:tcPr>
          <w:p>
            <w:pPr>
              <w:jc w:val="right"/>
              <w:ind w:right="930"/>
              <w:spacing w:after="0" w:line="201" w:lineRule="exact"/>
              <w:rPr>
                <w:sz w:val="20"/>
                <w:szCs w:val="20"/>
                <w:color w:val="auto"/>
              </w:rPr>
            </w:pPr>
            <w:r>
              <w:rPr>
                <w:rFonts w:ascii="Arial" w:cs="Arial" w:eastAsia="Arial" w:hAnsi="Arial"/>
                <w:sz w:val="18"/>
                <w:szCs w:val="18"/>
                <w:color w:val="auto"/>
              </w:rPr>
              <w:t>44</w:t>
            </w:r>
          </w:p>
        </w:tc>
        <w:tc>
          <w:tcPr>
            <w:tcW w:w="3780" w:type="dxa"/>
            <w:vAlign w:val="bottom"/>
            <w:shd w:val="clear" w:color="auto" w:fill="CCEECC"/>
          </w:tcPr>
          <w:p>
            <w:pPr>
              <w:ind w:left="400"/>
              <w:spacing w:after="0" w:line="201" w:lineRule="exact"/>
              <w:rPr>
                <w:sz w:val="20"/>
                <w:szCs w:val="20"/>
                <w:color w:val="auto"/>
              </w:rPr>
            </w:pPr>
            <w:r>
              <w:rPr>
                <w:rFonts w:ascii="Arial" w:cs="Arial" w:eastAsia="Arial" w:hAnsi="Arial"/>
                <w:sz w:val="18"/>
                <w:szCs w:val="18"/>
                <w:color w:val="auto"/>
                <w:w w:val="94"/>
              </w:rPr>
              <w:t>Chairman, President, Chief Executive Officer</w:t>
            </w:r>
          </w:p>
        </w:tc>
      </w:tr>
      <w:tr>
        <w:trPr>
          <w:trHeight w:val="230"/>
        </w:trPr>
        <w:tc>
          <w:tcPr>
            <w:tcW w:w="1700" w:type="dxa"/>
            <w:vAlign w:val="bottom"/>
            <w:shd w:val="clear" w:color="auto" w:fill="CCEECC"/>
          </w:tcPr>
          <w:p>
            <w:pPr>
              <w:spacing w:after="0"/>
              <w:rPr>
                <w:sz w:val="20"/>
                <w:szCs w:val="20"/>
                <w:color w:val="auto"/>
              </w:rPr>
            </w:pPr>
          </w:p>
        </w:tc>
        <w:tc>
          <w:tcPr>
            <w:tcW w:w="1360" w:type="dxa"/>
            <w:vAlign w:val="bottom"/>
            <w:shd w:val="clear" w:color="auto" w:fill="CCEECC"/>
          </w:tcPr>
          <w:p>
            <w:pPr>
              <w:spacing w:after="0"/>
              <w:rPr>
                <w:sz w:val="20"/>
                <w:szCs w:val="20"/>
                <w:color w:val="auto"/>
              </w:rPr>
            </w:pPr>
          </w:p>
        </w:tc>
        <w:tc>
          <w:tcPr>
            <w:tcW w:w="3780" w:type="dxa"/>
            <w:vAlign w:val="bottom"/>
            <w:shd w:val="clear" w:color="auto" w:fill="CCEECC"/>
          </w:tcPr>
          <w:p>
            <w:pPr>
              <w:ind w:left="400"/>
              <w:spacing w:after="0"/>
              <w:rPr>
                <w:sz w:val="20"/>
                <w:szCs w:val="20"/>
                <w:color w:val="auto"/>
              </w:rPr>
            </w:pPr>
            <w:r>
              <w:rPr>
                <w:rFonts w:ascii="Arial" w:cs="Arial" w:eastAsia="Arial" w:hAnsi="Arial"/>
                <w:sz w:val="18"/>
                <w:szCs w:val="18"/>
                <w:color w:val="auto"/>
              </w:rPr>
              <w:t>and Director</w:t>
            </w:r>
          </w:p>
        </w:tc>
      </w:tr>
      <w:tr>
        <w:trPr>
          <w:trHeight w:val="202"/>
        </w:trPr>
        <w:tc>
          <w:tcPr>
            <w:tcW w:w="1700" w:type="dxa"/>
            <w:vAlign w:val="bottom"/>
          </w:tcPr>
          <w:p>
            <w:pPr>
              <w:ind w:left="80"/>
              <w:spacing w:after="0" w:line="201" w:lineRule="exact"/>
              <w:rPr>
                <w:sz w:val="20"/>
                <w:szCs w:val="20"/>
                <w:color w:val="auto"/>
              </w:rPr>
            </w:pPr>
            <w:r>
              <w:rPr>
                <w:rFonts w:ascii="Arial" w:cs="Arial" w:eastAsia="Arial" w:hAnsi="Arial"/>
                <w:sz w:val="18"/>
                <w:szCs w:val="18"/>
                <w:color w:val="auto"/>
              </w:rPr>
              <w:t>David Lester</w:t>
            </w:r>
          </w:p>
        </w:tc>
        <w:tc>
          <w:tcPr>
            <w:tcW w:w="1360" w:type="dxa"/>
            <w:vAlign w:val="bottom"/>
          </w:tcPr>
          <w:p>
            <w:pPr>
              <w:jc w:val="right"/>
              <w:ind w:right="930"/>
              <w:spacing w:after="0" w:line="201" w:lineRule="exact"/>
              <w:rPr>
                <w:sz w:val="20"/>
                <w:szCs w:val="20"/>
                <w:color w:val="auto"/>
              </w:rPr>
            </w:pPr>
            <w:r>
              <w:rPr>
                <w:rFonts w:ascii="Arial" w:cs="Arial" w:eastAsia="Arial" w:hAnsi="Arial"/>
                <w:sz w:val="18"/>
                <w:szCs w:val="18"/>
                <w:color w:val="auto"/>
              </w:rPr>
              <w:t>55</w:t>
            </w:r>
          </w:p>
        </w:tc>
        <w:tc>
          <w:tcPr>
            <w:tcW w:w="3780" w:type="dxa"/>
            <w:vAlign w:val="bottom"/>
          </w:tcPr>
          <w:p>
            <w:pPr>
              <w:ind w:left="400"/>
              <w:spacing w:after="0" w:line="201" w:lineRule="exact"/>
              <w:rPr>
                <w:sz w:val="20"/>
                <w:szCs w:val="20"/>
                <w:color w:val="auto"/>
              </w:rPr>
            </w:pPr>
            <w:r>
              <w:rPr>
                <w:rFonts w:ascii="Arial" w:cs="Arial" w:eastAsia="Arial" w:hAnsi="Arial"/>
                <w:sz w:val="18"/>
                <w:szCs w:val="18"/>
                <w:color w:val="auto"/>
                <w:w w:val="93"/>
              </w:rPr>
              <w:t>Chief Operating Officer, Secretary, Treasurer</w:t>
            </w:r>
          </w:p>
        </w:tc>
      </w:tr>
      <w:tr>
        <w:trPr>
          <w:trHeight w:val="230"/>
        </w:trPr>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and Director</w:t>
            </w:r>
          </w:p>
        </w:tc>
      </w:tr>
      <w:tr>
        <w:trPr>
          <w:trHeight w:val="202"/>
        </w:trPr>
        <w:tc>
          <w:tcPr>
            <w:tcW w:w="170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David A. Harrell</w:t>
            </w:r>
          </w:p>
        </w:tc>
        <w:tc>
          <w:tcPr>
            <w:tcW w:w="1360" w:type="dxa"/>
            <w:vAlign w:val="bottom"/>
            <w:shd w:val="clear" w:color="auto" w:fill="CCEECC"/>
          </w:tcPr>
          <w:p>
            <w:pPr>
              <w:jc w:val="right"/>
              <w:ind w:right="930"/>
              <w:spacing w:after="0" w:line="201" w:lineRule="exact"/>
              <w:rPr>
                <w:sz w:val="20"/>
                <w:szCs w:val="20"/>
                <w:color w:val="auto"/>
              </w:rPr>
            </w:pPr>
            <w:r>
              <w:rPr>
                <w:rFonts w:ascii="Arial" w:cs="Arial" w:eastAsia="Arial" w:hAnsi="Arial"/>
                <w:sz w:val="18"/>
                <w:szCs w:val="18"/>
                <w:color w:val="auto"/>
              </w:rPr>
              <w:t>47</w:t>
            </w:r>
          </w:p>
        </w:tc>
        <w:tc>
          <w:tcPr>
            <w:tcW w:w="3780" w:type="dxa"/>
            <w:vAlign w:val="bottom"/>
            <w:shd w:val="clear" w:color="auto" w:fill="CCEECC"/>
          </w:tcPr>
          <w:p>
            <w:pPr>
              <w:ind w:left="400"/>
              <w:spacing w:after="0" w:line="201" w:lineRule="exact"/>
              <w:rPr>
                <w:sz w:val="20"/>
                <w:szCs w:val="20"/>
                <w:color w:val="auto"/>
              </w:rPr>
            </w:pPr>
            <w:r>
              <w:rPr>
                <w:rFonts w:ascii="Arial" w:cs="Arial" w:eastAsia="Arial" w:hAnsi="Arial"/>
                <w:sz w:val="18"/>
                <w:szCs w:val="18"/>
                <w:color w:val="auto"/>
                <w:w w:val="99"/>
              </w:rPr>
              <w:t>Vice Chairman, Chief Strategic Officer and</w:t>
            </w:r>
          </w:p>
        </w:tc>
      </w:tr>
      <w:tr>
        <w:trPr>
          <w:trHeight w:val="230"/>
        </w:trPr>
        <w:tc>
          <w:tcPr>
            <w:tcW w:w="1700" w:type="dxa"/>
            <w:vAlign w:val="bottom"/>
            <w:shd w:val="clear" w:color="auto" w:fill="CCEECC"/>
          </w:tcPr>
          <w:p>
            <w:pPr>
              <w:spacing w:after="0"/>
              <w:rPr>
                <w:sz w:val="20"/>
                <w:szCs w:val="20"/>
                <w:color w:val="auto"/>
              </w:rPr>
            </w:pPr>
          </w:p>
        </w:tc>
        <w:tc>
          <w:tcPr>
            <w:tcW w:w="1360" w:type="dxa"/>
            <w:vAlign w:val="bottom"/>
            <w:shd w:val="clear" w:color="auto" w:fill="CCEECC"/>
          </w:tcPr>
          <w:p>
            <w:pPr>
              <w:spacing w:after="0"/>
              <w:rPr>
                <w:sz w:val="20"/>
                <w:szCs w:val="20"/>
                <w:color w:val="auto"/>
              </w:rPr>
            </w:pPr>
          </w:p>
        </w:tc>
        <w:tc>
          <w:tcPr>
            <w:tcW w:w="3780" w:type="dxa"/>
            <w:vAlign w:val="bottom"/>
            <w:shd w:val="clear" w:color="auto" w:fill="CCEECC"/>
          </w:tcPr>
          <w:p>
            <w:pPr>
              <w:ind w:left="400"/>
              <w:spacing w:after="0"/>
              <w:rPr>
                <w:sz w:val="20"/>
                <w:szCs w:val="20"/>
                <w:color w:val="auto"/>
              </w:rPr>
            </w:pPr>
            <w:r>
              <w:rPr>
                <w:rFonts w:ascii="Arial" w:cs="Arial" w:eastAsia="Arial" w:hAnsi="Arial"/>
                <w:sz w:val="18"/>
                <w:szCs w:val="18"/>
                <w:color w:val="auto"/>
              </w:rPr>
              <w:t>Director</w:t>
            </w:r>
          </w:p>
        </w:tc>
      </w:tr>
      <w:tr>
        <w:trPr>
          <w:trHeight w:val="230"/>
        </w:trPr>
        <w:tc>
          <w:tcPr>
            <w:tcW w:w="1700" w:type="dxa"/>
            <w:vAlign w:val="bottom"/>
          </w:tcPr>
          <w:p>
            <w:pPr>
              <w:ind w:left="80"/>
              <w:spacing w:after="0"/>
              <w:rPr>
                <w:sz w:val="20"/>
                <w:szCs w:val="20"/>
                <w:color w:val="auto"/>
              </w:rPr>
            </w:pPr>
            <w:r>
              <w:rPr>
                <w:rFonts w:ascii="Arial" w:cs="Arial" w:eastAsia="Arial" w:hAnsi="Arial"/>
                <w:sz w:val="18"/>
                <w:szCs w:val="18"/>
                <w:color w:val="auto"/>
                <w:w w:val="99"/>
              </w:rPr>
              <w:t>Terence J. Hamilton</w:t>
            </w:r>
          </w:p>
        </w:tc>
        <w:tc>
          <w:tcPr>
            <w:tcW w:w="1360" w:type="dxa"/>
            <w:vAlign w:val="bottom"/>
          </w:tcPr>
          <w:p>
            <w:pPr>
              <w:jc w:val="right"/>
              <w:ind w:right="930"/>
              <w:spacing w:after="0"/>
              <w:rPr>
                <w:sz w:val="20"/>
                <w:szCs w:val="20"/>
                <w:color w:val="auto"/>
              </w:rPr>
            </w:pPr>
            <w:r>
              <w:rPr>
                <w:rFonts w:ascii="Arial" w:cs="Arial" w:eastAsia="Arial" w:hAnsi="Arial"/>
                <w:sz w:val="18"/>
                <w:szCs w:val="18"/>
                <w:color w:val="auto"/>
              </w:rPr>
              <w:t>47</w:t>
            </w:r>
          </w:p>
        </w:tc>
        <w:tc>
          <w:tcPr>
            <w:tcW w:w="3780" w:type="dxa"/>
            <w:vAlign w:val="bottom"/>
          </w:tcPr>
          <w:p>
            <w:pPr>
              <w:ind w:left="400"/>
              <w:spacing w:after="0"/>
              <w:rPr>
                <w:sz w:val="20"/>
                <w:szCs w:val="20"/>
                <w:color w:val="auto"/>
              </w:rPr>
            </w:pPr>
            <w:r>
              <w:rPr>
                <w:rFonts w:ascii="Arial" w:cs="Arial" w:eastAsia="Arial" w:hAnsi="Arial"/>
                <w:sz w:val="18"/>
                <w:szCs w:val="18"/>
                <w:color w:val="auto"/>
              </w:rPr>
              <w:t>Director and VP of Sales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 Stastney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four (4)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a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2012, the board of directors:</w:t>
      </w:r>
    </w:p>
    <w:p>
      <w:pPr>
        <w:spacing w:after="0" w:line="225" w:lineRule="exact"/>
        <w:rPr>
          <w:sz w:val="20"/>
          <w:szCs w:val="20"/>
          <w:color w:val="auto"/>
        </w:rPr>
      </w:pPr>
    </w:p>
    <w:p>
      <w:pPr>
        <w:ind w:left="540" w:hanging="167"/>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540" w:hanging="167"/>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2012 to be included in this Annual Report on Form 10-K and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Transactions not</w:t>
            </w:r>
          </w:p>
        </w:tc>
        <w:tc>
          <w:tcPr>
            <w:tcW w:w="80" w:type="dxa"/>
            <w:vAlign w:val="bottom"/>
          </w:tcPr>
          <w:p>
            <w:pPr>
              <w:spacing w:after="0"/>
              <w:rPr>
                <w:sz w:val="18"/>
                <w:szCs w:val="18"/>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color w:val="auto"/>
              </w:rPr>
              <w:t>Known failures to</w:t>
            </w: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Name and principal position</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late reports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timely reported</w:t>
            </w:r>
          </w:p>
        </w:tc>
        <w:tc>
          <w:tcPr>
            <w:tcW w:w="80" w:type="dxa"/>
            <w:vAlign w:val="bottom"/>
          </w:tcPr>
          <w:p>
            <w:pPr>
              <w:spacing w:after="0"/>
              <w:rPr>
                <w:sz w:val="20"/>
                <w:szCs w:val="20"/>
                <w:color w:val="auto"/>
              </w:rPr>
            </w:pP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file a required form</w:t>
            </w:r>
          </w:p>
        </w:tc>
        <w:tc>
          <w:tcPr>
            <w:tcW w:w="860" w:type="dxa"/>
            <w:vAlign w:val="bottom"/>
          </w:tcPr>
          <w:p>
            <w:pPr>
              <w:spacing w:after="0"/>
              <w:rPr>
                <w:sz w:val="20"/>
                <w:szCs w:val="20"/>
                <w:color w:val="auto"/>
              </w:rPr>
            </w:pPr>
          </w:p>
        </w:tc>
      </w:tr>
      <w:tr>
        <w:trPr>
          <w:trHeight w:val="195"/>
        </w:trPr>
        <w:tc>
          <w:tcPr>
            <w:tcW w:w="880" w:type="dxa"/>
            <w:vAlign w:val="bottom"/>
          </w:tcPr>
          <w:p>
            <w:pPr>
              <w:spacing w:after="0"/>
              <w:rPr>
                <w:sz w:val="16"/>
                <w:szCs w:val="16"/>
                <w:color w:val="auto"/>
              </w:rPr>
            </w:pPr>
          </w:p>
        </w:tc>
        <w:tc>
          <w:tcPr>
            <w:tcW w:w="3000" w:type="dxa"/>
            <w:vAlign w:val="bottom"/>
            <w:shd w:val="clear" w:color="auto" w:fill="CCEECC"/>
          </w:tcPr>
          <w:p>
            <w:pPr>
              <w:ind w:left="80"/>
              <w:spacing w:after="0" w:line="195" w:lineRule="exact"/>
              <w:rPr>
                <w:sz w:val="20"/>
                <w:szCs w:val="20"/>
                <w:color w:val="auto"/>
              </w:rPr>
            </w:pPr>
            <w:r>
              <w:rPr>
                <w:rFonts w:ascii="Arial" w:cs="Arial" w:eastAsia="Arial" w:hAnsi="Arial"/>
                <w:sz w:val="18"/>
                <w:szCs w:val="18"/>
                <w:color w:val="auto"/>
              </w:rPr>
              <w:t>Shad Stastney</w:t>
            </w:r>
          </w:p>
        </w:tc>
        <w:tc>
          <w:tcPr>
            <w:tcW w:w="1660" w:type="dxa"/>
            <w:vAlign w:val="bottom"/>
            <w:gridSpan w:val="2"/>
            <w:shd w:val="clear" w:color="auto" w:fill="CCEECC"/>
          </w:tcPr>
          <w:p>
            <w:pPr>
              <w:jc w:val="right"/>
              <w:ind w:right="1270"/>
              <w:spacing w:after="0" w:line="195" w:lineRule="exact"/>
              <w:rPr>
                <w:sz w:val="20"/>
                <w:szCs w:val="20"/>
                <w:color w:val="auto"/>
              </w:rPr>
            </w:pPr>
            <w:r>
              <w:rPr>
                <w:rFonts w:ascii="Arial" w:cs="Arial" w:eastAsia="Arial" w:hAnsi="Arial"/>
                <w:sz w:val="18"/>
                <w:szCs w:val="18"/>
                <w:color w:val="auto"/>
              </w:rPr>
              <w:t>0</w:t>
            </w:r>
          </w:p>
        </w:tc>
        <w:tc>
          <w:tcPr>
            <w:tcW w:w="2820" w:type="dxa"/>
            <w:vAlign w:val="bottom"/>
            <w:gridSpan w:val="3"/>
            <w:shd w:val="clear" w:color="auto" w:fill="CCEECC"/>
          </w:tcPr>
          <w:p>
            <w:pPr>
              <w:jc w:val="right"/>
              <w:ind w:right="1850"/>
              <w:spacing w:after="0" w:line="195" w:lineRule="exact"/>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CC"/>
          </w:tcPr>
          <w:p>
            <w:pPr>
              <w:jc w:val="right"/>
              <w:ind w:right="1850"/>
              <w:spacing w:after="0" w:line="195" w:lineRule="exact"/>
              <w:rPr>
                <w:sz w:val="20"/>
                <w:szCs w:val="20"/>
                <w:color w:val="auto"/>
              </w:rPr>
            </w:pPr>
            <w:r>
              <w:rPr>
                <w:rFonts w:ascii="Arial" w:cs="Arial" w:eastAsia="Arial" w:hAnsi="Arial"/>
                <w:sz w:val="18"/>
                <w:szCs w:val="18"/>
                <w:color w:val="auto"/>
              </w:rPr>
              <w:t>0</w:t>
            </w:r>
          </w:p>
        </w:tc>
        <w:tc>
          <w:tcPr>
            <w:tcW w:w="860" w:type="dxa"/>
            <w:vAlign w:val="bottom"/>
          </w:tcPr>
          <w:p>
            <w:pPr>
              <w:spacing w:after="0"/>
              <w:rPr>
                <w:sz w:val="16"/>
                <w:szCs w:val="16"/>
                <w:color w:val="auto"/>
              </w:rPr>
            </w:pPr>
          </w:p>
        </w:tc>
      </w:tr>
      <w:tr>
        <w:trPr>
          <w:trHeight w:val="244"/>
        </w:trPr>
        <w:tc>
          <w:tcPr>
            <w:tcW w:w="880" w:type="dxa"/>
            <w:vAlign w:val="bottom"/>
          </w:tcPr>
          <w:p>
            <w:pPr>
              <w:spacing w:after="0"/>
              <w:rPr>
                <w:sz w:val="21"/>
                <w:szCs w:val="21"/>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Chairman, President, CEO and Director</w:t>
            </w:r>
          </w:p>
        </w:tc>
        <w:tc>
          <w:tcPr>
            <w:tcW w:w="120" w:type="dxa"/>
            <w:vAlign w:val="bottom"/>
            <w:shd w:val="clear" w:color="auto" w:fill="CCEECC"/>
          </w:tcPr>
          <w:p>
            <w:pPr>
              <w:spacing w:after="0"/>
              <w:rPr>
                <w:sz w:val="21"/>
                <w:szCs w:val="21"/>
                <w:color w:val="auto"/>
              </w:rPr>
            </w:pPr>
          </w:p>
        </w:tc>
        <w:tc>
          <w:tcPr>
            <w:tcW w:w="1540" w:type="dxa"/>
            <w:vAlign w:val="bottom"/>
            <w:shd w:val="clear" w:color="auto" w:fill="CCEECC"/>
          </w:tcPr>
          <w:p>
            <w:pPr>
              <w:spacing w:after="0"/>
              <w:rPr>
                <w:sz w:val="21"/>
                <w:szCs w:val="21"/>
                <w:color w:val="auto"/>
              </w:rPr>
            </w:pPr>
          </w:p>
        </w:tc>
        <w:tc>
          <w:tcPr>
            <w:tcW w:w="60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60" w:type="dxa"/>
            <w:vAlign w:val="bottom"/>
          </w:tcPr>
          <w:p>
            <w:pPr>
              <w:spacing w:after="0"/>
              <w:rPr>
                <w:sz w:val="21"/>
                <w:szCs w:val="21"/>
                <w:color w:val="auto"/>
              </w:rPr>
            </w:pPr>
          </w:p>
        </w:tc>
      </w:tr>
      <w:tr>
        <w:trPr>
          <w:trHeight w:val="202"/>
        </w:trPr>
        <w:tc>
          <w:tcPr>
            <w:tcW w:w="880" w:type="dxa"/>
            <w:vAlign w:val="bottom"/>
          </w:tcPr>
          <w:p>
            <w:pPr>
              <w:spacing w:after="0"/>
              <w:rPr>
                <w:sz w:val="17"/>
                <w:szCs w:val="17"/>
                <w:color w:val="auto"/>
              </w:rPr>
            </w:pPr>
          </w:p>
        </w:tc>
        <w:tc>
          <w:tcPr>
            <w:tcW w:w="3000" w:type="dxa"/>
            <w:vAlign w:val="bottom"/>
          </w:tcPr>
          <w:p>
            <w:pPr>
              <w:ind w:left="80"/>
              <w:spacing w:after="0" w:line="201" w:lineRule="exact"/>
              <w:rPr>
                <w:sz w:val="20"/>
                <w:szCs w:val="20"/>
                <w:color w:val="auto"/>
              </w:rPr>
            </w:pPr>
            <w:r>
              <w:rPr>
                <w:rFonts w:ascii="Arial" w:cs="Arial" w:eastAsia="Arial" w:hAnsi="Arial"/>
                <w:sz w:val="18"/>
                <w:szCs w:val="18"/>
                <w:color w:val="auto"/>
              </w:rPr>
              <w:t>David Lester</w:t>
            </w:r>
          </w:p>
        </w:tc>
        <w:tc>
          <w:tcPr>
            <w:tcW w:w="1660" w:type="dxa"/>
            <w:vAlign w:val="bottom"/>
            <w:gridSpan w:val="2"/>
          </w:tcPr>
          <w:p>
            <w:pPr>
              <w:jc w:val="right"/>
              <w:ind w:right="1270"/>
              <w:spacing w:after="0" w:line="201" w:lineRule="exact"/>
              <w:rPr>
                <w:sz w:val="20"/>
                <w:szCs w:val="20"/>
                <w:color w:val="auto"/>
              </w:rPr>
            </w:pPr>
            <w:r>
              <w:rPr>
                <w:rFonts w:ascii="Arial" w:cs="Arial" w:eastAsia="Arial" w:hAnsi="Arial"/>
                <w:sz w:val="18"/>
                <w:szCs w:val="18"/>
                <w:color w:val="auto"/>
              </w:rPr>
              <w:t>0</w:t>
            </w:r>
          </w:p>
        </w:tc>
        <w:tc>
          <w:tcPr>
            <w:tcW w:w="2820" w:type="dxa"/>
            <w:vAlign w:val="bottom"/>
            <w:gridSpan w:val="3"/>
          </w:tcPr>
          <w:p>
            <w:pPr>
              <w:jc w:val="right"/>
              <w:ind w:right="1850"/>
              <w:spacing w:after="0" w:line="201" w:lineRule="exact"/>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1850"/>
              <w:spacing w:after="0" w:line="201" w:lineRule="exact"/>
              <w:rPr>
                <w:sz w:val="20"/>
                <w:szCs w:val="20"/>
                <w:color w:val="auto"/>
              </w:rPr>
            </w:pPr>
            <w:r>
              <w:rPr>
                <w:rFonts w:ascii="Arial" w:cs="Arial" w:eastAsia="Arial" w:hAnsi="Arial"/>
                <w:sz w:val="18"/>
                <w:szCs w:val="18"/>
                <w:color w:val="auto"/>
              </w:rPr>
              <w:t>0</w:t>
            </w:r>
          </w:p>
        </w:tc>
        <w:tc>
          <w:tcPr>
            <w:tcW w:w="86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3000" w:type="dxa"/>
            <w:vAlign w:val="bottom"/>
          </w:tcPr>
          <w:p>
            <w:pPr>
              <w:ind w:left="80"/>
              <w:spacing w:after="0"/>
              <w:rPr>
                <w:sz w:val="20"/>
                <w:szCs w:val="20"/>
                <w:color w:val="auto"/>
              </w:rPr>
            </w:pPr>
            <w:r>
              <w:rPr>
                <w:rFonts w:ascii="Arial" w:cs="Arial" w:eastAsia="Arial" w:hAnsi="Arial"/>
                <w:sz w:val="18"/>
                <w:szCs w:val="18"/>
                <w:color w:val="auto"/>
                <w:w w:val="90"/>
              </w:rPr>
              <w:t>COO, Secretary, Treasurer and Director</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80" w:type="dxa"/>
            <w:vAlign w:val="bottom"/>
          </w:tcPr>
          <w:p>
            <w:pPr>
              <w:spacing w:after="0"/>
              <w:rPr>
                <w:sz w:val="18"/>
                <w:szCs w:val="18"/>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rPr>
              <w:t>David A. Harrell</w:t>
            </w:r>
          </w:p>
        </w:tc>
        <w:tc>
          <w:tcPr>
            <w:tcW w:w="1660" w:type="dxa"/>
            <w:vAlign w:val="bottom"/>
            <w:gridSpan w:val="2"/>
            <w:shd w:val="clear" w:color="auto" w:fill="CCEECC"/>
          </w:tcPr>
          <w:p>
            <w:pPr>
              <w:jc w:val="right"/>
              <w:ind w:right="1270"/>
              <w:spacing w:after="0"/>
              <w:rPr>
                <w:sz w:val="20"/>
                <w:szCs w:val="20"/>
                <w:color w:val="auto"/>
              </w:rPr>
            </w:pPr>
            <w:r>
              <w:rPr>
                <w:rFonts w:ascii="Arial" w:cs="Arial" w:eastAsia="Arial" w:hAnsi="Arial"/>
                <w:sz w:val="18"/>
                <w:szCs w:val="18"/>
                <w:color w:val="auto"/>
              </w:rPr>
              <w:t>0</w:t>
            </w:r>
          </w:p>
        </w:tc>
        <w:tc>
          <w:tcPr>
            <w:tcW w:w="2820" w:type="dxa"/>
            <w:vAlign w:val="bottom"/>
            <w:gridSpan w:val="3"/>
            <w:shd w:val="clear" w:color="auto" w:fill="CCEECC"/>
          </w:tcPr>
          <w:p>
            <w:pPr>
              <w:jc w:val="right"/>
              <w:ind w:right="185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CC"/>
          </w:tcPr>
          <w:p>
            <w:pPr>
              <w:jc w:val="right"/>
              <w:ind w:right="185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Vice Chairman, Chief Strategic Officer</w:t>
            </w:r>
          </w:p>
        </w:tc>
        <w:tc>
          <w:tcPr>
            <w:tcW w:w="120" w:type="dxa"/>
            <w:vAlign w:val="bottom"/>
            <w:shd w:val="clear" w:color="auto" w:fill="CCEECC"/>
          </w:tcPr>
          <w:p>
            <w:pPr>
              <w:spacing w:after="0"/>
              <w:rPr>
                <w:sz w:val="18"/>
                <w:szCs w:val="18"/>
                <w:color w:val="auto"/>
              </w:rPr>
            </w:pPr>
          </w:p>
        </w:tc>
        <w:tc>
          <w:tcPr>
            <w:tcW w:w="154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21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12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r>
      <w:tr>
        <w:trPr>
          <w:trHeight w:val="244"/>
        </w:trPr>
        <w:tc>
          <w:tcPr>
            <w:tcW w:w="880" w:type="dxa"/>
            <w:vAlign w:val="bottom"/>
          </w:tcPr>
          <w:p>
            <w:pPr>
              <w:spacing w:after="0"/>
              <w:rPr>
                <w:sz w:val="21"/>
                <w:szCs w:val="21"/>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rPr>
              <w:t>and Director</w:t>
            </w:r>
          </w:p>
        </w:tc>
        <w:tc>
          <w:tcPr>
            <w:tcW w:w="120" w:type="dxa"/>
            <w:vAlign w:val="bottom"/>
            <w:shd w:val="clear" w:color="auto" w:fill="CCEECC"/>
          </w:tcPr>
          <w:p>
            <w:pPr>
              <w:spacing w:after="0"/>
              <w:rPr>
                <w:sz w:val="21"/>
                <w:szCs w:val="21"/>
                <w:color w:val="auto"/>
              </w:rPr>
            </w:pPr>
          </w:p>
        </w:tc>
        <w:tc>
          <w:tcPr>
            <w:tcW w:w="1540" w:type="dxa"/>
            <w:vAlign w:val="bottom"/>
            <w:shd w:val="clear" w:color="auto" w:fill="CCEECC"/>
          </w:tcPr>
          <w:p>
            <w:pPr>
              <w:spacing w:after="0"/>
              <w:rPr>
                <w:sz w:val="21"/>
                <w:szCs w:val="21"/>
                <w:color w:val="auto"/>
              </w:rPr>
            </w:pPr>
          </w:p>
        </w:tc>
        <w:tc>
          <w:tcPr>
            <w:tcW w:w="60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60" w:type="dxa"/>
            <w:vAlign w:val="bottom"/>
          </w:tcPr>
          <w:p>
            <w:pPr>
              <w:spacing w:after="0"/>
              <w:rPr>
                <w:sz w:val="21"/>
                <w:szCs w:val="21"/>
                <w:color w:val="auto"/>
              </w:rPr>
            </w:pPr>
          </w:p>
        </w:tc>
      </w:tr>
      <w:tr>
        <w:trPr>
          <w:trHeight w:val="202"/>
        </w:trPr>
        <w:tc>
          <w:tcPr>
            <w:tcW w:w="880" w:type="dxa"/>
            <w:vAlign w:val="bottom"/>
          </w:tcPr>
          <w:p>
            <w:pPr>
              <w:spacing w:after="0"/>
              <w:rPr>
                <w:sz w:val="17"/>
                <w:szCs w:val="17"/>
                <w:color w:val="auto"/>
              </w:rPr>
            </w:pPr>
          </w:p>
        </w:tc>
        <w:tc>
          <w:tcPr>
            <w:tcW w:w="3000" w:type="dxa"/>
            <w:vAlign w:val="bottom"/>
          </w:tcPr>
          <w:p>
            <w:pPr>
              <w:ind w:left="80"/>
              <w:spacing w:after="0" w:line="201" w:lineRule="exact"/>
              <w:rPr>
                <w:sz w:val="20"/>
                <w:szCs w:val="20"/>
                <w:color w:val="auto"/>
              </w:rPr>
            </w:pPr>
            <w:r>
              <w:rPr>
                <w:rFonts w:ascii="Arial" w:cs="Arial" w:eastAsia="Arial" w:hAnsi="Arial"/>
                <w:sz w:val="18"/>
                <w:szCs w:val="18"/>
                <w:color w:val="auto"/>
              </w:rPr>
              <w:t>Terence J. Hamilton</w:t>
            </w:r>
          </w:p>
        </w:tc>
        <w:tc>
          <w:tcPr>
            <w:tcW w:w="1660" w:type="dxa"/>
            <w:vAlign w:val="bottom"/>
            <w:gridSpan w:val="2"/>
          </w:tcPr>
          <w:p>
            <w:pPr>
              <w:jc w:val="right"/>
              <w:ind w:right="1270"/>
              <w:spacing w:after="0" w:line="201" w:lineRule="exact"/>
              <w:rPr>
                <w:sz w:val="20"/>
                <w:szCs w:val="20"/>
                <w:color w:val="auto"/>
              </w:rPr>
            </w:pPr>
            <w:r>
              <w:rPr>
                <w:rFonts w:ascii="Arial" w:cs="Arial" w:eastAsia="Arial" w:hAnsi="Arial"/>
                <w:sz w:val="18"/>
                <w:szCs w:val="18"/>
                <w:color w:val="auto"/>
              </w:rPr>
              <w:t>0</w:t>
            </w:r>
          </w:p>
        </w:tc>
        <w:tc>
          <w:tcPr>
            <w:tcW w:w="2820" w:type="dxa"/>
            <w:vAlign w:val="bottom"/>
            <w:gridSpan w:val="3"/>
          </w:tcPr>
          <w:p>
            <w:pPr>
              <w:jc w:val="right"/>
              <w:ind w:right="1850"/>
              <w:spacing w:after="0" w:line="201" w:lineRule="exact"/>
              <w:rPr>
                <w:sz w:val="20"/>
                <w:szCs w:val="20"/>
                <w:color w:val="auto"/>
              </w:rPr>
            </w:pPr>
            <w:r>
              <w:rPr>
                <w:rFonts w:ascii="Arial" w:cs="Arial" w:eastAsia="Arial" w:hAnsi="Arial"/>
                <w:sz w:val="18"/>
                <w:szCs w:val="18"/>
                <w:color w:val="auto"/>
              </w:rPr>
              <w:t>0</w:t>
            </w:r>
          </w:p>
        </w:tc>
        <w:tc>
          <w:tcPr>
            <w:tcW w:w="2200" w:type="dxa"/>
            <w:vAlign w:val="bottom"/>
            <w:gridSpan w:val="2"/>
          </w:tcPr>
          <w:p>
            <w:pPr>
              <w:jc w:val="right"/>
              <w:ind w:right="1850"/>
              <w:spacing w:after="0" w:line="201" w:lineRule="exact"/>
              <w:rPr>
                <w:sz w:val="20"/>
                <w:szCs w:val="20"/>
                <w:color w:val="auto"/>
              </w:rPr>
            </w:pPr>
            <w:r>
              <w:rPr>
                <w:rFonts w:ascii="Arial" w:cs="Arial" w:eastAsia="Arial" w:hAnsi="Arial"/>
                <w:sz w:val="18"/>
                <w:szCs w:val="18"/>
                <w:color w:val="auto"/>
              </w:rPr>
              <w:t>0</w:t>
            </w:r>
          </w:p>
        </w:tc>
        <w:tc>
          <w:tcPr>
            <w:tcW w:w="860" w:type="dxa"/>
            <w:vAlign w:val="bottom"/>
          </w:tcPr>
          <w:p>
            <w:pPr>
              <w:spacing w:after="0"/>
              <w:rPr>
                <w:sz w:val="17"/>
                <w:szCs w:val="17"/>
                <w:color w:val="auto"/>
              </w:rPr>
            </w:pPr>
          </w:p>
        </w:tc>
      </w:tr>
      <w:tr>
        <w:trPr>
          <w:trHeight w:val="237"/>
        </w:trPr>
        <w:tc>
          <w:tcPr>
            <w:tcW w:w="880" w:type="dxa"/>
            <w:vAlign w:val="bottom"/>
          </w:tcPr>
          <w:p>
            <w:pPr>
              <w:spacing w:after="0"/>
              <w:rPr>
                <w:sz w:val="20"/>
                <w:szCs w:val="20"/>
                <w:color w:val="auto"/>
              </w:rPr>
            </w:pPr>
          </w:p>
        </w:tc>
        <w:tc>
          <w:tcPr>
            <w:tcW w:w="3000" w:type="dxa"/>
            <w:vAlign w:val="bottom"/>
          </w:tcPr>
          <w:p>
            <w:pPr>
              <w:ind w:left="80"/>
              <w:spacing w:after="0"/>
              <w:rPr>
                <w:sz w:val="20"/>
                <w:szCs w:val="20"/>
                <w:color w:val="auto"/>
              </w:rPr>
            </w:pPr>
            <w:r>
              <w:rPr>
                <w:rFonts w:ascii="Arial" w:cs="Arial" w:eastAsia="Arial" w:hAnsi="Arial"/>
                <w:sz w:val="18"/>
                <w:szCs w:val="18"/>
                <w:color w:val="auto"/>
              </w:rPr>
              <w:t>VP of Sales and Director</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80" w:type="dxa"/>
            <w:vAlign w:val="bottom"/>
          </w:tcPr>
          <w:p>
            <w:pPr>
              <w:spacing w:after="0"/>
              <w:rPr>
                <w:sz w:val="18"/>
                <w:szCs w:val="18"/>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rPr>
              <w:t>Richard Kraniak</w:t>
            </w:r>
          </w:p>
        </w:tc>
        <w:tc>
          <w:tcPr>
            <w:tcW w:w="1660" w:type="dxa"/>
            <w:vAlign w:val="bottom"/>
            <w:gridSpan w:val="2"/>
            <w:shd w:val="clear" w:color="auto" w:fill="CCEECC"/>
          </w:tcPr>
          <w:p>
            <w:pPr>
              <w:jc w:val="right"/>
              <w:ind w:right="1270"/>
              <w:spacing w:after="0"/>
              <w:rPr>
                <w:sz w:val="20"/>
                <w:szCs w:val="20"/>
                <w:color w:val="auto"/>
              </w:rPr>
            </w:pPr>
            <w:r>
              <w:rPr>
                <w:rFonts w:ascii="Arial" w:cs="Arial" w:eastAsia="Arial" w:hAnsi="Arial"/>
                <w:sz w:val="18"/>
                <w:szCs w:val="18"/>
                <w:color w:val="auto"/>
              </w:rPr>
              <w:t>0</w:t>
            </w:r>
          </w:p>
        </w:tc>
        <w:tc>
          <w:tcPr>
            <w:tcW w:w="2820" w:type="dxa"/>
            <w:vAlign w:val="bottom"/>
            <w:gridSpan w:val="3"/>
            <w:shd w:val="clear" w:color="auto" w:fill="CCEECC"/>
          </w:tcPr>
          <w:p>
            <w:pPr>
              <w:jc w:val="right"/>
              <w:ind w:right="1850"/>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CC"/>
          </w:tcPr>
          <w:p>
            <w:pPr>
              <w:jc w:val="right"/>
              <w:ind w:right="185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r>
      <w:tr>
        <w:trPr>
          <w:trHeight w:val="244"/>
        </w:trPr>
        <w:tc>
          <w:tcPr>
            <w:tcW w:w="880" w:type="dxa"/>
            <w:vAlign w:val="bottom"/>
          </w:tcPr>
          <w:p>
            <w:pPr>
              <w:spacing w:after="0"/>
              <w:rPr>
                <w:sz w:val="21"/>
                <w:szCs w:val="21"/>
                <w:color w:val="auto"/>
              </w:rPr>
            </w:pPr>
          </w:p>
        </w:tc>
        <w:tc>
          <w:tcPr>
            <w:tcW w:w="3000" w:type="dxa"/>
            <w:vAlign w:val="bottom"/>
            <w:shd w:val="clear" w:color="auto" w:fill="CCEECC"/>
          </w:tcPr>
          <w:p>
            <w:pPr>
              <w:ind w:left="80"/>
              <w:spacing w:after="0"/>
              <w:rPr>
                <w:sz w:val="20"/>
                <w:szCs w:val="20"/>
                <w:color w:val="auto"/>
              </w:rPr>
            </w:pPr>
            <w:r>
              <w:rPr>
                <w:rFonts w:ascii="Arial" w:cs="Arial" w:eastAsia="Arial" w:hAnsi="Arial"/>
                <w:sz w:val="18"/>
                <w:szCs w:val="18"/>
                <w:color w:val="auto"/>
              </w:rPr>
              <w:t>10% Holder</w:t>
            </w:r>
          </w:p>
        </w:tc>
        <w:tc>
          <w:tcPr>
            <w:tcW w:w="120" w:type="dxa"/>
            <w:vAlign w:val="bottom"/>
            <w:shd w:val="clear" w:color="auto" w:fill="CCEECC"/>
          </w:tcPr>
          <w:p>
            <w:pPr>
              <w:spacing w:after="0"/>
              <w:rPr>
                <w:sz w:val="21"/>
                <w:szCs w:val="21"/>
                <w:color w:val="auto"/>
              </w:rPr>
            </w:pPr>
          </w:p>
        </w:tc>
        <w:tc>
          <w:tcPr>
            <w:tcW w:w="1540" w:type="dxa"/>
            <w:vAlign w:val="bottom"/>
            <w:shd w:val="clear" w:color="auto" w:fill="CCEECC"/>
          </w:tcPr>
          <w:p>
            <w:pPr>
              <w:spacing w:after="0"/>
              <w:rPr>
                <w:sz w:val="21"/>
                <w:szCs w:val="21"/>
                <w:color w:val="auto"/>
              </w:rPr>
            </w:pPr>
          </w:p>
        </w:tc>
        <w:tc>
          <w:tcPr>
            <w:tcW w:w="600" w:type="dxa"/>
            <w:vAlign w:val="bottom"/>
            <w:shd w:val="clear" w:color="auto" w:fill="CCEECC"/>
          </w:tcPr>
          <w:p>
            <w:pPr>
              <w:spacing w:after="0"/>
              <w:rPr>
                <w:sz w:val="21"/>
                <w:szCs w:val="21"/>
                <w:color w:val="auto"/>
              </w:rPr>
            </w:pPr>
          </w:p>
        </w:tc>
        <w:tc>
          <w:tcPr>
            <w:tcW w:w="10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120" w:type="dxa"/>
            <w:vAlign w:val="bottom"/>
            <w:shd w:val="clear" w:color="auto" w:fill="CCEECC"/>
          </w:tcPr>
          <w:p>
            <w:pPr>
              <w:spacing w:after="0"/>
              <w:rPr>
                <w:sz w:val="21"/>
                <w:szCs w:val="21"/>
                <w:color w:val="auto"/>
              </w:rPr>
            </w:pPr>
          </w:p>
        </w:tc>
        <w:tc>
          <w:tcPr>
            <w:tcW w:w="860" w:type="dxa"/>
            <w:vAlign w:val="bottom"/>
          </w:tcPr>
          <w:p>
            <w:pPr>
              <w:spacing w:after="0"/>
              <w:rPr>
                <w:sz w:val="21"/>
                <w:szCs w:val="21"/>
                <w:color w:val="auto"/>
              </w:rPr>
            </w:pPr>
          </w:p>
        </w:tc>
      </w:tr>
      <w:tr>
        <w:trPr>
          <w:trHeight w:val="648"/>
        </w:trPr>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2012, we had not adopted a Code of Ethics for Financial Executives, which would include our principal executive officer, principal financial officer, principal accounting officer or controller, or persons performing similar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2012 and 2011.</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900" w:type="dxa"/>
            <w:vAlign w:val="bottom"/>
            <w:tcBorders>
              <w:top w:val="single" w:sz="8" w:color="auto"/>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80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Option</w:t>
            </w:r>
          </w:p>
        </w:tc>
        <w:tc>
          <w:tcPr>
            <w:tcW w:w="13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Non-Equity</w:t>
            </w:r>
          </w:p>
        </w:tc>
        <w:tc>
          <w:tcPr>
            <w:tcW w:w="13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Nonqualified</w:t>
            </w:r>
          </w:p>
        </w:tc>
        <w:tc>
          <w:tcPr>
            <w:tcW w:w="136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and</w:t>
            </w: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Stock</w:t>
            </w:r>
          </w:p>
        </w:tc>
        <w:tc>
          <w:tcPr>
            <w:tcW w:w="680" w:type="dxa"/>
            <w:vAlign w:val="bottom"/>
            <w:tcBorders>
              <w:right w:val="single" w:sz="8" w:color="auto"/>
            </w:tcBorders>
            <w:vMerge w:val="continue"/>
          </w:tcPr>
          <w:p>
            <w:pPr>
              <w:spacing w:after="0"/>
              <w:rPr>
                <w:sz w:val="15"/>
                <w:szCs w:val="15"/>
                <w:color w:val="auto"/>
              </w:rPr>
            </w:pPr>
          </w:p>
        </w:tc>
        <w:tc>
          <w:tcPr>
            <w:tcW w:w="13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Incentive Plan</w:t>
            </w:r>
          </w:p>
        </w:tc>
        <w:tc>
          <w:tcPr>
            <w:tcW w:w="13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Deferred</w:t>
            </w:r>
          </w:p>
        </w:tc>
        <w:tc>
          <w:tcPr>
            <w:tcW w:w="13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All Other</w:t>
            </w: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principal</w:t>
            </w:r>
          </w:p>
        </w:tc>
        <w:tc>
          <w:tcPr>
            <w:tcW w:w="8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Bonus</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8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6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position</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Year</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Salary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right w:val="single" w:sz="8" w:color="auto"/>
            </w:tcBorders>
          </w:tcPr>
          <w:p>
            <w:pPr>
              <w:jc w:val="center"/>
              <w:spacing w:after="0" w:line="266" w:lineRule="exact"/>
              <w:rPr>
                <w:sz w:val="20"/>
                <w:szCs w:val="20"/>
                <w:color w:val="auto"/>
              </w:rPr>
            </w:pPr>
            <w:r>
              <w:rPr>
                <w:rFonts w:ascii="Arial" w:cs="Arial" w:eastAsia="Arial" w:hAnsi="Arial"/>
                <w:sz w:val="18"/>
                <w:szCs w:val="18"/>
                <w:color w:val="auto"/>
                <w:w w:val="86"/>
              </w:rPr>
              <w:t>($)</w:t>
            </w:r>
            <w:r>
              <w:rPr>
                <w:rFonts w:ascii="Arial" w:cs="Arial" w:eastAsia="Arial" w:hAnsi="Arial"/>
                <w:sz w:val="30"/>
                <w:szCs w:val="30"/>
                <w:color w:val="auto"/>
                <w:w w:val="86"/>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Earnings ($)</w:t>
            </w:r>
          </w:p>
        </w:tc>
        <w:tc>
          <w:tcPr>
            <w:tcW w:w="13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shd w:val="clear" w:color="auto" w:fill="CCEECC"/>
          </w:tcPr>
          <w:p>
            <w:pPr>
              <w:ind w:left="40"/>
              <w:spacing w:after="0" w:line="195" w:lineRule="exact"/>
              <w:rPr>
                <w:sz w:val="20"/>
                <w:szCs w:val="20"/>
                <w:color w:val="auto"/>
              </w:rPr>
            </w:pPr>
            <w:r>
              <w:rPr>
                <w:rFonts w:ascii="Arial" w:cs="Arial" w:eastAsia="Arial" w:hAnsi="Arial"/>
                <w:sz w:val="18"/>
                <w:szCs w:val="18"/>
                <w:color w:val="auto"/>
              </w:rPr>
              <w:t>Shad Stastney</w:t>
            </w:r>
          </w:p>
        </w:tc>
        <w:tc>
          <w:tcPr>
            <w:tcW w:w="80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89"/>
              </w:rPr>
              <w:t>2012</w:t>
            </w:r>
          </w:p>
        </w:tc>
        <w:tc>
          <w:tcPr>
            <w:tcW w:w="82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99"/>
              </w:rPr>
              <w:t>0</w:t>
            </w:r>
          </w:p>
        </w:tc>
        <w:tc>
          <w:tcPr>
            <w:tcW w:w="680" w:type="dxa"/>
            <w:vAlign w:val="bottom"/>
            <w:tcBorders>
              <w:right w:val="single" w:sz="8" w:color="auto"/>
            </w:tcBorders>
            <w:shd w:val="clear" w:color="auto" w:fill="CCEECC"/>
          </w:tcPr>
          <w:p>
            <w:pPr>
              <w:spacing w:after="0"/>
              <w:rPr>
                <w:sz w:val="16"/>
                <w:szCs w:val="16"/>
                <w:color w:val="auto"/>
              </w:rPr>
            </w:pPr>
          </w:p>
        </w:tc>
        <w:tc>
          <w:tcPr>
            <w:tcW w:w="680" w:type="dxa"/>
            <w:vAlign w:val="bottom"/>
            <w:tcBorders>
              <w:right w:val="single" w:sz="8" w:color="auto"/>
            </w:tcBorders>
            <w:shd w:val="clear" w:color="auto" w:fill="CCEECC"/>
          </w:tcPr>
          <w:p>
            <w:pPr>
              <w:spacing w:after="0"/>
              <w:rPr>
                <w:sz w:val="16"/>
                <w:szCs w:val="16"/>
                <w:color w:val="auto"/>
              </w:rPr>
            </w:pPr>
          </w:p>
        </w:tc>
        <w:tc>
          <w:tcPr>
            <w:tcW w:w="68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80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Chairman, President, CEO and</w:t>
            </w:r>
          </w:p>
        </w:tc>
        <w:tc>
          <w:tcPr>
            <w:tcW w:w="800" w:type="dxa"/>
            <w:vAlign w:val="bottom"/>
            <w:tcBorders>
              <w:right w:val="single" w:sz="8" w:color="auto"/>
            </w:tcBorders>
            <w:shd w:val="clear" w:color="auto" w:fill="CCEECC"/>
          </w:tcPr>
          <w:p>
            <w:pPr>
              <w:jc w:val="center"/>
              <w:spacing w:after="0" w:line="217" w:lineRule="exact"/>
              <w:rPr>
                <w:sz w:val="20"/>
                <w:szCs w:val="20"/>
                <w:color w:val="auto"/>
              </w:rPr>
            </w:pPr>
            <w:r>
              <w:rPr>
                <w:rFonts w:ascii="Arial" w:cs="Arial" w:eastAsia="Arial" w:hAnsi="Arial"/>
                <w:sz w:val="16"/>
                <w:szCs w:val="16"/>
                <w:color w:val="auto"/>
                <w:w w:val="92"/>
              </w:rPr>
              <w:t>2011</w:t>
            </w:r>
            <w:r>
              <w:rPr>
                <w:rFonts w:ascii="Arial" w:cs="Arial" w:eastAsia="Arial" w:hAnsi="Arial"/>
                <w:sz w:val="25"/>
                <w:szCs w:val="25"/>
                <w:color w:val="auto"/>
                <w:w w:val="92"/>
                <w:vertAlign w:val="superscript"/>
              </w:rPr>
              <w:t>(1)</w:t>
            </w:r>
          </w:p>
        </w:tc>
        <w:tc>
          <w:tcPr>
            <w:tcW w:w="82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8"/>
              </w:rPr>
              <w:t>7,200</w:t>
            </w:r>
          </w:p>
        </w:tc>
        <w:tc>
          <w:tcPr>
            <w:tcW w:w="680" w:type="dxa"/>
            <w:vAlign w:val="bottom"/>
            <w:tcBorders>
              <w:right w:val="single" w:sz="8" w:color="auto"/>
            </w:tcBorders>
            <w:shd w:val="clear" w:color="auto" w:fill="CCEECC"/>
          </w:tcPr>
          <w:p>
            <w:pPr>
              <w:spacing w:after="0"/>
              <w:rPr>
                <w:sz w:val="18"/>
                <w:szCs w:val="18"/>
                <w:color w:val="auto"/>
              </w:rPr>
            </w:pPr>
          </w:p>
        </w:tc>
        <w:tc>
          <w:tcPr>
            <w:tcW w:w="680" w:type="dxa"/>
            <w:vAlign w:val="bottom"/>
            <w:tcBorders>
              <w:right w:val="single" w:sz="8" w:color="auto"/>
            </w:tcBorders>
            <w:shd w:val="clear" w:color="auto" w:fill="CCEECC"/>
          </w:tcPr>
          <w:p>
            <w:pPr>
              <w:spacing w:after="0"/>
              <w:rPr>
                <w:sz w:val="18"/>
                <w:szCs w:val="18"/>
                <w:color w:val="auto"/>
              </w:rPr>
            </w:pPr>
          </w:p>
        </w:tc>
        <w:tc>
          <w:tcPr>
            <w:tcW w:w="680" w:type="dxa"/>
            <w:vAlign w:val="bottom"/>
            <w:tcBorders>
              <w:right w:val="single" w:sz="8" w:color="auto"/>
            </w:tcBorders>
            <w:shd w:val="clear" w:color="auto" w:fill="CCEECC"/>
          </w:tcPr>
          <w:p>
            <w:pPr>
              <w:spacing w:after="0"/>
              <w:rPr>
                <w:sz w:val="18"/>
                <w:szCs w:val="18"/>
                <w:color w:val="auto"/>
              </w:rPr>
            </w:pPr>
          </w:p>
        </w:tc>
        <w:tc>
          <w:tcPr>
            <w:tcW w:w="1360" w:type="dxa"/>
            <w:vAlign w:val="bottom"/>
            <w:tcBorders>
              <w:right w:val="single" w:sz="8" w:color="auto"/>
            </w:tcBorders>
            <w:shd w:val="clear" w:color="auto" w:fill="CCEECC"/>
          </w:tcPr>
          <w:p>
            <w:pPr>
              <w:spacing w:after="0"/>
              <w:rPr>
                <w:sz w:val="18"/>
                <w:szCs w:val="18"/>
                <w:color w:val="auto"/>
              </w:rPr>
            </w:pPr>
          </w:p>
        </w:tc>
        <w:tc>
          <w:tcPr>
            <w:tcW w:w="1360" w:type="dxa"/>
            <w:vAlign w:val="bottom"/>
            <w:tcBorders>
              <w:right w:val="single" w:sz="8" w:color="auto"/>
            </w:tcBorders>
            <w:shd w:val="clear" w:color="auto" w:fill="CCEECC"/>
          </w:tcPr>
          <w:p>
            <w:pPr>
              <w:spacing w:after="0"/>
              <w:rPr>
                <w:sz w:val="18"/>
                <w:szCs w:val="18"/>
                <w:color w:val="auto"/>
              </w:rPr>
            </w:pPr>
          </w:p>
        </w:tc>
        <w:tc>
          <w:tcPr>
            <w:tcW w:w="1360" w:type="dxa"/>
            <w:vAlign w:val="bottom"/>
            <w:tcBorders>
              <w:right w:val="single" w:sz="8" w:color="auto"/>
            </w:tcBorders>
            <w:shd w:val="clear" w:color="auto" w:fill="CCEECC"/>
          </w:tcPr>
          <w:p>
            <w:pPr>
              <w:spacing w:after="0"/>
              <w:rPr>
                <w:sz w:val="18"/>
                <w:szCs w:val="18"/>
                <w:color w:val="auto"/>
              </w:rPr>
            </w:pPr>
          </w:p>
        </w:tc>
        <w:tc>
          <w:tcPr>
            <w:tcW w:w="80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3"/>
              </w:rPr>
              <w:t>7,200</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bottom w:val="single" w:sz="8" w:color="auto"/>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Director</w:t>
            </w:r>
          </w:p>
        </w:tc>
        <w:tc>
          <w:tcPr>
            <w:tcW w:w="800" w:type="dxa"/>
            <w:vAlign w:val="bottom"/>
            <w:tcBorders>
              <w:bottom w:val="single" w:sz="8" w:color="auto"/>
              <w:right w:val="single" w:sz="8" w:color="auto"/>
            </w:tcBorders>
            <w:shd w:val="clear" w:color="auto" w:fill="CCEECC"/>
          </w:tcPr>
          <w:p>
            <w:pPr>
              <w:spacing w:after="0"/>
              <w:rPr>
                <w:sz w:val="19"/>
                <w:szCs w:val="19"/>
                <w:color w:val="auto"/>
              </w:rPr>
            </w:pPr>
          </w:p>
        </w:tc>
        <w:tc>
          <w:tcPr>
            <w:tcW w:w="820" w:type="dxa"/>
            <w:vAlign w:val="bottom"/>
            <w:tcBorders>
              <w:bottom w:val="single" w:sz="8" w:color="auto"/>
              <w:right w:val="single" w:sz="8" w:color="auto"/>
            </w:tcBorders>
            <w:shd w:val="clear" w:color="auto" w:fill="CCEECC"/>
          </w:tcPr>
          <w:p>
            <w:pPr>
              <w:spacing w:after="0"/>
              <w:rPr>
                <w:sz w:val="19"/>
                <w:szCs w:val="19"/>
                <w:color w:val="auto"/>
              </w:rPr>
            </w:pPr>
          </w:p>
        </w:tc>
        <w:tc>
          <w:tcPr>
            <w:tcW w:w="680" w:type="dxa"/>
            <w:vAlign w:val="bottom"/>
            <w:tcBorders>
              <w:bottom w:val="single" w:sz="8" w:color="auto"/>
              <w:right w:val="single" w:sz="8" w:color="auto"/>
            </w:tcBorders>
            <w:shd w:val="clear" w:color="auto" w:fill="CCEECC"/>
          </w:tcPr>
          <w:p>
            <w:pPr>
              <w:spacing w:after="0"/>
              <w:rPr>
                <w:sz w:val="19"/>
                <w:szCs w:val="19"/>
                <w:color w:val="auto"/>
              </w:rPr>
            </w:pPr>
          </w:p>
        </w:tc>
        <w:tc>
          <w:tcPr>
            <w:tcW w:w="680" w:type="dxa"/>
            <w:vAlign w:val="bottom"/>
            <w:tcBorders>
              <w:bottom w:val="single" w:sz="8" w:color="auto"/>
              <w:right w:val="single" w:sz="8" w:color="auto"/>
            </w:tcBorders>
            <w:shd w:val="clear" w:color="auto" w:fill="CCEECC"/>
          </w:tcPr>
          <w:p>
            <w:pPr>
              <w:spacing w:after="0"/>
              <w:rPr>
                <w:sz w:val="19"/>
                <w:szCs w:val="19"/>
                <w:color w:val="auto"/>
              </w:rPr>
            </w:pPr>
          </w:p>
        </w:tc>
        <w:tc>
          <w:tcPr>
            <w:tcW w:w="680" w:type="dxa"/>
            <w:vAlign w:val="bottom"/>
            <w:tcBorders>
              <w:bottom w:val="single" w:sz="8" w:color="auto"/>
              <w:right w:val="single" w:sz="8" w:color="auto"/>
            </w:tcBorders>
            <w:shd w:val="clear" w:color="auto" w:fill="CCEECC"/>
          </w:tcPr>
          <w:p>
            <w:pPr>
              <w:spacing w:after="0"/>
              <w:rPr>
                <w:sz w:val="19"/>
                <w:szCs w:val="19"/>
                <w:color w:val="auto"/>
              </w:rPr>
            </w:pPr>
          </w:p>
        </w:tc>
        <w:tc>
          <w:tcPr>
            <w:tcW w:w="1360" w:type="dxa"/>
            <w:vAlign w:val="bottom"/>
            <w:tcBorders>
              <w:bottom w:val="single" w:sz="8" w:color="auto"/>
              <w:right w:val="single" w:sz="8" w:color="auto"/>
            </w:tcBorders>
            <w:shd w:val="clear" w:color="auto" w:fill="CCEECC"/>
          </w:tcPr>
          <w:p>
            <w:pPr>
              <w:spacing w:after="0"/>
              <w:rPr>
                <w:sz w:val="19"/>
                <w:szCs w:val="19"/>
                <w:color w:val="auto"/>
              </w:rPr>
            </w:pPr>
          </w:p>
        </w:tc>
        <w:tc>
          <w:tcPr>
            <w:tcW w:w="1360" w:type="dxa"/>
            <w:vAlign w:val="bottom"/>
            <w:tcBorders>
              <w:bottom w:val="single" w:sz="8" w:color="auto"/>
              <w:right w:val="single" w:sz="8" w:color="auto"/>
            </w:tcBorders>
            <w:shd w:val="clear" w:color="auto" w:fill="CCEECC"/>
          </w:tcPr>
          <w:p>
            <w:pPr>
              <w:spacing w:after="0"/>
              <w:rPr>
                <w:sz w:val="19"/>
                <w:szCs w:val="19"/>
                <w:color w:val="auto"/>
              </w:rPr>
            </w:pPr>
          </w:p>
        </w:tc>
        <w:tc>
          <w:tcPr>
            <w:tcW w:w="1360" w:type="dxa"/>
            <w:vAlign w:val="bottom"/>
            <w:tcBorders>
              <w:bottom w:val="single" w:sz="8" w:color="auto"/>
              <w:right w:val="single" w:sz="8" w:color="auto"/>
            </w:tcBorders>
            <w:shd w:val="clear" w:color="auto" w:fill="CCEECC"/>
          </w:tcPr>
          <w:p>
            <w:pPr>
              <w:spacing w:after="0"/>
              <w:rPr>
                <w:sz w:val="19"/>
                <w:szCs w:val="19"/>
                <w:color w:val="auto"/>
              </w:rPr>
            </w:pPr>
          </w:p>
        </w:tc>
        <w:tc>
          <w:tcPr>
            <w:tcW w:w="800" w:type="dxa"/>
            <w:vAlign w:val="bottom"/>
            <w:tcBorders>
              <w:bottom w:val="single" w:sz="8" w:color="auto"/>
              <w:right w:val="single" w:sz="8" w:color="auto"/>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David Lester</w:t>
            </w: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2012</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157,500</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167,500</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COO, Secretary, Treasurer and</w:t>
            </w:r>
          </w:p>
        </w:tc>
        <w:tc>
          <w:tcPr>
            <w:tcW w:w="800" w:type="dxa"/>
            <w:vAlign w:val="bottom"/>
            <w:tcBorders>
              <w:right w:val="single" w:sz="8" w:color="auto"/>
            </w:tcBorders>
          </w:tcPr>
          <w:p>
            <w:pPr>
              <w:jc w:val="right"/>
              <w:ind w:right="171"/>
              <w:spacing w:after="0"/>
              <w:rPr>
                <w:sz w:val="20"/>
                <w:szCs w:val="20"/>
                <w:color w:val="auto"/>
              </w:rPr>
            </w:pPr>
            <w:r>
              <w:rPr>
                <w:rFonts w:ascii="Arial" w:cs="Arial" w:eastAsia="Arial" w:hAnsi="Arial"/>
                <w:sz w:val="18"/>
                <w:szCs w:val="18"/>
                <w:color w:val="auto"/>
              </w:rPr>
              <w:t>2011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157,500</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205,287</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362,787</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shd w:val="clear" w:color="auto" w:fill="CCEECC"/>
          </w:tcPr>
          <w:p>
            <w:pPr>
              <w:ind w:left="40"/>
              <w:spacing w:after="0" w:line="195" w:lineRule="exact"/>
              <w:rPr>
                <w:sz w:val="20"/>
                <w:szCs w:val="20"/>
                <w:color w:val="auto"/>
              </w:rPr>
            </w:pPr>
            <w:r>
              <w:rPr>
                <w:rFonts w:ascii="Arial" w:cs="Arial" w:eastAsia="Arial" w:hAnsi="Arial"/>
                <w:sz w:val="18"/>
                <w:szCs w:val="18"/>
                <w:color w:val="auto"/>
              </w:rPr>
              <w:t>David A. Harrell</w:t>
            </w:r>
          </w:p>
        </w:tc>
        <w:tc>
          <w:tcPr>
            <w:tcW w:w="80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89"/>
              </w:rPr>
              <w:t>2012</w:t>
            </w:r>
          </w:p>
        </w:tc>
        <w:tc>
          <w:tcPr>
            <w:tcW w:w="82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89"/>
              </w:rPr>
              <w:t>166,698</w:t>
            </w:r>
          </w:p>
        </w:tc>
        <w:tc>
          <w:tcPr>
            <w:tcW w:w="68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90"/>
              </w:rPr>
              <w:t>50,000</w:t>
            </w:r>
          </w:p>
        </w:tc>
        <w:tc>
          <w:tcPr>
            <w:tcW w:w="680" w:type="dxa"/>
            <w:vAlign w:val="bottom"/>
            <w:tcBorders>
              <w:right w:val="single" w:sz="8" w:color="auto"/>
            </w:tcBorders>
            <w:shd w:val="clear" w:color="auto" w:fill="CCEECC"/>
          </w:tcPr>
          <w:p>
            <w:pPr>
              <w:spacing w:after="0"/>
              <w:rPr>
                <w:sz w:val="16"/>
                <w:szCs w:val="16"/>
                <w:color w:val="auto"/>
              </w:rPr>
            </w:pPr>
          </w:p>
        </w:tc>
        <w:tc>
          <w:tcPr>
            <w:tcW w:w="68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1360" w:type="dxa"/>
            <w:vAlign w:val="bottom"/>
            <w:tcBorders>
              <w:right w:val="single" w:sz="8" w:color="auto"/>
            </w:tcBorders>
            <w:shd w:val="clear" w:color="auto" w:fill="CCEECC"/>
          </w:tcPr>
          <w:p>
            <w:pPr>
              <w:spacing w:after="0"/>
              <w:rPr>
                <w:sz w:val="16"/>
                <w:szCs w:val="16"/>
                <w:color w:val="auto"/>
              </w:rPr>
            </w:pPr>
          </w:p>
        </w:tc>
        <w:tc>
          <w:tcPr>
            <w:tcW w:w="800" w:type="dxa"/>
            <w:vAlign w:val="bottom"/>
            <w:tcBorders>
              <w:right w:val="single" w:sz="8" w:color="auto"/>
            </w:tcBorders>
            <w:shd w:val="clear" w:color="auto" w:fill="CCEECC"/>
          </w:tcPr>
          <w:p>
            <w:pPr>
              <w:jc w:val="center"/>
              <w:spacing w:after="0" w:line="195" w:lineRule="exact"/>
              <w:rPr>
                <w:sz w:val="20"/>
                <w:szCs w:val="20"/>
                <w:color w:val="auto"/>
              </w:rPr>
            </w:pPr>
            <w:r>
              <w:rPr>
                <w:rFonts w:ascii="Arial" w:cs="Arial" w:eastAsia="Arial" w:hAnsi="Arial"/>
                <w:sz w:val="18"/>
                <w:szCs w:val="18"/>
                <w:color w:val="auto"/>
                <w:w w:val="89"/>
              </w:rPr>
              <w:t>216,698</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Vice Chairman, Chief Strategic</w:t>
            </w:r>
          </w:p>
        </w:tc>
        <w:tc>
          <w:tcPr>
            <w:tcW w:w="80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2011</w:t>
            </w:r>
          </w:p>
        </w:tc>
        <w:tc>
          <w:tcPr>
            <w:tcW w:w="82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163,390</w:t>
            </w:r>
          </w:p>
        </w:tc>
        <w:tc>
          <w:tcPr>
            <w:tcW w:w="68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0"/>
              </w:rPr>
              <w:t>20,500</w:t>
            </w:r>
          </w:p>
        </w:tc>
        <w:tc>
          <w:tcPr>
            <w:tcW w:w="680" w:type="dxa"/>
            <w:vAlign w:val="bottom"/>
            <w:tcBorders>
              <w:right w:val="single" w:sz="8" w:color="auto"/>
            </w:tcBorders>
            <w:shd w:val="clear" w:color="auto" w:fill="CCEECC"/>
          </w:tcPr>
          <w:p>
            <w:pPr>
              <w:spacing w:after="0"/>
              <w:rPr>
                <w:sz w:val="18"/>
                <w:szCs w:val="18"/>
                <w:color w:val="auto"/>
              </w:rPr>
            </w:pPr>
          </w:p>
        </w:tc>
        <w:tc>
          <w:tcPr>
            <w:tcW w:w="68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2"/>
              </w:rPr>
              <w:t>177,165</w:t>
            </w:r>
          </w:p>
        </w:tc>
        <w:tc>
          <w:tcPr>
            <w:tcW w:w="1360" w:type="dxa"/>
            <w:vAlign w:val="bottom"/>
            <w:tcBorders>
              <w:right w:val="single" w:sz="8" w:color="auto"/>
            </w:tcBorders>
            <w:shd w:val="clear" w:color="auto" w:fill="CCEECC"/>
          </w:tcPr>
          <w:p>
            <w:pPr>
              <w:spacing w:after="0"/>
              <w:rPr>
                <w:sz w:val="18"/>
                <w:szCs w:val="18"/>
                <w:color w:val="auto"/>
              </w:rPr>
            </w:pPr>
          </w:p>
        </w:tc>
        <w:tc>
          <w:tcPr>
            <w:tcW w:w="1360" w:type="dxa"/>
            <w:vAlign w:val="bottom"/>
            <w:tcBorders>
              <w:right w:val="single" w:sz="8" w:color="auto"/>
            </w:tcBorders>
            <w:shd w:val="clear" w:color="auto" w:fill="CCEECC"/>
          </w:tcPr>
          <w:p>
            <w:pPr>
              <w:spacing w:after="0"/>
              <w:rPr>
                <w:sz w:val="18"/>
                <w:szCs w:val="18"/>
                <w:color w:val="auto"/>
              </w:rPr>
            </w:pPr>
          </w:p>
        </w:tc>
        <w:tc>
          <w:tcPr>
            <w:tcW w:w="1360" w:type="dxa"/>
            <w:vAlign w:val="bottom"/>
            <w:tcBorders>
              <w:right w:val="single" w:sz="8" w:color="auto"/>
            </w:tcBorders>
            <w:shd w:val="clear" w:color="auto" w:fill="CCEECC"/>
          </w:tcPr>
          <w:p>
            <w:pPr>
              <w:spacing w:after="0"/>
              <w:rPr>
                <w:sz w:val="18"/>
                <w:szCs w:val="18"/>
                <w:color w:val="auto"/>
              </w:rPr>
            </w:pPr>
          </w:p>
        </w:tc>
        <w:tc>
          <w:tcPr>
            <w:tcW w:w="800" w:type="dxa"/>
            <w:vAlign w:val="bottom"/>
            <w:tcBorders>
              <w:right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361,055</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bottom w:val="single" w:sz="8" w:color="auto"/>
              <w:right w:val="single" w:sz="8" w:color="auto"/>
            </w:tcBorders>
            <w:shd w:val="clear" w:color="auto" w:fill="CCEECC"/>
          </w:tcPr>
          <w:p>
            <w:pPr>
              <w:ind w:left="40"/>
              <w:spacing w:after="0"/>
              <w:rPr>
                <w:sz w:val="20"/>
                <w:szCs w:val="20"/>
                <w:color w:val="auto"/>
              </w:rPr>
            </w:pPr>
            <w:r>
              <w:rPr>
                <w:rFonts w:ascii="Arial" w:cs="Arial" w:eastAsia="Arial" w:hAnsi="Arial"/>
                <w:sz w:val="18"/>
                <w:szCs w:val="18"/>
                <w:color w:val="auto"/>
              </w:rPr>
              <w:t>Officer and Director</w:t>
            </w:r>
          </w:p>
        </w:tc>
        <w:tc>
          <w:tcPr>
            <w:tcW w:w="800" w:type="dxa"/>
            <w:vAlign w:val="bottom"/>
            <w:tcBorders>
              <w:bottom w:val="single" w:sz="8" w:color="auto"/>
              <w:right w:val="single" w:sz="8" w:color="auto"/>
            </w:tcBorders>
            <w:shd w:val="clear" w:color="auto" w:fill="CCEECC"/>
          </w:tcPr>
          <w:p>
            <w:pPr>
              <w:spacing w:after="0"/>
              <w:rPr>
                <w:sz w:val="20"/>
                <w:szCs w:val="20"/>
                <w:color w:val="auto"/>
              </w:rPr>
            </w:pPr>
          </w:p>
        </w:tc>
        <w:tc>
          <w:tcPr>
            <w:tcW w:w="820" w:type="dxa"/>
            <w:vAlign w:val="bottom"/>
            <w:tcBorders>
              <w:bottom w:val="single" w:sz="8" w:color="auto"/>
              <w:right w:val="single" w:sz="8" w:color="auto"/>
            </w:tcBorders>
            <w:shd w:val="clear" w:color="auto" w:fill="CCEECC"/>
          </w:tcPr>
          <w:p>
            <w:pPr>
              <w:spacing w:after="0"/>
              <w:rPr>
                <w:sz w:val="20"/>
                <w:szCs w:val="20"/>
                <w:color w:val="auto"/>
              </w:rPr>
            </w:pPr>
          </w:p>
        </w:tc>
        <w:tc>
          <w:tcPr>
            <w:tcW w:w="680" w:type="dxa"/>
            <w:vAlign w:val="bottom"/>
            <w:tcBorders>
              <w:bottom w:val="single" w:sz="8" w:color="auto"/>
              <w:right w:val="single" w:sz="8" w:color="auto"/>
            </w:tcBorders>
            <w:shd w:val="clear" w:color="auto" w:fill="CCEECC"/>
          </w:tcPr>
          <w:p>
            <w:pPr>
              <w:spacing w:after="0"/>
              <w:rPr>
                <w:sz w:val="20"/>
                <w:szCs w:val="20"/>
                <w:color w:val="auto"/>
              </w:rPr>
            </w:pPr>
          </w:p>
        </w:tc>
        <w:tc>
          <w:tcPr>
            <w:tcW w:w="680" w:type="dxa"/>
            <w:vAlign w:val="bottom"/>
            <w:tcBorders>
              <w:bottom w:val="single" w:sz="8" w:color="auto"/>
              <w:right w:val="single" w:sz="8" w:color="auto"/>
            </w:tcBorders>
            <w:shd w:val="clear" w:color="auto" w:fill="CCEECC"/>
          </w:tcPr>
          <w:p>
            <w:pPr>
              <w:spacing w:after="0"/>
              <w:rPr>
                <w:sz w:val="20"/>
                <w:szCs w:val="20"/>
                <w:color w:val="auto"/>
              </w:rPr>
            </w:pPr>
          </w:p>
        </w:tc>
        <w:tc>
          <w:tcPr>
            <w:tcW w:w="680" w:type="dxa"/>
            <w:vAlign w:val="bottom"/>
            <w:tcBorders>
              <w:bottom w:val="single" w:sz="8" w:color="auto"/>
              <w:right w:val="single" w:sz="8" w:color="auto"/>
            </w:tcBorders>
            <w:shd w:val="clear" w:color="auto" w:fill="CCEECC"/>
          </w:tcPr>
          <w:p>
            <w:pPr>
              <w:spacing w:after="0"/>
              <w:rPr>
                <w:sz w:val="20"/>
                <w:szCs w:val="20"/>
                <w:color w:val="auto"/>
              </w:rPr>
            </w:pPr>
          </w:p>
        </w:tc>
        <w:tc>
          <w:tcPr>
            <w:tcW w:w="1360" w:type="dxa"/>
            <w:vAlign w:val="bottom"/>
            <w:tcBorders>
              <w:bottom w:val="single" w:sz="8" w:color="auto"/>
              <w:right w:val="single" w:sz="8" w:color="auto"/>
            </w:tcBorders>
            <w:shd w:val="clear" w:color="auto" w:fill="CCEECC"/>
          </w:tcPr>
          <w:p>
            <w:pPr>
              <w:spacing w:after="0"/>
              <w:rPr>
                <w:sz w:val="20"/>
                <w:szCs w:val="20"/>
                <w:color w:val="auto"/>
              </w:rPr>
            </w:pPr>
          </w:p>
        </w:tc>
        <w:tc>
          <w:tcPr>
            <w:tcW w:w="1360" w:type="dxa"/>
            <w:vAlign w:val="bottom"/>
            <w:tcBorders>
              <w:bottom w:val="single" w:sz="8" w:color="auto"/>
              <w:right w:val="single" w:sz="8" w:color="auto"/>
            </w:tcBorders>
            <w:shd w:val="clear" w:color="auto" w:fill="CCEECC"/>
          </w:tcPr>
          <w:p>
            <w:pPr>
              <w:spacing w:after="0"/>
              <w:rPr>
                <w:sz w:val="20"/>
                <w:szCs w:val="20"/>
                <w:color w:val="auto"/>
              </w:rPr>
            </w:pPr>
          </w:p>
        </w:tc>
        <w:tc>
          <w:tcPr>
            <w:tcW w:w="1360" w:type="dxa"/>
            <w:vAlign w:val="bottom"/>
            <w:tcBorders>
              <w:bottom w:val="single" w:sz="8" w:color="auto"/>
              <w:right w:val="single" w:sz="8" w:color="auto"/>
            </w:tcBorders>
            <w:shd w:val="clear" w:color="auto" w:fill="CCEECC"/>
          </w:tcPr>
          <w:p>
            <w:pPr>
              <w:spacing w:after="0"/>
              <w:rPr>
                <w:sz w:val="20"/>
                <w:szCs w:val="20"/>
                <w:color w:val="auto"/>
              </w:rPr>
            </w:pPr>
          </w:p>
        </w:tc>
        <w:tc>
          <w:tcPr>
            <w:tcW w:w="800" w:type="dxa"/>
            <w:vAlign w:val="bottom"/>
            <w:tcBorders>
              <w:bottom w:val="single" w:sz="8" w:color="auto"/>
              <w:right w:val="single" w:sz="8" w:color="auto"/>
            </w:tcBorders>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Terence J. Hamilton</w:t>
            </w: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2012</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157,500</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7,000</w:t>
            </w: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164,500</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VP of Sales and Director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8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8"/>
              </w:rPr>
              <w:t>157,500</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w:t>
            </w:r>
          </w:p>
        </w:tc>
        <w:tc>
          <w:tcPr>
            <w:tcW w:w="6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143,320</w:t>
            </w: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31,487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347,407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216"/>
        <w:spacing w:after="0"/>
        <w:tabs>
          <w:tab w:leader="none" w:pos="6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Only for his services as a director.</w:t>
      </w:r>
    </w:p>
    <w:p>
      <w:pPr>
        <w:spacing w:after="0" w:line="42" w:lineRule="exact"/>
        <w:rPr>
          <w:rFonts w:ascii="Arial" w:cs="Arial" w:eastAsia="Arial" w:hAnsi="Arial"/>
          <w:sz w:val="26"/>
          <w:szCs w:val="26"/>
          <w:color w:val="auto"/>
          <w:vertAlign w:val="superscript"/>
        </w:rPr>
      </w:pPr>
    </w:p>
    <w:p>
      <w:pPr>
        <w:ind w:left="400" w:right="320" w:firstLine="4"/>
        <w:spacing w:after="0" w:line="213" w:lineRule="auto"/>
        <w:tabs>
          <w:tab w:leader="none" w:pos="6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This amount reflects the dollar amount recognized for financial statement reporting purposes for the fiscal year indicated in accordance with ASC Topic 718 – Stock Compensation, Share Based Payments of awards of restricted stock and stock options, as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right="180" w:firstLine="8"/>
        <w:spacing w:after="0" w:line="25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542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5420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ind w:left="980"/>
              <w:spacing w:after="0"/>
              <w:rPr>
                <w:sz w:val="20"/>
                <w:szCs w:val="20"/>
                <w:color w:val="auto"/>
              </w:rPr>
            </w:pPr>
            <w:r>
              <w:rPr>
                <w:rFonts w:ascii="Arial" w:cs="Arial" w:eastAsia="Arial" w:hAnsi="Arial"/>
                <w:sz w:val="18"/>
                <w:szCs w:val="18"/>
                <w:color w:val="auto"/>
                <w:w w:val="95"/>
              </w:rPr>
              <w:t>OPTION AWARDS</w:t>
            </w:r>
          </w:p>
        </w:tc>
        <w:tc>
          <w:tcPr>
            <w:tcW w:w="10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right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STOCK AWARDS</w:t>
            </w:r>
          </w:p>
        </w:tc>
        <w:tc>
          <w:tcPr>
            <w:tcW w:w="9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980" w:type="dxa"/>
            <w:vAlign w:val="bottom"/>
          </w:tcPr>
          <w:p>
            <w:pPr>
              <w:ind w:left="80"/>
              <w:spacing w:after="0" w:line="195" w:lineRule="exact"/>
              <w:rPr>
                <w:sz w:val="20"/>
                <w:szCs w:val="20"/>
                <w:color w:val="auto"/>
              </w:rPr>
            </w:pPr>
            <w:r>
              <w:rPr>
                <w:rFonts w:ascii="Arial" w:cs="Arial" w:eastAsia="Arial" w:hAnsi="Arial"/>
                <w:sz w:val="18"/>
                <w:szCs w:val="18"/>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Incentive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Market</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Equity</w:t>
            </w:r>
          </w:p>
        </w:tc>
        <w:tc>
          <w:tcPr>
            <w:tcW w:w="980" w:type="dxa"/>
            <w:vAlign w:val="bottom"/>
          </w:tcPr>
          <w:p>
            <w:pPr>
              <w:ind w:left="80"/>
              <w:spacing w:after="0"/>
              <w:rPr>
                <w:sz w:val="20"/>
                <w:szCs w:val="20"/>
                <w:color w:val="auto"/>
              </w:rPr>
            </w:pPr>
            <w:r>
              <w:rPr>
                <w:rFonts w:ascii="Arial" w:cs="Arial" w:eastAsia="Arial" w:hAnsi="Arial"/>
                <w:sz w:val="18"/>
                <w:szCs w:val="18"/>
                <w:color w:val="auto"/>
              </w:rPr>
              <w:t>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Incentive</w:t>
            </w:r>
          </w:p>
        </w:tc>
        <w:tc>
          <w:tcPr>
            <w:tcW w:w="980" w:type="dxa"/>
            <w:vAlign w:val="bottom"/>
          </w:tcPr>
          <w:p>
            <w:pPr>
              <w:ind w:left="80"/>
              <w:spacing w:after="0"/>
              <w:rPr>
                <w:sz w:val="20"/>
                <w:szCs w:val="20"/>
                <w:color w:val="auto"/>
              </w:rPr>
            </w:pPr>
            <w:r>
              <w:rPr>
                <w:rFonts w:ascii="Arial" w:cs="Arial" w:eastAsia="Arial" w:hAnsi="Arial"/>
                <w:sz w:val="18"/>
                <w:szCs w:val="18"/>
                <w:color w:val="auto"/>
              </w:rPr>
              <w:t>Market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Plan</w:t>
            </w:r>
          </w:p>
        </w:tc>
        <w:tc>
          <w:tcPr>
            <w:tcW w:w="980" w:type="dxa"/>
            <w:vAlign w:val="bottom"/>
          </w:tcPr>
          <w:p>
            <w:pPr>
              <w:ind w:left="80"/>
              <w:spacing w:after="0"/>
              <w:rPr>
                <w:sz w:val="20"/>
                <w:szCs w:val="20"/>
                <w:color w:val="auto"/>
              </w:rPr>
            </w:pPr>
            <w:r>
              <w:rPr>
                <w:rFonts w:ascii="Arial" w:cs="Arial" w:eastAsia="Arial" w:hAnsi="Arial"/>
                <w:sz w:val="18"/>
                <w:szCs w:val="18"/>
                <w:color w:val="auto"/>
              </w:rPr>
              <w:t>Payout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Incentive</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Awards:</w:t>
            </w:r>
          </w:p>
        </w:tc>
        <w:tc>
          <w:tcPr>
            <w:tcW w:w="980" w:type="dxa"/>
            <w:vAlign w:val="bottom"/>
          </w:tcPr>
          <w:p>
            <w:pPr>
              <w:ind w:left="80"/>
              <w:spacing w:after="0"/>
              <w:rPr>
                <w:sz w:val="20"/>
                <w:szCs w:val="20"/>
                <w:color w:val="auto"/>
              </w:rPr>
            </w:pPr>
            <w:r>
              <w:rPr>
                <w:rFonts w:ascii="Arial" w:cs="Arial" w:eastAsia="Arial" w:hAnsi="Arial"/>
                <w:sz w:val="18"/>
                <w:szCs w:val="18"/>
                <w:color w:val="auto"/>
              </w:rPr>
              <w:t>Value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Plan</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Units</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Number of</w:t>
            </w:r>
          </w:p>
        </w:tc>
        <w:tc>
          <w:tcPr>
            <w:tcW w:w="980" w:type="dxa"/>
            <w:vAlign w:val="bottom"/>
          </w:tcPr>
          <w:p>
            <w:pPr>
              <w:ind w:left="80"/>
              <w:spacing w:after="0"/>
              <w:rPr>
                <w:sz w:val="20"/>
                <w:szCs w:val="20"/>
                <w:color w:val="auto"/>
              </w:rPr>
            </w:pPr>
            <w:r>
              <w:rPr>
                <w:rFonts w:ascii="Arial" w:cs="Arial" w:eastAsia="Arial" w:hAnsi="Arial"/>
                <w:sz w:val="18"/>
                <w:szCs w:val="18"/>
                <w:color w:val="auto"/>
              </w:rPr>
              <w:t>Unearned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Awards:</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Shares</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Unearned</w:t>
            </w:r>
          </w:p>
        </w:tc>
        <w:tc>
          <w:tcPr>
            <w:tcW w:w="980" w:type="dxa"/>
            <w:vAlign w:val="bottom"/>
          </w:tcPr>
          <w:p>
            <w:pPr>
              <w:ind w:left="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Number of</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Units</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Stock</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Shares,</w:t>
            </w:r>
          </w:p>
        </w:tc>
        <w:tc>
          <w:tcPr>
            <w:tcW w:w="980" w:type="dxa"/>
            <w:vAlign w:val="bottom"/>
          </w:tcPr>
          <w:p>
            <w:pPr>
              <w:ind w:left="80"/>
              <w:spacing w:after="0"/>
              <w:rPr>
                <w:sz w:val="20"/>
                <w:szCs w:val="20"/>
                <w:color w:val="auto"/>
              </w:rPr>
            </w:pPr>
            <w:r>
              <w:rPr>
                <w:rFonts w:ascii="Arial" w:cs="Arial" w:eastAsia="Arial" w:hAnsi="Arial"/>
                <w:sz w:val="18"/>
                <w:szCs w:val="18"/>
                <w:color w:val="auto"/>
              </w:rPr>
              <w:t>Units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Securities</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Securities</w:t>
            </w:r>
          </w:p>
        </w:tc>
        <w:tc>
          <w:tcPr>
            <w:tcW w:w="8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Stock</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That</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Units or</w:t>
            </w:r>
          </w:p>
        </w:tc>
        <w:tc>
          <w:tcPr>
            <w:tcW w:w="980" w:type="dxa"/>
            <w:vAlign w:val="bottom"/>
          </w:tcPr>
          <w:p>
            <w:pPr>
              <w:ind w:left="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Underlying</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Underlying</w:t>
            </w: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Underlying</w:t>
            </w: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Option</w:t>
            </w:r>
          </w:p>
        </w:tc>
        <w:tc>
          <w:tcPr>
            <w:tcW w:w="11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That</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Have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Other Rights</w:t>
            </w:r>
          </w:p>
        </w:tc>
        <w:tc>
          <w:tcPr>
            <w:tcW w:w="980" w:type="dxa"/>
            <w:vAlign w:val="bottom"/>
          </w:tcPr>
          <w:p>
            <w:pPr>
              <w:ind w:left="80"/>
              <w:spacing w:after="0"/>
              <w:rPr>
                <w:sz w:val="20"/>
                <w:szCs w:val="20"/>
                <w:color w:val="auto"/>
              </w:rPr>
            </w:pPr>
            <w:r>
              <w:rPr>
                <w:rFonts w:ascii="Arial" w:cs="Arial" w:eastAsia="Arial" w:hAnsi="Arial"/>
                <w:sz w:val="18"/>
                <w:szCs w:val="18"/>
                <w:color w:val="auto"/>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Unexercised</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Unexercised</w:t>
            </w: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Unexercised</w:t>
            </w: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Exercise</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Option</w:t>
            </w: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Have Not</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Not</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That Have</w:t>
            </w:r>
          </w:p>
        </w:tc>
        <w:tc>
          <w:tcPr>
            <w:tcW w:w="980" w:type="dxa"/>
            <w:vAlign w:val="bottom"/>
          </w:tcPr>
          <w:p>
            <w:pPr>
              <w:ind w:left="80"/>
              <w:spacing w:after="0"/>
              <w:rPr>
                <w:sz w:val="20"/>
                <w:szCs w:val="20"/>
                <w:color w:val="auto"/>
              </w:rPr>
            </w:pPr>
            <w:r>
              <w:rPr>
                <w:rFonts w:ascii="Arial" w:cs="Arial" w:eastAsia="Arial" w:hAnsi="Arial"/>
                <w:sz w:val="18"/>
                <w:szCs w:val="18"/>
                <w:color w:val="auto"/>
              </w:rPr>
              <w:t>That Have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Options (#)</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Options (#)</w:t>
            </w:r>
          </w:p>
        </w:tc>
        <w:tc>
          <w:tcPr>
            <w:tcW w:w="80" w:type="dxa"/>
            <w:vAlign w:val="bottom"/>
          </w:tcPr>
          <w:p>
            <w:pPr>
              <w:spacing w:after="0"/>
              <w:rPr>
                <w:sz w:val="18"/>
                <w:szCs w:val="18"/>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Unearned</w:t>
            </w:r>
          </w:p>
        </w:tc>
        <w:tc>
          <w:tcPr>
            <w:tcW w:w="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Price</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Expiration</w:t>
            </w:r>
          </w:p>
        </w:tc>
        <w:tc>
          <w:tcPr>
            <w:tcW w:w="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Vested</w:t>
            </w:r>
          </w:p>
        </w:tc>
        <w:tc>
          <w:tcPr>
            <w:tcW w:w="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Vested</w:t>
            </w:r>
          </w:p>
        </w:tc>
        <w:tc>
          <w:tcPr>
            <w:tcW w:w="118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Not</w:t>
            </w:r>
          </w:p>
        </w:tc>
        <w:tc>
          <w:tcPr>
            <w:tcW w:w="980" w:type="dxa"/>
            <w:vAlign w:val="bottom"/>
          </w:tcPr>
          <w:p>
            <w:pPr>
              <w:ind w:left="80"/>
              <w:spacing w:after="0"/>
              <w:rPr>
                <w:sz w:val="20"/>
                <w:szCs w:val="20"/>
                <w:color w:val="auto"/>
              </w:rPr>
            </w:pPr>
            <w:r>
              <w:rPr>
                <w:rFonts w:ascii="Arial" w:cs="Arial" w:eastAsia="Arial" w:hAnsi="Arial"/>
                <w:sz w:val="18"/>
                <w:szCs w:val="18"/>
                <w:color w:val="auto"/>
              </w:rPr>
              <w:t>Not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Exercisable</w:t>
            </w: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Unexercisable</w:t>
            </w: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Options (#)</w:t>
            </w:r>
          </w:p>
        </w:tc>
        <w:tc>
          <w:tcPr>
            <w:tcW w:w="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w:t>
            </w:r>
          </w:p>
        </w:tc>
        <w:tc>
          <w:tcPr>
            <w:tcW w:w="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Vested (#)</w:t>
            </w: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Vested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60" w:type="dxa"/>
            <w:vAlign w:val="bottom"/>
            <w:tcBorders>
              <w:right w:val="single" w:sz="8" w:color="auto"/>
            </w:tcBorders>
            <w:shd w:val="clear" w:color="auto" w:fill="CCEECC"/>
          </w:tcPr>
          <w:p>
            <w:pPr>
              <w:ind w:left="120"/>
              <w:spacing w:after="0" w:line="196" w:lineRule="exact"/>
              <w:rPr>
                <w:sz w:val="20"/>
                <w:szCs w:val="20"/>
                <w:color w:val="auto"/>
              </w:rPr>
            </w:pPr>
            <w:r>
              <w:rPr>
                <w:rFonts w:ascii="Arial" w:cs="Arial" w:eastAsia="Arial" w:hAnsi="Arial"/>
                <w:sz w:val="18"/>
                <w:szCs w:val="18"/>
                <w:color w:val="auto"/>
              </w:rPr>
              <w:t>David Lester</w:t>
            </w:r>
          </w:p>
        </w:tc>
        <w:tc>
          <w:tcPr>
            <w:tcW w:w="1140" w:type="dxa"/>
            <w:vAlign w:val="bottom"/>
            <w:tcBorders>
              <w:right w:val="single" w:sz="8" w:color="auto"/>
            </w:tcBorders>
            <w:shd w:val="clear" w:color="auto" w:fill="CCEECC"/>
          </w:tcPr>
          <w:p>
            <w:pPr>
              <w:ind w:left="100"/>
              <w:spacing w:after="0" w:line="196" w:lineRule="exact"/>
              <w:rPr>
                <w:sz w:val="20"/>
                <w:szCs w:val="20"/>
                <w:color w:val="auto"/>
              </w:rPr>
            </w:pPr>
            <w:r>
              <w:rPr>
                <w:rFonts w:ascii="Arial" w:cs="Arial" w:eastAsia="Arial" w:hAnsi="Arial"/>
                <w:sz w:val="18"/>
                <w:szCs w:val="18"/>
                <w:color w:val="auto"/>
              </w:rPr>
              <w:t>375,000</w:t>
            </w:r>
          </w:p>
        </w:tc>
        <w:tc>
          <w:tcPr>
            <w:tcW w:w="1240" w:type="dxa"/>
            <w:vAlign w:val="bottom"/>
            <w:tcBorders>
              <w:right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tcBorders>
              <w:right w:val="single" w:sz="8" w:color="auto"/>
            </w:tcBorders>
            <w:shd w:val="clear" w:color="auto" w:fill="CCEECC"/>
          </w:tcPr>
          <w:p>
            <w:pPr>
              <w:spacing w:after="0"/>
              <w:rPr>
                <w:sz w:val="17"/>
                <w:szCs w:val="17"/>
                <w:color w:val="auto"/>
              </w:rPr>
            </w:pPr>
          </w:p>
        </w:tc>
        <w:tc>
          <w:tcPr>
            <w:tcW w:w="840" w:type="dxa"/>
            <w:vAlign w:val="bottom"/>
            <w:tcBorders>
              <w:right w:val="single" w:sz="8" w:color="auto"/>
            </w:tcBorders>
            <w:shd w:val="clear" w:color="auto" w:fill="CCEECC"/>
          </w:tcPr>
          <w:p>
            <w:pPr>
              <w:ind w:left="80"/>
              <w:spacing w:after="0" w:line="197" w:lineRule="exact"/>
              <w:rPr>
                <w:sz w:val="20"/>
                <w:szCs w:val="20"/>
                <w:color w:val="auto"/>
              </w:rPr>
            </w:pPr>
            <w:r>
              <w:rPr>
                <w:rFonts w:ascii="Arial" w:cs="Arial" w:eastAsia="Arial" w:hAnsi="Arial"/>
                <w:sz w:val="14"/>
                <w:szCs w:val="14"/>
                <w:color w:val="auto"/>
              </w:rPr>
              <w:t>$0.35</w:t>
            </w:r>
            <w:r>
              <w:rPr>
                <w:rFonts w:ascii="Arial" w:cs="Arial" w:eastAsia="Arial" w:hAnsi="Arial"/>
                <w:sz w:val="22"/>
                <w:szCs w:val="22"/>
                <w:color w:val="auto"/>
                <w:vertAlign w:val="superscript"/>
              </w:rPr>
              <w:t>(1)</w:t>
            </w:r>
          </w:p>
        </w:tc>
        <w:tc>
          <w:tcPr>
            <w:tcW w:w="1120" w:type="dxa"/>
            <w:vAlign w:val="bottom"/>
            <w:tcBorders>
              <w:right w:val="single" w:sz="8" w:color="auto"/>
            </w:tcBorders>
            <w:shd w:val="clear" w:color="auto" w:fill="CCEECC"/>
          </w:tcPr>
          <w:p>
            <w:pPr>
              <w:ind w:left="80"/>
              <w:spacing w:after="0" w:line="196" w:lineRule="exact"/>
              <w:rPr>
                <w:sz w:val="20"/>
                <w:szCs w:val="20"/>
                <w:color w:val="auto"/>
              </w:rPr>
            </w:pPr>
            <w:r>
              <w:rPr>
                <w:rFonts w:ascii="Arial" w:cs="Arial" w:eastAsia="Arial" w:hAnsi="Arial"/>
                <w:sz w:val="18"/>
                <w:szCs w:val="18"/>
                <w:color w:val="auto"/>
              </w:rPr>
              <w:t>10/1/14</w:t>
            </w:r>
          </w:p>
        </w:tc>
        <w:tc>
          <w:tcPr>
            <w:tcW w:w="900" w:type="dxa"/>
            <w:vAlign w:val="bottom"/>
            <w:tcBorders>
              <w:right w:val="single" w:sz="8" w:color="auto"/>
            </w:tcBorders>
            <w:shd w:val="clear" w:color="auto" w:fill="CCEECC"/>
          </w:tcPr>
          <w:p>
            <w:pPr>
              <w:spacing w:after="0"/>
              <w:rPr>
                <w:sz w:val="17"/>
                <w:szCs w:val="17"/>
                <w:color w:val="auto"/>
              </w:rPr>
            </w:pPr>
          </w:p>
        </w:tc>
        <w:tc>
          <w:tcPr>
            <w:tcW w:w="800" w:type="dxa"/>
            <w:vAlign w:val="bottom"/>
            <w:tcBorders>
              <w:right w:val="single" w:sz="8" w:color="auto"/>
            </w:tcBorders>
            <w:shd w:val="clear" w:color="auto" w:fill="CCEECC"/>
          </w:tcPr>
          <w:p>
            <w:pPr>
              <w:spacing w:after="0"/>
              <w:rPr>
                <w:sz w:val="17"/>
                <w:szCs w:val="17"/>
                <w:color w:val="auto"/>
              </w:rPr>
            </w:pPr>
          </w:p>
        </w:tc>
        <w:tc>
          <w:tcPr>
            <w:tcW w:w="1180" w:type="dxa"/>
            <w:vAlign w:val="bottom"/>
            <w:tcBorders>
              <w:right w:val="single" w:sz="8" w:color="auto"/>
            </w:tcBorders>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60" w:type="dxa"/>
            <w:vAlign w:val="bottom"/>
            <w:tcBorders>
              <w:right w:val="single" w:sz="8" w:color="auto"/>
            </w:tcBorders>
            <w:shd w:val="clear" w:color="auto" w:fill="CCEECC"/>
          </w:tcPr>
          <w:p>
            <w:pPr>
              <w:spacing w:after="0"/>
              <w:rPr>
                <w:sz w:val="20"/>
                <w:szCs w:val="20"/>
                <w:color w:val="auto"/>
              </w:rPr>
            </w:pPr>
          </w:p>
        </w:tc>
        <w:tc>
          <w:tcPr>
            <w:tcW w:w="1140" w:type="dxa"/>
            <w:vAlign w:val="bottom"/>
            <w:tcBorders>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125,000</w:t>
            </w:r>
          </w:p>
        </w:tc>
        <w:tc>
          <w:tcPr>
            <w:tcW w:w="1240" w:type="dxa"/>
            <w:vAlign w:val="bottom"/>
            <w:tcBorders>
              <w:right w:val="single" w:sz="8" w:color="auto"/>
            </w:tcBorders>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tcBorders>
              <w:right w:val="single" w:sz="8" w:color="auto"/>
            </w:tcBorders>
            <w:shd w:val="clear" w:color="auto" w:fill="CCEECC"/>
          </w:tcPr>
          <w:p>
            <w:pPr>
              <w:spacing w:after="0"/>
              <w:rPr>
                <w:sz w:val="20"/>
                <w:szCs w:val="20"/>
                <w:color w:val="auto"/>
              </w:rPr>
            </w:pPr>
          </w:p>
        </w:tc>
        <w:tc>
          <w:tcPr>
            <w:tcW w:w="840" w:type="dxa"/>
            <w:vAlign w:val="bottom"/>
            <w:tcBorders>
              <w:right w:val="single" w:sz="8" w:color="auto"/>
            </w:tcBorders>
            <w:shd w:val="clear" w:color="auto" w:fill="CCEECC"/>
          </w:tcPr>
          <w:p>
            <w:pPr>
              <w:ind w:left="80"/>
              <w:spacing w:after="0" w:line="231" w:lineRule="exact"/>
              <w:rPr>
                <w:sz w:val="20"/>
                <w:szCs w:val="20"/>
                <w:color w:val="auto"/>
              </w:rPr>
            </w:pPr>
            <w:r>
              <w:rPr>
                <w:rFonts w:ascii="Arial" w:cs="Arial" w:eastAsia="Arial" w:hAnsi="Arial"/>
                <w:sz w:val="16"/>
                <w:szCs w:val="16"/>
                <w:color w:val="auto"/>
              </w:rPr>
              <w:t>$0.35</w:t>
            </w:r>
            <w:r>
              <w:rPr>
                <w:rFonts w:ascii="Arial" w:cs="Arial" w:eastAsia="Arial" w:hAnsi="Arial"/>
                <w:sz w:val="26"/>
                <w:szCs w:val="26"/>
                <w:color w:val="auto"/>
                <w:vertAlign w:val="superscript"/>
              </w:rPr>
              <w:t>(1)</w:t>
            </w:r>
          </w:p>
        </w:tc>
        <w:tc>
          <w:tcPr>
            <w:tcW w:w="112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12/22/14</w:t>
            </w:r>
          </w:p>
        </w:tc>
        <w:tc>
          <w:tcPr>
            <w:tcW w:w="900" w:type="dxa"/>
            <w:vAlign w:val="bottom"/>
            <w:tcBorders>
              <w:right w:val="single" w:sz="8" w:color="auto"/>
            </w:tcBorders>
            <w:shd w:val="clear" w:color="auto" w:fill="CCEECC"/>
          </w:tcPr>
          <w:p>
            <w:pPr>
              <w:spacing w:after="0"/>
              <w:rPr>
                <w:sz w:val="20"/>
                <w:szCs w:val="20"/>
                <w:color w:val="auto"/>
              </w:rPr>
            </w:pPr>
          </w:p>
        </w:tc>
        <w:tc>
          <w:tcPr>
            <w:tcW w:w="800" w:type="dxa"/>
            <w:vAlign w:val="bottom"/>
            <w:tcBorders>
              <w:right w:val="single" w:sz="8" w:color="auto"/>
            </w:tcBorders>
            <w:shd w:val="clear" w:color="auto" w:fill="CCEECC"/>
          </w:tcPr>
          <w:p>
            <w:pPr>
              <w:spacing w:after="0"/>
              <w:rPr>
                <w:sz w:val="20"/>
                <w:szCs w:val="20"/>
                <w:color w:val="auto"/>
              </w:rPr>
            </w:pPr>
          </w:p>
        </w:tc>
        <w:tc>
          <w:tcPr>
            <w:tcW w:w="1180" w:type="dxa"/>
            <w:vAlign w:val="bottom"/>
            <w:tcBorders>
              <w:right w:val="single" w:sz="8" w:color="auto"/>
            </w:tcBorders>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shd w:val="clear" w:color="auto" w:fill="CCEECC"/>
          </w:tcPr>
          <w:p>
            <w:pPr>
              <w:spacing w:after="0"/>
              <w:rPr>
                <w:sz w:val="20"/>
                <w:szCs w:val="20"/>
                <w:color w:val="auto"/>
              </w:rPr>
            </w:pPr>
          </w:p>
        </w:tc>
        <w:tc>
          <w:tcPr>
            <w:tcW w:w="1140" w:type="dxa"/>
            <w:vAlign w:val="bottom"/>
            <w:tcBorders>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55,000</w:t>
            </w:r>
          </w:p>
        </w:tc>
        <w:tc>
          <w:tcPr>
            <w:tcW w:w="1240" w:type="dxa"/>
            <w:vAlign w:val="bottom"/>
            <w:tcBorders>
              <w:right w:val="single" w:sz="8" w:color="auto"/>
            </w:tcBorders>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tcBorders>
              <w:right w:val="single" w:sz="8" w:color="auto"/>
            </w:tcBorders>
            <w:shd w:val="clear" w:color="auto" w:fill="CCEECC"/>
          </w:tcPr>
          <w:p>
            <w:pPr>
              <w:spacing w:after="0"/>
              <w:rPr>
                <w:sz w:val="20"/>
                <w:szCs w:val="20"/>
                <w:color w:val="auto"/>
              </w:rPr>
            </w:pPr>
          </w:p>
        </w:tc>
        <w:tc>
          <w:tcPr>
            <w:tcW w:w="840" w:type="dxa"/>
            <w:vAlign w:val="bottom"/>
            <w:tcBorders>
              <w:right w:val="single" w:sz="8" w:color="auto"/>
            </w:tcBorders>
            <w:vMerge w:val="restart"/>
            <w:shd w:val="clear" w:color="auto" w:fill="CCEECC"/>
          </w:tcPr>
          <w:p>
            <w:pPr>
              <w:ind w:left="80"/>
              <w:spacing w:after="0"/>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5/31/16</w:t>
            </w:r>
          </w:p>
        </w:tc>
        <w:tc>
          <w:tcPr>
            <w:tcW w:w="900" w:type="dxa"/>
            <w:vAlign w:val="bottom"/>
            <w:tcBorders>
              <w:right w:val="single" w:sz="8" w:color="auto"/>
            </w:tcBorders>
            <w:shd w:val="clear" w:color="auto" w:fill="CCEECC"/>
          </w:tcPr>
          <w:p>
            <w:pPr>
              <w:spacing w:after="0"/>
              <w:rPr>
                <w:sz w:val="20"/>
                <w:szCs w:val="20"/>
                <w:color w:val="auto"/>
              </w:rPr>
            </w:pPr>
          </w:p>
        </w:tc>
        <w:tc>
          <w:tcPr>
            <w:tcW w:w="800" w:type="dxa"/>
            <w:vAlign w:val="bottom"/>
            <w:tcBorders>
              <w:right w:val="single" w:sz="8" w:color="auto"/>
            </w:tcBorders>
            <w:shd w:val="clear" w:color="auto" w:fill="CCEECC"/>
          </w:tcPr>
          <w:p>
            <w:pPr>
              <w:spacing w:after="0"/>
              <w:rPr>
                <w:sz w:val="20"/>
                <w:szCs w:val="20"/>
                <w:color w:val="auto"/>
              </w:rPr>
            </w:pPr>
          </w:p>
        </w:tc>
        <w:tc>
          <w:tcPr>
            <w:tcW w:w="1180" w:type="dxa"/>
            <w:vAlign w:val="bottom"/>
            <w:tcBorders>
              <w:right w:val="single" w:sz="8" w:color="auto"/>
            </w:tcBorders>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060" w:type="dxa"/>
            <w:vAlign w:val="bottom"/>
            <w:tcBorders>
              <w:bottom w:val="single" w:sz="8" w:color="auto"/>
              <w:right w:val="single" w:sz="8" w:color="auto"/>
            </w:tcBorders>
            <w:shd w:val="clear" w:color="auto" w:fill="CCEECC"/>
          </w:tcPr>
          <w:p>
            <w:pPr>
              <w:spacing w:after="0"/>
              <w:rPr>
                <w:sz w:val="5"/>
                <w:szCs w:val="5"/>
                <w:color w:val="auto"/>
              </w:rPr>
            </w:pPr>
          </w:p>
        </w:tc>
        <w:tc>
          <w:tcPr>
            <w:tcW w:w="1140" w:type="dxa"/>
            <w:vAlign w:val="bottom"/>
            <w:tcBorders>
              <w:bottom w:val="single" w:sz="8" w:color="auto"/>
              <w:right w:val="single" w:sz="8" w:color="auto"/>
            </w:tcBorders>
            <w:shd w:val="clear" w:color="auto" w:fill="CCEECC"/>
          </w:tcPr>
          <w:p>
            <w:pPr>
              <w:spacing w:after="0"/>
              <w:rPr>
                <w:sz w:val="5"/>
                <w:szCs w:val="5"/>
                <w:color w:val="auto"/>
              </w:rPr>
            </w:pPr>
          </w:p>
        </w:tc>
        <w:tc>
          <w:tcPr>
            <w:tcW w:w="1240" w:type="dxa"/>
            <w:vAlign w:val="bottom"/>
            <w:tcBorders>
              <w:bottom w:val="single" w:sz="8" w:color="auto"/>
              <w:right w:val="single" w:sz="8" w:color="auto"/>
            </w:tcBorders>
            <w:shd w:val="clear" w:color="auto" w:fill="CCEECC"/>
          </w:tcPr>
          <w:p>
            <w:pPr>
              <w:spacing w:after="0"/>
              <w:rPr>
                <w:sz w:val="5"/>
                <w:szCs w:val="5"/>
                <w:color w:val="auto"/>
              </w:rPr>
            </w:pPr>
          </w:p>
        </w:tc>
        <w:tc>
          <w:tcPr>
            <w:tcW w:w="80" w:type="dxa"/>
            <w:vAlign w:val="bottom"/>
            <w:tcBorders>
              <w:bottom w:val="single" w:sz="8" w:color="auto"/>
            </w:tcBorders>
            <w:shd w:val="clear" w:color="auto" w:fill="CCEECC"/>
          </w:tcPr>
          <w:p>
            <w:pPr>
              <w:spacing w:after="0"/>
              <w:rPr>
                <w:sz w:val="5"/>
                <w:szCs w:val="5"/>
                <w:color w:val="auto"/>
              </w:rPr>
            </w:pPr>
          </w:p>
        </w:tc>
        <w:tc>
          <w:tcPr>
            <w:tcW w:w="1060" w:type="dxa"/>
            <w:vAlign w:val="bottom"/>
            <w:tcBorders>
              <w:bottom w:val="single" w:sz="8" w:color="auto"/>
              <w:right w:val="single" w:sz="8" w:color="auto"/>
            </w:tcBorders>
            <w:shd w:val="clear" w:color="auto" w:fill="CCEECC"/>
          </w:tcPr>
          <w:p>
            <w:pPr>
              <w:spacing w:after="0"/>
              <w:rPr>
                <w:sz w:val="5"/>
                <w:szCs w:val="5"/>
                <w:color w:val="auto"/>
              </w:rPr>
            </w:pPr>
          </w:p>
        </w:tc>
        <w:tc>
          <w:tcPr>
            <w:tcW w:w="840" w:type="dxa"/>
            <w:vAlign w:val="bottom"/>
            <w:tcBorders>
              <w:bottom w:val="single" w:sz="8" w:color="auto"/>
              <w:right w:val="single" w:sz="8" w:color="auto"/>
            </w:tcBorders>
            <w:vMerge w:val="continue"/>
            <w:shd w:val="clear" w:color="auto" w:fill="CCEECC"/>
          </w:tcPr>
          <w:p>
            <w:pPr>
              <w:spacing w:after="0"/>
              <w:rPr>
                <w:sz w:val="5"/>
                <w:szCs w:val="5"/>
                <w:color w:val="auto"/>
              </w:rPr>
            </w:pPr>
          </w:p>
        </w:tc>
        <w:tc>
          <w:tcPr>
            <w:tcW w:w="1120" w:type="dxa"/>
            <w:vAlign w:val="bottom"/>
            <w:tcBorders>
              <w:bottom w:val="single" w:sz="8" w:color="auto"/>
              <w:right w:val="single" w:sz="8" w:color="auto"/>
            </w:tcBorders>
            <w:shd w:val="clear" w:color="auto" w:fill="CCEECC"/>
          </w:tcPr>
          <w:p>
            <w:pPr>
              <w:spacing w:after="0"/>
              <w:rPr>
                <w:sz w:val="5"/>
                <w:szCs w:val="5"/>
                <w:color w:val="auto"/>
              </w:rPr>
            </w:pPr>
          </w:p>
        </w:tc>
        <w:tc>
          <w:tcPr>
            <w:tcW w:w="900" w:type="dxa"/>
            <w:vAlign w:val="bottom"/>
            <w:tcBorders>
              <w:bottom w:val="single" w:sz="8" w:color="auto"/>
              <w:right w:val="single" w:sz="8" w:color="auto"/>
            </w:tcBorders>
            <w:shd w:val="clear" w:color="auto" w:fill="CCEECC"/>
          </w:tcPr>
          <w:p>
            <w:pPr>
              <w:spacing w:after="0"/>
              <w:rPr>
                <w:sz w:val="5"/>
                <w:szCs w:val="5"/>
                <w:color w:val="auto"/>
              </w:rPr>
            </w:pPr>
          </w:p>
        </w:tc>
        <w:tc>
          <w:tcPr>
            <w:tcW w:w="800" w:type="dxa"/>
            <w:vAlign w:val="bottom"/>
            <w:tcBorders>
              <w:bottom w:val="single" w:sz="8" w:color="auto"/>
              <w:right w:val="single" w:sz="8" w:color="auto"/>
            </w:tcBorders>
            <w:shd w:val="clear" w:color="auto" w:fill="CCEECC"/>
          </w:tcPr>
          <w:p>
            <w:pPr>
              <w:spacing w:after="0"/>
              <w:rPr>
                <w:sz w:val="5"/>
                <w:szCs w:val="5"/>
                <w:color w:val="auto"/>
              </w:rPr>
            </w:pPr>
          </w:p>
        </w:tc>
        <w:tc>
          <w:tcPr>
            <w:tcW w:w="1180" w:type="dxa"/>
            <w:vAlign w:val="bottom"/>
            <w:tcBorders>
              <w:bottom w:val="single" w:sz="8" w:color="auto"/>
              <w:right w:val="single" w:sz="8" w:color="auto"/>
            </w:tcBorders>
            <w:shd w:val="clear" w:color="auto" w:fill="CCEECC"/>
          </w:tcPr>
          <w:p>
            <w:pPr>
              <w:spacing w:after="0"/>
              <w:rPr>
                <w:sz w:val="5"/>
                <w:szCs w:val="5"/>
                <w:color w:val="auto"/>
              </w:rPr>
            </w:pPr>
          </w:p>
        </w:tc>
        <w:tc>
          <w:tcPr>
            <w:tcW w:w="980" w:type="dxa"/>
            <w:vAlign w:val="bottom"/>
            <w:tcBorders>
              <w:bottom w:val="single" w:sz="8" w:color="auto"/>
            </w:tcBorders>
            <w:shd w:val="clear" w:color="auto" w:fill="CCEECC"/>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David Harrell</w:t>
            </w:r>
          </w:p>
        </w:tc>
        <w:tc>
          <w:tcPr>
            <w:tcW w:w="11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100,000</w:t>
            </w:r>
          </w:p>
        </w:tc>
        <w:tc>
          <w:tcPr>
            <w:tcW w:w="1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3/5/14</w:t>
            </w: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200,000</w:t>
            </w:r>
          </w:p>
        </w:tc>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$1.81</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4/26/15</w:t>
            </w:r>
          </w:p>
        </w:tc>
        <w:tc>
          <w:tcPr>
            <w:tcW w:w="9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102,500</w:t>
            </w:r>
          </w:p>
        </w:tc>
        <w:tc>
          <w:tcPr>
            <w:tcW w:w="12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5/31/16</w:t>
            </w: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60" w:type="dxa"/>
            <w:vAlign w:val="bottom"/>
            <w:tcBorders>
              <w:right w:val="single" w:sz="8" w:color="auto"/>
            </w:tcBorders>
            <w:shd w:val="clear" w:color="auto" w:fill="CCEECC"/>
          </w:tcPr>
          <w:p>
            <w:pPr>
              <w:spacing w:after="0"/>
              <w:rPr>
                <w:sz w:val="16"/>
                <w:szCs w:val="16"/>
                <w:color w:val="auto"/>
              </w:rPr>
            </w:pPr>
          </w:p>
        </w:tc>
        <w:tc>
          <w:tcPr>
            <w:tcW w:w="1140" w:type="dxa"/>
            <w:vAlign w:val="bottom"/>
            <w:tcBorders>
              <w:right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150,000</w:t>
            </w:r>
          </w:p>
        </w:tc>
        <w:tc>
          <w:tcPr>
            <w:tcW w:w="1240" w:type="dxa"/>
            <w:vAlign w:val="bottom"/>
            <w:tcBorders>
              <w:right w:val="single" w:sz="8" w:color="auto"/>
            </w:tcBorders>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1060" w:type="dxa"/>
            <w:vAlign w:val="bottom"/>
            <w:tcBorders>
              <w:right w:val="single" w:sz="8" w:color="auto"/>
            </w:tcBorders>
            <w:shd w:val="clear" w:color="auto" w:fill="CCEECC"/>
          </w:tcPr>
          <w:p>
            <w:pPr>
              <w:spacing w:after="0"/>
              <w:rPr>
                <w:sz w:val="16"/>
                <w:szCs w:val="16"/>
                <w:color w:val="auto"/>
              </w:rPr>
            </w:pPr>
          </w:p>
        </w:tc>
        <w:tc>
          <w:tcPr>
            <w:tcW w:w="840" w:type="dxa"/>
            <w:vAlign w:val="bottom"/>
            <w:tcBorders>
              <w:right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3/5/14</w:t>
            </w:r>
          </w:p>
        </w:tc>
        <w:tc>
          <w:tcPr>
            <w:tcW w:w="900" w:type="dxa"/>
            <w:vAlign w:val="bottom"/>
            <w:tcBorders>
              <w:right w:val="single" w:sz="8" w:color="auto"/>
            </w:tcBorders>
            <w:shd w:val="clear" w:color="auto" w:fill="CCEECC"/>
          </w:tcPr>
          <w:p>
            <w:pPr>
              <w:spacing w:after="0"/>
              <w:rPr>
                <w:sz w:val="16"/>
                <w:szCs w:val="16"/>
                <w:color w:val="auto"/>
              </w:rPr>
            </w:pPr>
          </w:p>
        </w:tc>
        <w:tc>
          <w:tcPr>
            <w:tcW w:w="800" w:type="dxa"/>
            <w:vAlign w:val="bottom"/>
            <w:tcBorders>
              <w:right w:val="single" w:sz="8" w:color="auto"/>
            </w:tcBorders>
            <w:shd w:val="clear" w:color="auto" w:fill="CCEECC"/>
          </w:tcPr>
          <w:p>
            <w:pPr>
              <w:spacing w:after="0"/>
              <w:rPr>
                <w:sz w:val="16"/>
                <w:szCs w:val="16"/>
                <w:color w:val="auto"/>
              </w:rPr>
            </w:pPr>
          </w:p>
        </w:tc>
        <w:tc>
          <w:tcPr>
            <w:tcW w:w="1180" w:type="dxa"/>
            <w:vAlign w:val="bottom"/>
            <w:tcBorders>
              <w:right w:val="single" w:sz="8" w:color="auto"/>
            </w:tcBorders>
            <w:shd w:val="clear" w:color="auto" w:fill="CCEECC"/>
          </w:tcPr>
          <w:p>
            <w:pPr>
              <w:spacing w:after="0"/>
              <w:rPr>
                <w:sz w:val="16"/>
                <w:szCs w:val="16"/>
                <w:color w:val="auto"/>
              </w:rPr>
            </w:pPr>
          </w:p>
        </w:tc>
        <w:tc>
          <w:tcPr>
            <w:tcW w:w="980" w:type="dxa"/>
            <w:vAlign w:val="bottom"/>
            <w:shd w:val="clear" w:color="auto" w:fill="CCEE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right w:val="single" w:sz="8" w:color="auto"/>
            </w:tcBorders>
            <w:shd w:val="clear" w:color="auto" w:fill="CCEECC"/>
          </w:tcPr>
          <w:p>
            <w:pPr>
              <w:ind w:left="120"/>
              <w:spacing w:after="0"/>
              <w:rPr>
                <w:sz w:val="20"/>
                <w:szCs w:val="20"/>
                <w:color w:val="auto"/>
              </w:rPr>
            </w:pPr>
            <w:r>
              <w:rPr>
                <w:rFonts w:ascii="Arial" w:cs="Arial" w:eastAsia="Arial" w:hAnsi="Arial"/>
                <w:sz w:val="18"/>
                <w:szCs w:val="18"/>
                <w:color w:val="auto"/>
              </w:rPr>
              <w:t>Terence J. Hamilton</w:t>
            </w:r>
          </w:p>
        </w:tc>
        <w:tc>
          <w:tcPr>
            <w:tcW w:w="1140" w:type="dxa"/>
            <w:vAlign w:val="bottom"/>
            <w:tcBorders>
              <w:bottom w:val="single" w:sz="8" w:color="auto"/>
              <w:right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127,500</w:t>
            </w:r>
          </w:p>
        </w:tc>
        <w:tc>
          <w:tcPr>
            <w:tcW w:w="1240" w:type="dxa"/>
            <w:vAlign w:val="bottom"/>
            <w:tcBorders>
              <w:bottom w:val="single" w:sz="8" w:color="auto"/>
              <w:right w:val="single" w:sz="8" w:color="auto"/>
            </w:tcBorders>
            <w:shd w:val="clear" w:color="auto" w:fill="CCEECC"/>
          </w:tcPr>
          <w:p>
            <w:pPr>
              <w:spacing w:after="0"/>
              <w:rPr>
                <w:sz w:val="20"/>
                <w:szCs w:val="20"/>
                <w:color w:val="auto"/>
              </w:rPr>
            </w:pPr>
          </w:p>
        </w:tc>
        <w:tc>
          <w:tcPr>
            <w:tcW w:w="80" w:type="dxa"/>
            <w:vAlign w:val="bottom"/>
            <w:tcBorders>
              <w:bottom w:val="single" w:sz="8" w:color="auto"/>
            </w:tcBorders>
            <w:shd w:val="clear" w:color="auto" w:fill="CCEECC"/>
          </w:tcPr>
          <w:p>
            <w:pPr>
              <w:spacing w:after="0"/>
              <w:rPr>
                <w:sz w:val="20"/>
                <w:szCs w:val="20"/>
                <w:color w:val="auto"/>
              </w:rPr>
            </w:pPr>
          </w:p>
        </w:tc>
        <w:tc>
          <w:tcPr>
            <w:tcW w:w="1060" w:type="dxa"/>
            <w:vAlign w:val="bottom"/>
            <w:tcBorders>
              <w:bottom w:val="single" w:sz="8" w:color="auto"/>
              <w:right w:val="single" w:sz="8" w:color="auto"/>
            </w:tcBorders>
            <w:shd w:val="clear" w:color="auto" w:fill="CCEECC"/>
          </w:tcPr>
          <w:p>
            <w:pPr>
              <w:spacing w:after="0"/>
              <w:rPr>
                <w:sz w:val="20"/>
                <w:szCs w:val="20"/>
                <w:color w:val="auto"/>
              </w:rPr>
            </w:pPr>
          </w:p>
        </w:tc>
        <w:tc>
          <w:tcPr>
            <w:tcW w:w="840" w:type="dxa"/>
            <w:vAlign w:val="bottom"/>
            <w:tcBorders>
              <w:bottom w:val="single" w:sz="8" w:color="auto"/>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right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5/31/16</w:t>
            </w:r>
          </w:p>
        </w:tc>
        <w:tc>
          <w:tcPr>
            <w:tcW w:w="900" w:type="dxa"/>
            <w:vAlign w:val="bottom"/>
            <w:tcBorders>
              <w:bottom w:val="single" w:sz="8" w:color="auto"/>
              <w:right w:val="single" w:sz="8" w:color="auto"/>
            </w:tcBorders>
            <w:shd w:val="clear" w:color="auto" w:fill="CCEECC"/>
          </w:tcPr>
          <w:p>
            <w:pPr>
              <w:spacing w:after="0"/>
              <w:rPr>
                <w:sz w:val="20"/>
                <w:szCs w:val="20"/>
                <w:color w:val="auto"/>
              </w:rPr>
            </w:pPr>
          </w:p>
        </w:tc>
        <w:tc>
          <w:tcPr>
            <w:tcW w:w="800" w:type="dxa"/>
            <w:vAlign w:val="bottom"/>
            <w:tcBorders>
              <w:bottom w:val="single" w:sz="8" w:color="auto"/>
              <w:right w:val="single" w:sz="8" w:color="auto"/>
            </w:tcBorders>
            <w:shd w:val="clear" w:color="auto" w:fill="CCEECC"/>
          </w:tcPr>
          <w:p>
            <w:pPr>
              <w:spacing w:after="0"/>
              <w:rPr>
                <w:sz w:val="20"/>
                <w:szCs w:val="20"/>
                <w:color w:val="auto"/>
              </w:rPr>
            </w:pPr>
          </w:p>
        </w:tc>
        <w:tc>
          <w:tcPr>
            <w:tcW w:w="1180" w:type="dxa"/>
            <w:vAlign w:val="bottom"/>
            <w:tcBorders>
              <w:bottom w:val="single" w:sz="8" w:color="auto"/>
              <w:right w:val="single" w:sz="8" w:color="auto"/>
            </w:tcBorders>
            <w:shd w:val="clear" w:color="auto" w:fill="CCEECC"/>
          </w:tcPr>
          <w:p>
            <w:pPr>
              <w:spacing w:after="0"/>
              <w:rPr>
                <w:sz w:val="20"/>
                <w:szCs w:val="20"/>
                <w:color w:val="auto"/>
              </w:rPr>
            </w:pPr>
          </w:p>
        </w:tc>
        <w:tc>
          <w:tcPr>
            <w:tcW w:w="980" w:type="dxa"/>
            <w:vAlign w:val="bottom"/>
            <w:tcBorders>
              <w:bottom w:val="single" w:sz="8" w:color="auto"/>
            </w:tcBorders>
            <w:shd w:val="clear" w:color="auto" w:fill="CCEECC"/>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right"/>
        <w:ind w:left="5620" w:right="5620" w:hanging="5612"/>
        <w:spacing w:after="0" w:line="474" w:lineRule="auto"/>
        <w:tabs>
          <w:tab w:leader="none" w:pos="224"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sets forth certain information known to us with respect to the beneficial ownership of our Common Stock as of March 12, 2013, by (1) 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14,192,496 shares of common stock issued and outstanding on March 13, 2013. Except as otherwise indicated, the address of each person named in this table is c/o OptimizeRx Corporation, 400 Water Street, Ste. 200, Rochester, MI 48307.</w:t>
      </w:r>
    </w:p>
    <w:p>
      <w:pPr>
        <w:sectPr>
          <w:pgSz w:w="11900" w:h="16838" w:orient="portrait"/>
          <w:cols w:equalWidth="0" w:num="1">
            <w:col w:w="11400"/>
          </w:cols>
          <w:pgMar w:left="240" w:top="233" w:right="259" w:bottom="1440" w:gutter="0" w:footer="0" w:header="0"/>
        </w:sectPr>
      </w:pPr>
    </w:p>
    <w:p>
      <w:pPr>
        <w:spacing w:after="0" w:line="38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Title of class</w:t>
            </w:r>
          </w:p>
        </w:tc>
        <w:tc>
          <w:tcPr>
            <w:tcW w:w="600" w:type="dxa"/>
            <w:vAlign w:val="bottom"/>
          </w:tcPr>
          <w:p>
            <w:pPr>
              <w:spacing w:after="0"/>
              <w:rPr>
                <w:sz w:val="17"/>
                <w:szCs w:val="17"/>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Name and address of beneficial owner</w:t>
            </w: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&amp; Directors:</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22"/>
                <w:szCs w:val="22"/>
                <w:color w:val="auto"/>
              </w:rPr>
            </w:pPr>
          </w:p>
        </w:tc>
        <w:tc>
          <w:tcPr>
            <w:tcW w:w="2920" w:type="dxa"/>
            <w:vAlign w:val="bottom"/>
          </w:tcPr>
          <w:p>
            <w:pPr>
              <w:spacing w:after="0" w:line="256" w:lineRule="exact"/>
              <w:rPr>
                <w:sz w:val="20"/>
                <w:szCs w:val="20"/>
                <w:color w:val="auto"/>
              </w:rPr>
            </w:pPr>
            <w:r>
              <w:rPr>
                <w:rFonts w:ascii="Arial" w:cs="Arial" w:eastAsia="Arial" w:hAnsi="Arial"/>
                <w:sz w:val="18"/>
                <w:szCs w:val="18"/>
                <w:color w:val="auto"/>
              </w:rPr>
              <w:t>David Lester</w:t>
            </w:r>
            <w:r>
              <w:rPr>
                <w:rFonts w:ascii="Arial" w:cs="Arial" w:eastAsia="Arial" w:hAnsi="Arial"/>
                <w:sz w:val="29"/>
                <w:szCs w:val="29"/>
                <w:color w:val="auto"/>
                <w:vertAlign w:val="superscript"/>
              </w:rPr>
              <w:t>(1)</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22"/>
                <w:szCs w:val="22"/>
                <w:color w:val="auto"/>
              </w:rPr>
            </w:pPr>
          </w:p>
        </w:tc>
        <w:tc>
          <w:tcPr>
            <w:tcW w:w="2920" w:type="dxa"/>
            <w:vAlign w:val="bottom"/>
          </w:tcPr>
          <w:p>
            <w:pPr>
              <w:spacing w:after="0" w:line="256" w:lineRule="exact"/>
              <w:rPr>
                <w:sz w:val="20"/>
                <w:szCs w:val="20"/>
                <w:color w:val="auto"/>
              </w:rPr>
            </w:pPr>
            <w:r>
              <w:rPr>
                <w:rFonts w:ascii="Arial" w:cs="Arial" w:eastAsia="Arial" w:hAnsi="Arial"/>
                <w:sz w:val="18"/>
                <w:szCs w:val="18"/>
                <w:color w:val="auto"/>
              </w:rPr>
              <w:t>David A. Harrell</w:t>
            </w:r>
            <w:r>
              <w:rPr>
                <w:rFonts w:ascii="Arial" w:cs="Arial" w:eastAsia="Arial" w:hAnsi="Arial"/>
                <w:sz w:val="29"/>
                <w:szCs w:val="29"/>
                <w:color w:val="auto"/>
                <w:vertAlign w:val="superscript"/>
              </w:rPr>
              <w:t>(2)</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22"/>
                <w:szCs w:val="22"/>
                <w:color w:val="auto"/>
              </w:rPr>
            </w:pPr>
          </w:p>
        </w:tc>
        <w:tc>
          <w:tcPr>
            <w:tcW w:w="2920" w:type="dxa"/>
            <w:vAlign w:val="bottom"/>
          </w:tcPr>
          <w:p>
            <w:pPr>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(3)</w:t>
            </w: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Shad Stastney</w:t>
            </w:r>
          </w:p>
        </w:tc>
      </w:tr>
      <w:tr>
        <w:trPr>
          <w:trHeight w:val="234"/>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 of All Directors and Executive Officers:</w:t>
            </w:r>
          </w:p>
        </w:tc>
      </w:tr>
      <w:tr>
        <w:trPr>
          <w:trHeight w:val="418"/>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More Than 5% Beneficial Owners:</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22"/>
                <w:szCs w:val="22"/>
                <w:color w:val="auto"/>
              </w:rPr>
            </w:pPr>
          </w:p>
        </w:tc>
        <w:tc>
          <w:tcPr>
            <w:tcW w:w="2920" w:type="dxa"/>
            <w:vAlign w:val="bottom"/>
          </w:tcPr>
          <w:p>
            <w:pPr>
              <w:spacing w:after="0" w:line="256" w:lineRule="exact"/>
              <w:rPr>
                <w:sz w:val="20"/>
                <w:szCs w:val="20"/>
                <w:color w:val="auto"/>
              </w:rPr>
            </w:pPr>
            <w:r>
              <w:rPr>
                <w:rFonts w:ascii="Arial" w:cs="Arial" w:eastAsia="Arial" w:hAnsi="Arial"/>
                <w:sz w:val="18"/>
                <w:szCs w:val="18"/>
                <w:color w:val="auto"/>
              </w:rPr>
              <w:t>Cypress Trust</w:t>
            </w:r>
            <w:r>
              <w:rPr>
                <w:rFonts w:ascii="Arial" w:cs="Arial" w:eastAsia="Arial" w:hAnsi="Arial"/>
                <w:sz w:val="29"/>
                <w:szCs w:val="29"/>
                <w:color w:val="auto"/>
                <w:vertAlign w:val="superscript"/>
              </w:rPr>
              <w:t>(4)</w:t>
            </w:r>
          </w:p>
        </w:tc>
      </w:tr>
      <w:tr>
        <w:trPr>
          <w:trHeight w:val="394"/>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Vicis Capital Master Fund</w:t>
            </w:r>
            <w:r>
              <w:rPr>
                <w:rFonts w:ascii="Arial" w:cs="Arial" w:eastAsia="Arial" w:hAnsi="Arial"/>
                <w:sz w:val="30"/>
                <w:szCs w:val="30"/>
                <w:color w:val="auto"/>
                <w:vertAlign w:val="superscript"/>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-1440815</wp:posOffset>
            </wp:positionV>
            <wp:extent cx="615759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7595" cy="16319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-1115060</wp:posOffset>
            </wp:positionV>
            <wp:extent cx="615759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7595" cy="16319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-403225</wp:posOffset>
            </wp:positionV>
            <wp:extent cx="615759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Amount of beneficial</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20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ownership</w:t>
            </w:r>
          </w:p>
        </w:tc>
        <w:tc>
          <w:tcPr>
            <w:tcW w:w="1600" w:type="dxa"/>
            <w:vAlign w:val="bottom"/>
            <w:gridSpan w:val="2"/>
          </w:tcPr>
          <w:p>
            <w:pPr>
              <w:ind w:left="420"/>
              <w:spacing w:after="0" w:line="196" w:lineRule="exact"/>
              <w:rPr>
                <w:sz w:val="20"/>
                <w:szCs w:val="20"/>
                <w:color w:val="auto"/>
              </w:rPr>
            </w:pPr>
            <w:r>
              <w:rPr>
                <w:rFonts w:ascii="Arial" w:cs="Arial" w:eastAsia="Arial" w:hAnsi="Arial"/>
                <w:sz w:val="18"/>
                <w:szCs w:val="18"/>
                <w:b w:val="1"/>
                <w:bCs w:val="1"/>
                <w:color w:val="auto"/>
                <w:w w:val="83"/>
              </w:rPr>
              <w:t>Percent of class</w:t>
            </w:r>
          </w:p>
        </w:tc>
      </w:tr>
      <w:tr>
        <w:trPr>
          <w:trHeight w:val="20"/>
        </w:trPr>
        <w:tc>
          <w:tcPr>
            <w:tcW w:w="8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453"/>
        </w:trPr>
        <w:tc>
          <w:tcPr>
            <w:tcW w:w="2020" w:type="dxa"/>
            <w:vAlign w:val="bottom"/>
            <w:gridSpan w:val="3"/>
          </w:tcPr>
          <w:p>
            <w:pPr>
              <w:spacing w:after="0"/>
              <w:rPr>
                <w:sz w:val="20"/>
                <w:szCs w:val="20"/>
                <w:color w:val="auto"/>
              </w:rPr>
            </w:pPr>
            <w:r>
              <w:rPr>
                <w:rFonts w:ascii="Arial" w:cs="Arial" w:eastAsia="Arial" w:hAnsi="Arial"/>
                <w:sz w:val="18"/>
                <w:szCs w:val="18"/>
                <w:color w:val="auto"/>
              </w:rPr>
              <w:t>573,000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3.88%</w:t>
            </w:r>
          </w:p>
        </w:tc>
      </w:tr>
      <w:tr>
        <w:trPr>
          <w:trHeight w:val="257"/>
        </w:trPr>
        <w:tc>
          <w:tcPr>
            <w:tcW w:w="2020" w:type="dxa"/>
            <w:vAlign w:val="bottom"/>
            <w:gridSpan w:val="3"/>
          </w:tcPr>
          <w:p>
            <w:pPr>
              <w:spacing w:after="0"/>
              <w:rPr>
                <w:sz w:val="20"/>
                <w:szCs w:val="20"/>
                <w:color w:val="auto"/>
              </w:rPr>
            </w:pPr>
            <w:r>
              <w:rPr>
                <w:rFonts w:ascii="Arial" w:cs="Arial" w:eastAsia="Arial" w:hAnsi="Arial"/>
                <w:sz w:val="18"/>
                <w:szCs w:val="18"/>
                <w:color w:val="auto"/>
              </w:rPr>
              <w:t>3,538,750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24.24%</w:t>
            </w:r>
          </w:p>
        </w:tc>
      </w:tr>
      <w:tr>
        <w:trPr>
          <w:trHeight w:val="257"/>
        </w:trPr>
        <w:tc>
          <w:tcPr>
            <w:tcW w:w="2020" w:type="dxa"/>
            <w:vAlign w:val="bottom"/>
            <w:gridSpan w:val="3"/>
          </w:tcPr>
          <w:p>
            <w:pPr>
              <w:spacing w:after="0"/>
              <w:rPr>
                <w:sz w:val="20"/>
                <w:szCs w:val="20"/>
                <w:color w:val="auto"/>
              </w:rPr>
            </w:pPr>
            <w:r>
              <w:rPr>
                <w:rFonts w:ascii="Arial" w:cs="Arial" w:eastAsia="Arial" w:hAnsi="Arial"/>
                <w:sz w:val="18"/>
                <w:szCs w:val="18"/>
                <w:color w:val="auto"/>
              </w:rPr>
              <w:t>747,000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5.16%</w:t>
            </w:r>
          </w:p>
        </w:tc>
      </w:tr>
      <w:tr>
        <w:trPr>
          <w:trHeight w:val="238"/>
        </w:trPr>
        <w:tc>
          <w:tcPr>
            <w:tcW w:w="202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0%</w:t>
            </w:r>
          </w:p>
        </w:tc>
      </w:tr>
      <w:tr>
        <w:trPr>
          <w:trHeight w:val="234"/>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rPr>
              <w:t>4,858,750 shares</w:t>
            </w:r>
          </w:p>
        </w:tc>
        <w:tc>
          <w:tcPr>
            <w:tcW w:w="1600" w:type="dxa"/>
            <w:vAlign w:val="bottom"/>
            <w:gridSpan w:val="2"/>
          </w:tcPr>
          <w:p>
            <w:pPr>
              <w:ind w:left="420"/>
              <w:spacing w:after="0"/>
              <w:rPr>
                <w:sz w:val="20"/>
                <w:szCs w:val="20"/>
                <w:color w:val="auto"/>
              </w:rPr>
            </w:pPr>
            <w:r>
              <w:rPr>
                <w:rFonts w:ascii="Arial" w:cs="Arial" w:eastAsia="Arial" w:hAnsi="Arial"/>
                <w:sz w:val="18"/>
                <w:szCs w:val="18"/>
                <w:b w:val="1"/>
                <w:bCs w:val="1"/>
                <w:color w:val="auto"/>
              </w:rPr>
              <w:t>31.49%</w:t>
            </w:r>
          </w:p>
        </w:tc>
      </w:tr>
      <w:tr>
        <w:trPr>
          <w:trHeight w:val="648"/>
        </w:trPr>
        <w:tc>
          <w:tcPr>
            <w:tcW w:w="2020" w:type="dxa"/>
            <w:vAlign w:val="bottom"/>
            <w:gridSpan w:val="3"/>
          </w:tcPr>
          <w:p>
            <w:pPr>
              <w:spacing w:after="0"/>
              <w:rPr>
                <w:sz w:val="20"/>
                <w:szCs w:val="20"/>
                <w:color w:val="auto"/>
              </w:rPr>
            </w:pPr>
            <w:r>
              <w:rPr>
                <w:rFonts w:ascii="Arial" w:cs="Arial" w:eastAsia="Arial" w:hAnsi="Arial"/>
                <w:sz w:val="18"/>
                <w:szCs w:val="18"/>
                <w:color w:val="auto"/>
              </w:rPr>
              <w:t>740,990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5.2%</w:t>
            </w:r>
          </w:p>
        </w:tc>
      </w:tr>
      <w:tr>
        <w:trPr>
          <w:trHeight w:val="257"/>
        </w:trPr>
        <w:tc>
          <w:tcPr>
            <w:tcW w:w="2020" w:type="dxa"/>
            <w:vAlign w:val="bottom"/>
            <w:gridSpan w:val="3"/>
          </w:tcPr>
          <w:p>
            <w:pPr>
              <w:spacing w:after="0"/>
              <w:rPr>
                <w:sz w:val="20"/>
                <w:szCs w:val="20"/>
                <w:color w:val="auto"/>
              </w:rPr>
            </w:pPr>
            <w:r>
              <w:rPr>
                <w:rFonts w:ascii="Arial" w:cs="Arial" w:eastAsia="Arial" w:hAnsi="Arial"/>
                <w:sz w:val="18"/>
                <w:szCs w:val="18"/>
                <w:color w:val="auto"/>
              </w:rPr>
              <w:t>886,340 shares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6.2%</w:t>
            </w:r>
          </w:p>
        </w:tc>
      </w:tr>
    </w:tbl>
    <w:p>
      <w:pPr>
        <w:spacing w:after="0" w:line="242" w:lineRule="exact"/>
        <w:rPr>
          <w:sz w:val="20"/>
          <w:szCs w:val="20"/>
          <w:color w:val="auto"/>
        </w:rPr>
      </w:pPr>
    </w:p>
    <w:p>
      <w:pPr>
        <w:sectPr>
          <w:pgSz w:w="11900" w:h="16838" w:orient="portrait"/>
          <w:cols w:equalWidth="0" w:num="2">
            <w:col w:w="5960" w:space="720"/>
            <w:col w:w="4720"/>
          </w:cols>
          <w:pgMar w:left="240" w:top="233" w:right="259" w:bottom="1440" w:gutter="0" w:footer="0" w:header="0"/>
          <w:type w:val="continuous"/>
        </w:sect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18,000 shares held in his name and warrants to purchase 555,000 shares of common stock at a price of $0.35 per share.</w:t>
      </w:r>
    </w:p>
    <w:p>
      <w:pPr>
        <w:spacing w:after="0" w:line="23" w:lineRule="exact"/>
        <w:rPr>
          <w:rFonts w:ascii="Arial" w:cs="Arial" w:eastAsia="Arial" w:hAnsi="Arial"/>
          <w:sz w:val="18"/>
          <w:szCs w:val="18"/>
          <w:color w:val="auto"/>
        </w:rPr>
      </w:pPr>
    </w:p>
    <w:p>
      <w:pPr>
        <w:ind w:left="700" w:right="540" w:hanging="489"/>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3,136,250 shares held in his name, options to purchase 202,500 shares of common stock at a price of $1.00 per share, and options to purchase 200,000 shares of common stock at $1.81 per share.</w:t>
      </w: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469,500 shares held in his name and options to purchase 277,500 shares of common stock at a price of $1.00 per share.</w:t>
      </w:r>
    </w:p>
    <w:p>
      <w:pPr>
        <w:spacing w:after="0" w:line="9" w:lineRule="exact"/>
        <w:rPr>
          <w:rFonts w:ascii="Arial" w:cs="Arial" w:eastAsia="Arial" w:hAnsi="Arial"/>
          <w:sz w:val="18"/>
          <w:szCs w:val="18"/>
          <w:color w:val="auto"/>
        </w:rPr>
      </w:pPr>
    </w:p>
    <w:p>
      <w:pPr>
        <w:ind w:left="700" w:right="300" w:hanging="489"/>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reported on the Schedule 13D filed by the reporting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2012 or in any presently proposed transaction which, in either case, has or will materially affect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section titled Executive Compensation.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Chief Executive Officer and Director, Shad Stastney, is a partner of Vicis Capital, LLC, which is the investment manager of Vicis Capital Master Fund, our financial partner for some years. Mr. Stastney also owns a minority position in Vicis Capital Master Fund.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91"/>
              </w:rPr>
              <w:t>Financial Statements for the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 Ended December 31</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Audit Services</w:t>
            </w:r>
          </w:p>
        </w:tc>
        <w:tc>
          <w:tcPr>
            <w:tcW w:w="2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Audit Related Fees</w:t>
            </w:r>
          </w:p>
        </w:tc>
        <w:tc>
          <w:tcPr>
            <w:tcW w:w="180" w:type="dxa"/>
            <w:vAlign w:val="bottom"/>
          </w:tcPr>
          <w:p>
            <w:pPr>
              <w:spacing w:after="0"/>
              <w:rPr>
                <w:sz w:val="20"/>
                <w:szCs w:val="20"/>
                <w:color w:val="auto"/>
              </w:rPr>
            </w:pP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Tax Fees</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Other Fees</w:t>
            </w:r>
          </w:p>
        </w:tc>
      </w:tr>
      <w:tr>
        <w:trPr>
          <w:trHeight w:val="210"/>
        </w:trPr>
        <w:tc>
          <w:tcPr>
            <w:tcW w:w="31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24,850</w:t>
            </w:r>
          </w:p>
        </w:tc>
        <w:tc>
          <w:tcPr>
            <w:tcW w:w="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26,800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1560" w:hanging="742"/>
        <w:spacing w:after="0"/>
        <w:tabs>
          <w:tab w:leader="none" w:pos="15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and schedules listed below are included in this Form 10-K.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i w:val="1"/>
                <w:iCs w:val="1"/>
                <w:color w:val="auto"/>
              </w:rPr>
              <w:t>(b)</w:t>
            </w:r>
          </w:p>
        </w:tc>
        <w:tc>
          <w:tcPr>
            <w:tcW w:w="8160" w:type="dxa"/>
            <w:vAlign w:val="bottom"/>
            <w:gridSpan w:val="6"/>
          </w:tcPr>
          <w:p>
            <w:pPr>
              <w:ind w:left="280"/>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7"/>
                <w:szCs w:val="17"/>
                <w:color w:val="auto"/>
              </w:rPr>
            </w:pPr>
          </w:p>
        </w:tc>
        <w:tc>
          <w:tcPr>
            <w:tcW w:w="852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62"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20" w:type="dxa"/>
            <w:vAlign w:val="bottom"/>
            <w:gridSpan w:val="7"/>
          </w:tcPr>
          <w:p>
            <w:pPr>
              <w:spacing w:after="0"/>
              <w:rPr>
                <w:sz w:val="20"/>
                <w:szCs w:val="20"/>
                <w:color w:val="auto"/>
              </w:rPr>
            </w:pPr>
            <w:r>
              <w:rPr>
                <w:rFonts w:ascii="Arial" w:cs="Arial" w:eastAsia="Arial" w:hAnsi="Arial"/>
                <w:sz w:val="18"/>
                <w:szCs w:val="18"/>
                <w:color w:val="auto"/>
                <w:w w:val="95"/>
              </w:rPr>
              <w:t>Certificate of Designation, filed on September 5, 2008, with the Secretary of State of the State of Nevada by the</w:t>
            </w:r>
          </w:p>
        </w:tc>
        <w:tc>
          <w:tcPr>
            <w:tcW w:w="0" w:type="dxa"/>
            <w:vAlign w:val="bottom"/>
          </w:tcPr>
          <w:p>
            <w:pPr>
              <w:spacing w:after="0"/>
              <w:rPr>
                <w:sz w:val="1"/>
                <w:szCs w:val="1"/>
                <w:color w:val="auto"/>
              </w:rPr>
            </w:pPr>
          </w:p>
        </w:tc>
      </w:tr>
      <w:tr>
        <w:trPr>
          <w:trHeight w:val="257"/>
        </w:trPr>
        <w:tc>
          <w:tcPr>
            <w:tcW w:w="64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Company</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3"/>
        </w:trPr>
        <w:tc>
          <w:tcPr>
            <w:tcW w:w="6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20" w:type="dxa"/>
            <w:vAlign w:val="bottom"/>
            <w:gridSpan w:val="7"/>
          </w:tcPr>
          <w:p>
            <w:pPr>
              <w:spacing w:after="0" w:line="253" w:lineRule="exact"/>
              <w:rPr>
                <w:sz w:val="20"/>
                <w:szCs w:val="20"/>
                <w:color w:val="auto"/>
              </w:rPr>
            </w:pPr>
            <w:r>
              <w:rPr>
                <w:rFonts w:ascii="Arial" w:cs="Arial" w:eastAsia="Arial" w:hAnsi="Arial"/>
                <w:sz w:val="18"/>
                <w:szCs w:val="18"/>
                <w:color w:val="auto"/>
              </w:rPr>
              <w:t>Termination Agreement and Release,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Securities Purchase Agreement,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Amended and Restated Guarantee Agreement,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Second Amended and Restated Registration Rights Agreement,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Third Amended and Restated Security Agreement,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Third Amended and Restated Guarantor Security Agreement, dated September 16, 2011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Employment Agreement, dated January 14, 2013</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gridSpan w:val="7"/>
          </w:tcPr>
          <w:p>
            <w:pPr>
              <w:spacing w:after="0" w:line="256" w:lineRule="exact"/>
              <w:rPr>
                <w:sz w:val="20"/>
                <w:szCs w:val="20"/>
                <w:color w:val="auto"/>
              </w:rPr>
            </w:pPr>
            <w:r>
              <w:rPr>
                <w:rFonts w:ascii="Arial" w:cs="Arial" w:eastAsia="Arial" w:hAnsi="Arial"/>
                <w:sz w:val="18"/>
                <w:szCs w:val="18"/>
                <w:color w:val="auto"/>
              </w:rPr>
              <w:t>Employment Agreement, dated January 14, 2013</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9"/>
              </w:rPr>
              <w:t>Patent Assignment, dated February 6, 2013</w:t>
            </w:r>
          </w:p>
        </w:tc>
        <w:tc>
          <w:tcPr>
            <w:tcW w:w="54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20" w:type="dxa"/>
            <w:vAlign w:val="bottom"/>
            <w:gridSpan w:val="7"/>
          </w:tcPr>
          <w:p>
            <w:pPr>
              <w:spacing w:after="0" w:line="196" w:lineRule="exact"/>
              <w:rPr>
                <w:sz w:val="20"/>
                <w:szCs w:val="20"/>
                <w:color w:val="auto"/>
              </w:rPr>
            </w:pPr>
            <w:r>
              <w:rPr>
                <w:rFonts w:ascii="Arial" w:cs="Arial" w:eastAsia="Arial" w:hAnsi="Arial"/>
                <w:sz w:val="18"/>
                <w:szCs w:val="18"/>
                <w:color w:val="0000EE"/>
              </w:rPr>
              <w:t>Assignment, dated February 6, 2013</w:t>
            </w:r>
          </w:p>
        </w:tc>
        <w:tc>
          <w:tcPr>
            <w:tcW w:w="0" w:type="dxa"/>
            <w:vAlign w:val="bottom"/>
          </w:tcPr>
          <w:p>
            <w:pPr>
              <w:spacing w:after="0"/>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20" w:type="dxa"/>
            <w:vAlign w:val="bottom"/>
            <w:tcBorders>
              <w:top w:val="single" w:sz="8" w:color="0000EE"/>
            </w:tcBorders>
            <w:gridSpan w:val="3"/>
          </w:tcPr>
          <w:p>
            <w:pPr>
              <w:spacing w:after="0" w:line="262"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30"/>
                <w:szCs w:val="30"/>
                <w:color w:val="auto"/>
                <w:vertAlign w:val="superscript"/>
              </w:rPr>
              <w:t>1</w:t>
            </w:r>
          </w:p>
        </w:tc>
        <w:tc>
          <w:tcPr>
            <w:tcW w:w="59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20" w:type="dxa"/>
            <w:vAlign w:val="bottom"/>
            <w:gridSpan w:val="7"/>
          </w:tcPr>
          <w:p>
            <w:pPr>
              <w:spacing w:after="0" w:line="190" w:lineRule="exact"/>
              <w:rPr>
                <w:sz w:val="20"/>
                <w:szCs w:val="20"/>
                <w:color w:val="auto"/>
              </w:rPr>
            </w:pPr>
            <w:r>
              <w:rPr>
                <w:rFonts w:ascii="Arial" w:cs="Arial" w:eastAsia="Arial" w:hAnsi="Arial"/>
                <w:sz w:val="18"/>
                <w:szCs w:val="18"/>
                <w:color w:val="0000EE"/>
                <w:w w:val="93"/>
              </w:rPr>
              <w:t>Certification of Chief Executive Officer pursuant to Securities Exchange Act Rule 13a-14(a)/15d-14(a), as adopted</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of Chief Financial Officer pursuant to Securities Exchange Act Rule 13a-14(a)/15d-14(a), as adopted</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20" w:type="dxa"/>
            <w:vAlign w:val="bottom"/>
            <w:gridSpan w:val="7"/>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Certification of Chief Executive Officer and Chief Financial Officer pursuant to 18 U.S.C. Section 1350, as adopted</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20" w:type="dxa"/>
            <w:vAlign w:val="bottom"/>
            <w:gridSpan w:val="7"/>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ind w:right="219"/>
        <w:spacing w:after="0" w:line="23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8-K, filed by the Company with the Securities and Exchange Commission on September 21, 2011.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Incorporated by reference to the Form 8-K, filed by the Company with the Securities and Exchange Commission on January 18, 2013.</w:t>
      </w:r>
    </w:p>
    <w:p>
      <w:pPr>
        <w:ind w:left="120" w:hanging="112"/>
        <w:spacing w:after="0" w:line="206" w:lineRule="auto"/>
        <w:tabs>
          <w:tab w:leader="none" w:pos="12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spacing w:after="0" w:line="1"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6"/>
          <w:szCs w:val="16"/>
          <w:color w:val="auto"/>
        </w:rPr>
        <w:t>5 Incorporated by reference to the Form 8-K, filed by the Company with the Securities and Exchange Commission on January 18, 2013.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 Shad Stastney</w:t>
            </w:r>
          </w:p>
        </w:tc>
        <w:tc>
          <w:tcPr>
            <w:tcW w:w="5580" w:type="dxa"/>
            <w:vAlign w:val="bottom"/>
            <w:gridSpan w:val="2"/>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Shad Stastney</w:t>
            </w:r>
          </w:p>
        </w:tc>
      </w:tr>
      <w:tr>
        <w:trPr>
          <w:trHeight w:val="230"/>
        </w:trPr>
        <w:tc>
          <w:tcPr>
            <w:tcW w:w="92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32"/>
        </w:trPr>
        <w:tc>
          <w:tcPr>
            <w:tcW w:w="9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March 12, 2013</w:t>
            </w:r>
          </w:p>
        </w:tc>
      </w:tr>
      <w:tr>
        <w:trPr>
          <w:trHeight w:val="432"/>
        </w:trPr>
        <w:tc>
          <w:tcPr>
            <w:tcW w:w="9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Lester</w:t>
            </w:r>
          </w:p>
        </w:tc>
        <w:tc>
          <w:tcPr>
            <w:tcW w:w="55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David Lester</w:t>
            </w:r>
          </w:p>
        </w:tc>
      </w:tr>
      <w:tr>
        <w:trPr>
          <w:trHeight w:val="230"/>
        </w:trPr>
        <w:tc>
          <w:tcPr>
            <w:tcW w:w="92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w w:val="93"/>
              </w:rPr>
              <w:t>Chief Financial Officer, Principal Financial Officer, Principal Accounting Officer and Director</w:t>
            </w:r>
          </w:p>
        </w:tc>
      </w:tr>
    </w:tbl>
    <w:p>
      <w:pPr>
        <w:spacing w:after="0" w:line="3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March 12, 2013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David Harrell</w:t>
            </w:r>
          </w:p>
        </w:tc>
      </w:tr>
      <w:tr>
        <w:trPr>
          <w:trHeight w:val="222"/>
        </w:trPr>
        <w:tc>
          <w:tcPr>
            <w:tcW w:w="9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David Harrell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220" w:type="dxa"/>
            <w:vAlign w:val="bottom"/>
            <w:gridSpan w:val="2"/>
          </w:tcPr>
          <w:p>
            <w:pPr>
              <w:spacing w:after="0"/>
              <w:rPr>
                <w:sz w:val="20"/>
                <w:szCs w:val="20"/>
                <w:color w:val="auto"/>
              </w:rPr>
            </w:pPr>
            <w:r>
              <w:rPr>
                <w:rFonts w:ascii="Arial" w:cs="Arial" w:eastAsia="Arial" w:hAnsi="Arial"/>
                <w:sz w:val="18"/>
                <w:szCs w:val="18"/>
                <w:color w:val="auto"/>
                <w:w w:val="95"/>
              </w:rPr>
              <w:t>March 12, 2013</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6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1220" w:type="dxa"/>
            <w:vAlign w:val="bottom"/>
            <w:gridSpan w:val="2"/>
          </w:tcPr>
          <w:p>
            <w:pPr>
              <w:spacing w:after="0"/>
              <w:rPr>
                <w:sz w:val="20"/>
                <w:szCs w:val="20"/>
                <w:color w:val="auto"/>
              </w:rPr>
            </w:pPr>
            <w:r>
              <w:rPr>
                <w:rFonts w:ascii="Arial" w:cs="Arial" w:eastAsia="Arial" w:hAnsi="Arial"/>
                <w:sz w:val="18"/>
                <w:szCs w:val="18"/>
                <w:color w:val="auto"/>
                <w:w w:val="95"/>
              </w:rPr>
              <w:t>March 12, 2013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PATENT ASSIGNMENT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OptimizeRx Corporation, a Nevada Corporation, with a place of business at 407 Sixth Street, Rochester, Michigan,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"ASSIGNOR") is the owner of U.S. Provisional Application No. 611277,161 , for "Method of Distributing and Tracking Prescription Drug Samples and Saving Coupons for Prescriptions Via the Internet";</w:t>
      </w:r>
    </w:p>
    <w:p>
      <w:pPr>
        <w:spacing w:after="0" w:line="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b w:val="1"/>
          <w:bCs w:val="1"/>
          <w:color w:val="auto"/>
        </w:rPr>
        <w:t xml:space="preserve">WHEREAS, ASSIGNOR </w:t>
      </w:r>
      <w:r>
        <w:rPr>
          <w:rFonts w:ascii="Arial" w:cs="Arial" w:eastAsia="Arial" w:hAnsi="Arial"/>
          <w:sz w:val="17"/>
          <w:szCs w:val="17"/>
          <w:color w:val="auto"/>
        </w:rPr>
        <w:t>desires to assign all right, title and interest in and to U.S. Patent Provisional Application No. 61 /277,161 to OptimizeRx</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 Michigan Corporation, with a place of business at 407 Sixth Street, Rochester, Michigan (hereinafter "ASSIGNEE"); and</w:t>
      </w:r>
    </w:p>
    <w:p>
      <w:pPr>
        <w:ind w:left="660"/>
        <w:spacing w:after="0"/>
        <w:rPr>
          <w:sz w:val="20"/>
          <w:szCs w:val="20"/>
          <w:color w:val="auto"/>
        </w:rPr>
      </w:pPr>
      <w:r>
        <w:rPr>
          <w:rFonts w:ascii="Arial" w:cs="Arial" w:eastAsia="Arial" w:hAnsi="Arial"/>
          <w:sz w:val="17"/>
          <w:szCs w:val="17"/>
          <w:b w:val="1"/>
          <w:bCs w:val="1"/>
          <w:color w:val="auto"/>
        </w:rPr>
        <w:t xml:space="preserve">WHEREAS, ASSIGNEE </w:t>
      </w:r>
      <w:r>
        <w:rPr>
          <w:rFonts w:ascii="Arial" w:cs="Arial" w:eastAsia="Arial" w:hAnsi="Arial"/>
          <w:sz w:val="17"/>
          <w:szCs w:val="17"/>
          <w:color w:val="auto"/>
        </w:rPr>
        <w:t>is desirous of acquiring the entire right, title and interest in and to U.S. Provisional Application No. 61/277,161 ;</w:t>
      </w:r>
    </w:p>
    <w:p>
      <w:pPr>
        <w:spacing w:after="0" w:line="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sum of One Dollar ($1 .00) and other good and valuable consideration, the receipt and adequacy of all</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are hereby acknowledged, ASSIGNOR agrees to assign, and hereby does assign, effective February 6, 2013, all right, title, and interest in and to U.S. Provisional Application No. 61/277,161 , together with any utility applications that claim priority, continuations, continuations in part, divisionals, reissues, reexaminations, and extensions thereof, including the right to claim priority under the laws of the United States, the Paris Convention, and any foreign countries, and further, including the right to sue for and to recover for past infringements thereof, unto said ASSIGNEE, its successors and assigns.</w:t>
      </w:r>
    </w:p>
    <w:p>
      <w:pPr>
        <w:spacing w:after="0" w:line="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ASSIGNOR represents that at the time of execution of this Patent Assignment, ASSIGNOR is the owner of all right, title, and interest in and to U.S. Provisional Application No. 61/277,161 , and that ASSIGNOR has not assigned, transferred, licensed or encumbered ASSIGNOR'S rights therein, and that ASSIGNOR will not hereafter assign or attempt to assign any rights therein, or take any other action inconsistent with this Patent Assignment.</w:t>
      </w:r>
    </w:p>
    <w:p>
      <w:pPr>
        <w:spacing w:after="0" w:line="1"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7"/>
          <w:szCs w:val="17"/>
          <w:color w:val="auto"/>
        </w:rPr>
        <w:t>ASSIGNOR agrees to execute such further documents and take such acts as reasonably required by ASSIGNEE or ASSIGNEE'S successor to secure and enforce ASSIGNEE's rights in U.S. Provisional Application No. 61/277,161 , including but not limited to further assignments.</w:t>
      </w:r>
    </w:p>
    <w:p>
      <w:pPr>
        <w:spacing w:after="0" w:line="16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OPTIMIZERx CORPORATION, a</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Nevada Corporation</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Shad Stastney</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CEO-OptimizeRx Corporation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2/6/2013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STATE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15"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On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2013, before me, a Notary Public, within and for the County of New York, State of New York, personally appeared Shad Stastney, to me known to be the person described in and who acknowledged executing the forgoing instrument as a free act and deed, and who also represented that he is authorized to execute the same.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TESTIMONY WHEREOF, I have hereunto set my hand and seal the date and year last above written.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Andrew Comito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Sept 15,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David A. Harrell, a citizen of the State of Michigan, residing at Shelby Township, Michigan (hereinafter referred to as "ASSIGNOR')</w:t>
      </w:r>
      <w:r>
        <w:rPr>
          <w:rFonts w:ascii="Arial" w:cs="Arial" w:eastAsia="Arial" w:hAnsi="Arial"/>
          <w:sz w:val="16"/>
          <w:szCs w:val="16"/>
          <w:b w:val="1"/>
          <w:bCs w:val="1"/>
          <w:color w:val="auto"/>
        </w:rPr>
        <w:t xml:space="preserve"> </w:t>
      </w:r>
      <w:r>
        <w:rPr>
          <w:rFonts w:ascii="Arial" w:cs="Arial" w:eastAsia="Arial" w:hAnsi="Arial"/>
          <w:sz w:val="16"/>
          <w:szCs w:val="16"/>
          <w:color w:val="auto"/>
        </w:rPr>
        <w:t>is the owner of U.S. Provisional Application No. 61/273,960 and U.S. Patent Application No. 12/655,558 (now U.S. Patent No. 8,341 ,015);</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desires to assign all right, title and interest in and to U.S. Provisional Application No. 61/273,960 and U.S.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No. 12/655,558 (now U.S. Patent No. 8,341 ,015) to OptimizeRx Corporation, a Michigan Corporation, with a place of business at 407 Sixth Street, Rochester, Michigan, (hereinafter "ASSIGNEE' );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ASSIGNEE, is desirous of acquiring the entire right, title and interest in and to U.S. Provisional Application No. 61/273,960 and US.</w:t>
      </w:r>
      <w:r>
        <w:rPr>
          <w:rFonts w:ascii="Arial" w:cs="Arial" w:eastAsia="Arial" w:hAnsi="Arial"/>
          <w:sz w:val="18"/>
          <w:szCs w:val="18"/>
          <w:b w:val="1"/>
          <w:bCs w:val="1"/>
          <w:color w:val="auto"/>
        </w:rPr>
        <w:t xml:space="preserve"> </w:t>
      </w:r>
      <w:r>
        <w:rPr>
          <w:rFonts w:ascii="Arial" w:cs="Arial" w:eastAsia="Arial" w:hAnsi="Arial"/>
          <w:sz w:val="18"/>
          <w:szCs w:val="18"/>
          <w:color w:val="auto"/>
        </w:rPr>
        <w:t>Patent Application No. 12/655,558 (now U.S. Patent No. 8,341 ,015);</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NOW, THEREFOR, in consideration of the sum of One Dollar ($1 .00) and other good and valuable consideration, the receipt and adequacy of which ASSIGNOR hereby acknowledges, ASSIGNOR hereby confirms any prior assignment to ASSIGNEE, and to the extent that ASSIGNOR has not already done so, agrees to assign, and hereby do, sell, assign and transfer unto ASSIGNEE and its successors in interest, the full and exclusive right, title and interest in the United States of America and throughout the world, including the right to claim priority under the laws of the United States, the Paris Convention, and any foreign countries, to the inventions as described in the above-identified applications, to the above-identified applications themselves, and all divisions, continuations, continuations-in-part, or other applications claiming priority directly or indirectly from the above-identified applications, and any United States or foreign Letters Patent, utility model, or other similar rights which may be granted thereon , including reissues, reexaminations and extensions thereof, and all copyright rights throughout the world in the aforesaid applications and the subject matter disclosed therein , these rights, title and interest to be held and enjoyed by ASSIGNEE to the full end of the term for which the Letters Patent, utility model, or other similar rights, are granted and any extensions thereof as fully and entirely as the same would have been held by ASSIGNOR had this assignment and sale not been made, and the right to sue for, and recover for past infringements of, or liabilities for, any of the rights relating to any of the applications, patents, utility models, or other similar rights, resulting therefrom , and the copyright rights.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both"/>
        <w:ind w:firstLine="648"/>
        <w:spacing w:after="0" w:line="293" w:lineRule="auto"/>
        <w:rPr>
          <w:sz w:val="20"/>
          <w:szCs w:val="20"/>
          <w:color w:val="auto"/>
        </w:rPr>
      </w:pPr>
      <w:r>
        <w:rPr>
          <w:rFonts w:ascii="Arial" w:cs="Arial" w:eastAsia="Arial" w:hAnsi="Arial"/>
          <w:sz w:val="16"/>
          <w:szCs w:val="16"/>
          <w:color w:val="auto"/>
        </w:rPr>
        <w:t>ASSIGNOR hereby covenants and agrees to execute all instruments or documents required or requested for the making and prosecution of any applications of any type for patent, utility model, or other similar rights, and for copyright, in the United States and in all foreign countries including, but not limited to, any provisional, continuation , continuation-in-part, divisional, renewal or substitute thereof, any derivation proceedings relating thereto, and as to Letters Patent any supplemental examination, derivation proceeding, opposition, post grant review, reissue, re-examination , inter partes review, or extension thereof, and for litigation regarding , or for the purpose of protecting title and to the said invention, the United States application for patent, or Letters Patent therefor, and to testify in support thereof, for the benefit of ASSIGNEE without further or other compensation than that above set forth.</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ASSIGNOR hereby authorizes and requests the Commissions of Patents and Trademarks of the United States and any official of any country foreign to the United States whose duty it is to issue patents, to issue Letters Patent, Utility Model Registration or other similar right, including any reissues and extensions thereof to said ASSIGNEE in accordance with this Assignment.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ASSIGNOR hereby represents and warrants that ASSIGNOR has the full right to convey the entire interest of said applications herein assigned and has not granted any rights inconsistent with the rights granted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Vice Chairman</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Date: 2/6/13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 OF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______:</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 day of February, 2013, before me, a Notary Public, within and for the County of ______, State of Michigan, personally appeared David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Harrell, to me known to be the person described in and who acknowledged executing the forgoing instrument as a free act and deed, and who also represented that he is authorized to execute the same.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TESTIMONY WHEREOF, I have hereunto set my hand and seal the date and year last above written.</w:t>
      </w:r>
    </w:p>
    <w:p>
      <w:pPr>
        <w:spacing w:after="0" w:line="200" w:lineRule="exact"/>
        <w:rPr>
          <w:sz w:val="20"/>
          <w:szCs w:val="20"/>
          <w:color w:val="auto"/>
        </w:rPr>
      </w:pPr>
    </w:p>
    <w:p>
      <w:pPr>
        <w:spacing w:after="0" w:line="24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Notary Public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 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Shad Stastney, certify that;</w:t>
      </w:r>
    </w:p>
    <w:p>
      <w:pPr>
        <w:spacing w:after="0" w:line="225"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2012 filed with the Securities and Exchange Commission (the “Report”), I, Shad Stastney, Chief Executive Officer of the Company, and I, David Lester, Chief Financial Officer,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458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 Shad Stastney</w:t>
            </w:r>
          </w:p>
        </w:tc>
        <w:tc>
          <w:tcPr>
            <w:tcW w:w="1640" w:type="dxa"/>
            <w:vAlign w:val="bottom"/>
          </w:tcPr>
          <w:p>
            <w:pPr>
              <w:spacing w:after="0"/>
              <w:rPr>
                <w:sz w:val="17"/>
                <w:szCs w:val="17"/>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3"/>
          </w:tcPr>
          <w:p>
            <w:pPr>
              <w:spacing w:after="0"/>
              <w:rPr>
                <w:sz w:val="20"/>
                <w:szCs w:val="20"/>
                <w:color w:val="auto"/>
              </w:rPr>
            </w:pPr>
            <w:r>
              <w:rPr>
                <w:rFonts w:ascii="Arial" w:cs="Arial" w:eastAsia="Arial" w:hAnsi="Arial"/>
                <w:sz w:val="18"/>
                <w:szCs w:val="18"/>
                <w:color w:val="auto"/>
              </w:rPr>
              <w:t>Shad Stastney</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3"/>
          </w:tcPr>
          <w:p>
            <w:pPr>
              <w:spacing w:after="0"/>
              <w:rPr>
                <w:sz w:val="20"/>
                <w:szCs w:val="20"/>
                <w:color w:val="auto"/>
              </w:rPr>
            </w:pPr>
            <w:r>
              <w:rPr>
                <w:rFonts w:ascii="Arial" w:cs="Arial" w:eastAsia="Arial" w:hAnsi="Arial"/>
                <w:sz w:val="18"/>
                <w:szCs w:val="18"/>
                <w:color w:val="auto"/>
              </w:rPr>
              <w:t>March 12, 2013</w:t>
            </w:r>
          </w:p>
        </w:tc>
      </w:tr>
      <w:tr>
        <w:trPr>
          <w:trHeight w:val="7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1720" w:type="dxa"/>
            <w:vAlign w:val="bottom"/>
            <w:gridSpan w:val="2"/>
          </w:tcPr>
          <w:p>
            <w:pPr>
              <w:spacing w:after="0"/>
              <w:rPr>
                <w:sz w:val="24"/>
                <w:szCs w:val="24"/>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3"/>
          </w:tcPr>
          <w:p>
            <w:pPr>
              <w:spacing w:after="0"/>
              <w:rPr>
                <w:sz w:val="20"/>
                <w:szCs w:val="20"/>
                <w:color w:val="auto"/>
              </w:rPr>
            </w:pPr>
            <w:r>
              <w:rPr>
                <w:rFonts w:ascii="Arial" w:cs="Arial" w:eastAsia="Arial" w:hAnsi="Arial"/>
                <w:sz w:val="18"/>
                <w:szCs w:val="18"/>
                <w:color w:val="auto"/>
              </w:rPr>
              <w:t>David Lester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gridSpan w:val="3"/>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3"/>
          </w:tcPr>
          <w:p>
            <w:pPr>
              <w:spacing w:after="0"/>
              <w:rPr>
                <w:sz w:val="20"/>
                <w:szCs w:val="20"/>
                <w:color w:val="auto"/>
              </w:rPr>
            </w:pPr>
            <w:r>
              <w:rPr>
                <w:rFonts w:ascii="Arial" w:cs="Arial" w:eastAsia="Arial" w:hAnsi="Arial"/>
                <w:sz w:val="18"/>
                <w:szCs w:val="18"/>
                <w:color w:val="auto"/>
              </w:rPr>
              <w:t>March 12,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4"/>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2019-12-07T19:39:06Z</dcterms:created>
  <dcterms:modified xsi:type="dcterms:W3CDTF">2019-12-07T19:39:06Z</dcterms:modified>
</cp:coreProperties>
</file>