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920" w:right="2320" w:hanging="1592"/>
        <w:spacing w:after="0" w:line="481" w:lineRule="auto"/>
        <w:tabs>
          <w:tab w:leader="none" w:pos="25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2020</w:t>
      </w:r>
    </w:p>
    <w:p>
      <w:pPr>
        <w:spacing w:after="0" w:line="34" w:lineRule="exact"/>
        <w:rPr>
          <w:rFonts w:ascii="MS PGothic" w:cs="MS PGothic" w:eastAsia="MS PGothic" w:hAnsi="MS PGothic"/>
          <w:sz w:val="18"/>
          <w:szCs w:val="18"/>
          <w:color w:val="auto"/>
        </w:rPr>
      </w:pPr>
    </w:p>
    <w:p>
      <w:pPr>
        <w:ind w:left="2800" w:hanging="202"/>
        <w:spacing w:after="0"/>
        <w:tabs>
          <w:tab w:leader="none" w:pos="28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13 or 15(d) of the Securities Exchange Act of 1934</w:t>
      </w:r>
    </w:p>
    <w:p>
      <w:pPr>
        <w:spacing w:after="0" w:line="225"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001-38543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ind w:left="2540"/>
              <w:spacing w:after="0"/>
              <w:rPr>
                <w:sz w:val="20"/>
                <w:szCs w:val="20"/>
                <w:color w:val="auto"/>
              </w:rPr>
            </w:pPr>
            <w:r>
              <w:rPr>
                <w:rFonts w:ascii="Arial" w:cs="Arial" w:eastAsia="Arial" w:hAnsi="Arial"/>
                <w:sz w:val="18"/>
                <w:szCs w:val="18"/>
                <w:b w:val="1"/>
                <w:bCs w:val="1"/>
                <w:color w:val="auto"/>
              </w:rPr>
              <w:t>Nevada</w:t>
            </w:r>
          </w:p>
        </w:tc>
        <w:tc>
          <w:tcPr>
            <w:tcW w:w="7180" w:type="dxa"/>
            <w:vAlign w:val="bottom"/>
            <w:gridSpan w:val="7"/>
          </w:tcPr>
          <w:p>
            <w:pPr>
              <w:jc w:val="right"/>
              <w:ind w:right="223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4060" w:type="dxa"/>
            <w:vAlign w:val="bottom"/>
            <w:tcBorders>
              <w:top w:val="single" w:sz="8" w:color="auto"/>
            </w:tcBorders>
          </w:tcPr>
          <w:p>
            <w:pPr>
              <w:ind w:left="1760"/>
              <w:spacing w:after="0" w:line="201" w:lineRule="exact"/>
              <w:rPr>
                <w:sz w:val="20"/>
                <w:szCs w:val="20"/>
                <w:color w:val="auto"/>
              </w:rPr>
            </w:pPr>
            <w:r>
              <w:rPr>
                <w:rFonts w:ascii="Arial" w:cs="Arial" w:eastAsia="Arial" w:hAnsi="Arial"/>
                <w:sz w:val="18"/>
                <w:szCs w:val="18"/>
                <w:color w:val="auto"/>
              </w:rPr>
              <w:t>(State or other jurisdiction of</w:t>
            </w:r>
          </w:p>
        </w:tc>
        <w:tc>
          <w:tcPr>
            <w:tcW w:w="7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0" w:type="dxa"/>
            <w:vAlign w:val="bottom"/>
            <w:tcBorders>
              <w:top w:val="single" w:sz="8" w:color="auto"/>
            </w:tcBorders>
          </w:tcPr>
          <w:p>
            <w:pPr>
              <w:ind w:left="14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060" w:type="dxa"/>
            <w:vAlign w:val="bottom"/>
          </w:tcPr>
          <w:p>
            <w:pPr>
              <w:ind w:left="1740"/>
              <w:spacing w:after="0"/>
              <w:rPr>
                <w:sz w:val="20"/>
                <w:szCs w:val="20"/>
                <w:color w:val="auto"/>
              </w:rPr>
            </w:pPr>
            <w:r>
              <w:rPr>
                <w:rFonts w:ascii="Arial" w:cs="Arial" w:eastAsia="Arial" w:hAnsi="Arial"/>
                <w:sz w:val="18"/>
                <w:szCs w:val="18"/>
                <w:color w:val="auto"/>
                <w:w w:val="98"/>
              </w:rPr>
              <w:t>incorporation or organization)</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0" w:type="dxa"/>
            <w:vAlign w:val="bottom"/>
          </w:tcPr>
          <w:p>
            <w:pPr>
              <w:jc w:val="center"/>
              <w:ind w:right="6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60" w:type="dxa"/>
            <w:vAlign w:val="bottom"/>
          </w:tcPr>
          <w:p>
            <w:pPr>
              <w:spacing w:after="0"/>
              <w:rPr>
                <w:sz w:val="24"/>
                <w:szCs w:val="24"/>
                <w:color w:val="auto"/>
              </w:rPr>
            </w:pPr>
          </w:p>
        </w:tc>
        <w:tc>
          <w:tcPr>
            <w:tcW w:w="7180" w:type="dxa"/>
            <w:vAlign w:val="bottom"/>
            <w:gridSpan w:val="7"/>
          </w:tcPr>
          <w:p>
            <w:pPr>
              <w:jc w:val="center"/>
              <w:ind w:right="3970"/>
              <w:spacing w:after="0"/>
              <w:rPr>
                <w:sz w:val="20"/>
                <w:szCs w:val="20"/>
                <w:color w:val="auto"/>
              </w:rPr>
            </w:pPr>
            <w:r>
              <w:rPr>
                <w:rFonts w:ascii="Arial" w:cs="Arial" w:eastAsia="Arial" w:hAnsi="Arial"/>
                <w:sz w:val="18"/>
                <w:szCs w:val="18"/>
                <w:b w:val="1"/>
                <w:bCs w:val="1"/>
                <w:color w:val="auto"/>
                <w:w w:val="90"/>
              </w:rPr>
              <w:t>400 Water Street, Suite 200</w:t>
            </w:r>
          </w:p>
        </w:tc>
      </w:tr>
      <w:tr>
        <w:trPr>
          <w:trHeight w:val="194"/>
        </w:trPr>
        <w:tc>
          <w:tcPr>
            <w:tcW w:w="4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20" w:type="dxa"/>
            <w:vAlign w:val="bottom"/>
            <w:tcBorders>
              <w:bottom w:val="single" w:sz="8" w:color="auto"/>
            </w:tcBorders>
            <w:gridSpan w:val="5"/>
          </w:tcPr>
          <w:p>
            <w:pPr>
              <w:jc w:val="center"/>
              <w:spacing w:after="0" w:line="194" w:lineRule="exact"/>
              <w:rPr>
                <w:sz w:val="20"/>
                <w:szCs w:val="20"/>
                <w:color w:val="auto"/>
              </w:rPr>
            </w:pPr>
            <w:r>
              <w:rPr>
                <w:rFonts w:ascii="Arial" w:cs="Arial" w:eastAsia="Arial" w:hAnsi="Arial"/>
                <w:sz w:val="18"/>
                <w:szCs w:val="18"/>
                <w:b w:val="1"/>
                <w:bCs w:val="1"/>
                <w:color w:val="auto"/>
                <w:w w:val="90"/>
              </w:rPr>
              <w:t>Rochester, MI, 48307</w:t>
            </w:r>
          </w:p>
        </w:tc>
        <w:tc>
          <w:tcPr>
            <w:tcW w:w="4800" w:type="dxa"/>
            <w:vAlign w:val="bottom"/>
          </w:tcPr>
          <w:p>
            <w:pPr>
              <w:spacing w:after="0"/>
              <w:rPr>
                <w:sz w:val="16"/>
                <w:szCs w:val="16"/>
                <w:color w:val="auto"/>
              </w:rPr>
            </w:pPr>
          </w:p>
        </w:tc>
      </w:tr>
      <w:tr>
        <w:trPr>
          <w:trHeight w:val="236"/>
        </w:trPr>
        <w:tc>
          <w:tcPr>
            <w:tcW w:w="4060" w:type="dxa"/>
            <w:vAlign w:val="bottom"/>
          </w:tcPr>
          <w:p>
            <w:pPr>
              <w:spacing w:after="0"/>
              <w:rPr>
                <w:sz w:val="20"/>
                <w:szCs w:val="20"/>
                <w:color w:val="auto"/>
              </w:rPr>
            </w:pPr>
          </w:p>
        </w:tc>
        <w:tc>
          <w:tcPr>
            <w:tcW w:w="7180" w:type="dxa"/>
            <w:vAlign w:val="bottom"/>
            <w:gridSpan w:val="7"/>
          </w:tcPr>
          <w:p>
            <w:pPr>
              <w:jc w:val="center"/>
              <w:ind w:right="395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60" w:type="dxa"/>
            <w:vAlign w:val="bottom"/>
          </w:tcPr>
          <w:p>
            <w:pPr>
              <w:spacing w:after="0"/>
              <w:rPr>
                <w:sz w:val="24"/>
                <w:szCs w:val="24"/>
                <w:color w:val="auto"/>
              </w:rPr>
            </w:pPr>
          </w:p>
        </w:tc>
        <w:tc>
          <w:tcPr>
            <w:tcW w:w="2080" w:type="dxa"/>
            <w:vAlign w:val="bottom"/>
            <w:gridSpan w:val="5"/>
          </w:tcPr>
          <w:p>
            <w:pPr>
              <w:jc w:val="center"/>
              <w:ind w:left="970"/>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0"/>
        </w:trPr>
        <w:tc>
          <w:tcPr>
            <w:tcW w:w="40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237"/>
        </w:trPr>
        <w:tc>
          <w:tcPr>
            <w:tcW w:w="4060" w:type="dxa"/>
            <w:vAlign w:val="bottom"/>
          </w:tcPr>
          <w:p>
            <w:pPr>
              <w:spacing w:after="0"/>
              <w:rPr>
                <w:sz w:val="20"/>
                <w:szCs w:val="20"/>
                <w:color w:val="auto"/>
              </w:rPr>
            </w:pPr>
          </w:p>
        </w:tc>
        <w:tc>
          <w:tcPr>
            <w:tcW w:w="7180" w:type="dxa"/>
            <w:vAlign w:val="bottom"/>
            <w:gridSpan w:val="7"/>
          </w:tcPr>
          <w:p>
            <w:pPr>
              <w:jc w:val="center"/>
              <w:ind w:right="3970"/>
              <w:spacing w:after="0"/>
              <w:rPr>
                <w:sz w:val="20"/>
                <w:szCs w:val="20"/>
                <w:color w:val="auto"/>
              </w:rPr>
            </w:pPr>
            <w:r>
              <w:rPr>
                <w:rFonts w:ascii="Arial" w:cs="Arial" w:eastAsia="Arial" w:hAnsi="Arial"/>
                <w:sz w:val="18"/>
                <w:szCs w:val="18"/>
                <w:color w:val="auto"/>
                <w:w w:val="90"/>
              </w:rPr>
              <w:t>(Registrant’s telephone number)</w:t>
            </w: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w:t>
      </w:r>
    </w:p>
    <w:p>
      <w:pPr>
        <w:sectPr>
          <w:pgSz w:w="11900" w:h="16838" w:orient="portrait"/>
          <w:cols w:equalWidth="0" w:num="1">
            <w:col w:w="11240"/>
          </w:cols>
          <w:pgMar w:left="320" w:top="544" w:right="339" w:bottom="1440" w:gutter="0" w:footer="0" w:header="0"/>
        </w:sectPr>
      </w:pPr>
    </w:p>
    <w:p>
      <w:pPr>
        <w:spacing w:after="0" w:line="138"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6260" w:space="720"/>
            <w:col w:w="4260"/>
          </w:cols>
          <w:pgMar w:left="320" w:top="544" w:right="339" w:bottom="1440" w:gutter="0" w:footer="0" w:header="0"/>
          <w:type w:val="continuous"/>
        </w:sectPr>
      </w:pPr>
    </w:p>
    <w:p>
      <w:pPr>
        <w:spacing w:after="0" w:line="3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14,646,747 common shares as of May 4, 2020.</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4"/>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41"/>
        </w:trPr>
        <w:tc>
          <w:tcPr>
            <w:tcW w:w="456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7"/>
              </w:rPr>
              <w:t>Title of each class</w:t>
            </w:r>
          </w:p>
        </w:tc>
        <w:tc>
          <w:tcPr>
            <w:tcW w:w="304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89"/>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30"/>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82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color w:val="auto"/>
                <w:w w:val="93"/>
              </w:rPr>
              <w:t>OPRX</w:t>
            </w: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02"/>
        </w:trPr>
        <w:tc>
          <w:tcPr>
            <w:tcW w:w="3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r>
      <w:tr>
        <w:trPr>
          <w:trHeight w:val="28"/>
        </w:trPr>
        <w:tc>
          <w:tcPr>
            <w:tcW w:w="3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682"/>
        </w:trPr>
        <w:tc>
          <w:tcPr>
            <w:tcW w:w="3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17"/>
                <w:szCs w:val="17"/>
                <w:color w:val="auto"/>
              </w:rPr>
            </w:pPr>
          </w:p>
        </w:tc>
      </w:tr>
      <w:tr>
        <w:trPr>
          <w:trHeight w:val="460"/>
        </w:trPr>
        <w:tc>
          <w:tcPr>
            <w:tcW w:w="9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Page</w:t>
            </w:r>
          </w:p>
        </w:tc>
      </w:tr>
      <w:tr>
        <w:trPr>
          <w:trHeight w:val="432"/>
        </w:trPr>
        <w:tc>
          <w:tcPr>
            <w:tcW w:w="900" w:type="dxa"/>
            <w:vAlign w:val="bottom"/>
          </w:tcPr>
          <w:p>
            <w:pPr>
              <w:spacing w:after="0"/>
              <w:rPr>
                <w:sz w:val="24"/>
                <w:szCs w:val="24"/>
                <w:color w:val="auto"/>
              </w:rPr>
            </w:pPr>
          </w:p>
        </w:tc>
        <w:tc>
          <w:tcPr>
            <w:tcW w:w="9560" w:type="dxa"/>
            <w:vAlign w:val="bottom"/>
            <w:gridSpan w:val="3"/>
          </w:tcPr>
          <w:p>
            <w:pPr>
              <w:ind w:left="31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780" w:type="dxa"/>
            <w:vAlign w:val="bottom"/>
          </w:tcPr>
          <w:p>
            <w:pPr>
              <w:spacing w:after="0"/>
              <w:rPr>
                <w:sz w:val="24"/>
                <w:szCs w:val="24"/>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3"/>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3"/>
          </w:tcPr>
          <w:p>
            <w:pPr>
              <w:ind w:left="2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3"/>
          </w:tcPr>
          <w:p>
            <w:pPr>
              <w:ind w:left="2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3"/>
          </w:tcPr>
          <w:p>
            <w:pPr>
              <w:ind w:left="2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Controls and Procedures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3"/>
          </w:tcPr>
          <w:p>
            <w:pPr>
              <w:ind w:left="2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Legal Proceedings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3"/>
          </w:tcPr>
          <w:p>
            <w:pPr>
              <w:ind w:left="2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3"/>
          </w:tcPr>
          <w:p>
            <w:pPr>
              <w:ind w:left="2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Unregistered Sales of Equity Securities and Use of Proceeds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3"/>
          </w:tcPr>
          <w:p>
            <w:pPr>
              <w:ind w:left="2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Defaults Upon Senior Securities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3"/>
          </w:tcPr>
          <w:p>
            <w:pPr>
              <w:ind w:left="2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Mine Safety Disclosure</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9560" w:type="dxa"/>
            <w:vAlign w:val="bottom"/>
            <w:gridSpan w:val="3"/>
          </w:tcPr>
          <w:p>
            <w:pPr>
              <w:ind w:left="2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Other Information</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9560" w:type="dxa"/>
            <w:vAlign w:val="bottom"/>
            <w:gridSpan w:val="3"/>
          </w:tcPr>
          <w:p>
            <w:pPr>
              <w:ind w:left="2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Exhibits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16</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financial statements included in this Form 10-Q are as follows:</w:t>
      </w:r>
    </w:p>
    <w:p>
      <w:pPr>
        <w:spacing w:after="0" w:line="225"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March 31, 2020 (unaudited) and December 31, 2019;</w:t>
        </w:r>
      </w:hyperlink>
    </w:p>
    <w:p>
      <w:pPr>
        <w:spacing w:after="0" w:line="23"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Operations for the three months ended March 31, 2020 and 2019 (unaudited);</w:t>
        </w:r>
      </w:hyperlink>
    </w:p>
    <w:p>
      <w:pPr>
        <w:spacing w:after="0" w:line="9"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Changes in Stockholders’ Equity for the three months ended March 31, 2020 and 2019 (unaudited)</w:t>
        </w:r>
      </w:hyperlink>
    </w:p>
    <w:p>
      <w:pPr>
        <w:spacing w:after="0" w:line="32"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r>
        <w:rPr>
          <w:rFonts w:ascii="Arial" w:cs="Arial" w:eastAsia="Arial" w:hAnsi="Arial"/>
          <w:sz w:val="18"/>
          <w:szCs w:val="18"/>
          <w:color w:val="auto"/>
        </w:rPr>
        <w:t>5</w:t>
      </w:r>
      <w:hyperlink w:anchor="page7">
        <w:r>
          <w:rPr>
            <w:rFonts w:ascii="Arial" w:cs="Arial" w:eastAsia="Arial" w:hAnsi="Arial"/>
            <w:sz w:val="16"/>
            <w:szCs w:val="16"/>
            <w:u w:val="single" w:color="auto"/>
            <w:color w:val="0000EE"/>
          </w:rPr>
          <w:t>Condensed Consolidated Statements of Cash Flows for the three months ended March 31, 2020 and 2019 (unaudited);</w:t>
        </w:r>
      </w:hyperlink>
    </w:p>
    <w:p>
      <w:pPr>
        <w:spacing w:after="0" w:line="9" w:lineRule="exact"/>
        <w:rPr>
          <w:rFonts w:ascii="Arial" w:cs="Arial" w:eastAsia="Arial" w:hAnsi="Arial"/>
          <w:sz w:val="16"/>
          <w:szCs w:val="16"/>
          <w:u w:val="single" w:color="auto"/>
          <w:color w:val="0000EE"/>
        </w:rPr>
      </w:pPr>
    </w:p>
    <w:p>
      <w:pPr>
        <w:spacing w:after="0"/>
        <w:rPr>
          <w:rFonts w:ascii="Arial" w:cs="Arial" w:eastAsia="Arial" w:hAnsi="Arial"/>
          <w:sz w:val="16"/>
          <w:szCs w:val="16"/>
          <w:u w:val="single" w:color="auto"/>
          <w:color w:val="0000EE"/>
        </w:rPr>
      </w:pPr>
      <w:r>
        <w:rPr>
          <w:rFonts w:ascii="Arial" w:cs="Arial" w:eastAsia="Arial" w:hAnsi="Arial"/>
          <w:sz w:val="18"/>
          <w:szCs w:val="18"/>
          <w:color w:val="auto"/>
        </w:rPr>
        <w:t>6</w:t>
      </w:r>
      <w:hyperlink w:anchor="page8">
        <w:r>
          <w:rPr>
            <w:rFonts w:ascii="Arial" w:cs="Arial" w:eastAsia="Arial" w:hAnsi="Arial"/>
            <w:sz w:val="16"/>
            <w:szCs w:val="16"/>
            <w:u w:val="single" w:color="auto"/>
            <w:color w:val="0000EE"/>
          </w:rPr>
          <w:t>Notes to Condensed Consolidated Financial Statements.</w:t>
        </w:r>
      </w:hyperlink>
    </w:p>
    <w:p>
      <w:pPr>
        <w:spacing w:after="0" w:line="200" w:lineRule="exact"/>
        <w:rPr>
          <w:rFonts w:ascii="Arial" w:cs="Arial" w:eastAsia="Arial" w:hAnsi="Arial"/>
          <w:sz w:val="16"/>
          <w:szCs w:val="16"/>
          <w:u w:val="single" w:color="auto"/>
          <w:color w:val="0000EE"/>
        </w:rPr>
      </w:pPr>
    </w:p>
    <w:p>
      <w:pPr>
        <w:spacing w:after="0" w:line="220"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320" w:top="904" w:right="10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March 31,</w:t>
            </w:r>
          </w:p>
        </w:tc>
        <w:tc>
          <w:tcPr>
            <w:tcW w:w="1180" w:type="dxa"/>
            <w:vAlign w:val="bottom"/>
            <w:gridSpan w:val="4"/>
          </w:tcPr>
          <w:p>
            <w:pPr>
              <w:jc w:val="right"/>
              <w:ind w:right="1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15,210,069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18,852,680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9,061,520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7,418,025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3,035,205</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871,043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27,306,794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27,141,748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170,123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176,014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14,740,031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14,740,031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Technology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5,980,607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6,238,453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2,496,498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2,550,587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Right of use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531,844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559,863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4,993,215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5,151,102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16,013</w:t>
            </w:r>
          </w:p>
        </w:tc>
        <w:tc>
          <w:tcPr>
            <w:tcW w:w="16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80,727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Other Assets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28,758,208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29,320,763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56,235,125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56,638,525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548,100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492,995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1,674,477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1,800,635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2,640,249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1,618,438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117,479</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115,431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4,000,000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491,438</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580,014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9,471,743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6,107,513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418,390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448,753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Contingent purchase price payable, net of current portion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2,720,000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Total Non-current liabilities</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3,138,390</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5,668,753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12,610,133</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11,776,266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(See note 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1"/>
              </w:rPr>
              <w:t>Preferred stock, $0.001 par value, 10,000,000 shares authorized, none issued and outstanding at March 31, 2020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December 31, 2019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3"/>
              </w:rPr>
              <w:t>Common stock, $0.001 par value, 166,666,667 shares authorized, 14,646,747 and 14,600,579 shares issued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outstanding at March 31, 2020 and December 31, 2019, respectively</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14,647</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14,601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79,238,886</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78,272,268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(35,628,541)</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7"/>
              </w:rPr>
              <w:t>(33,424,610)</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43,624,992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44,862,259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56,235,125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56,638,525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7,584,602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5,209,434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3,241,763</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1,583,480</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86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4,342,839</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3,625,954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6,602,091</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3,493,789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868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(2,259,252)</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132,165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55,321</w:t>
            </w:r>
          </w:p>
        </w:tc>
        <w:tc>
          <w:tcPr>
            <w:tcW w:w="200" w:type="dxa"/>
            <w:vAlign w:val="bottom"/>
          </w:tcPr>
          <w:p>
            <w:pPr>
              <w:spacing w:after="0"/>
              <w:rPr>
                <w:sz w:val="18"/>
                <w:szCs w:val="18"/>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22,364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55,321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(125,636</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INCOME (LOSS) BEFORE PROVISION FOR INCOME TAXES</w:t>
            </w:r>
          </w:p>
        </w:tc>
        <w:tc>
          <w:tcPr>
            <w:tcW w:w="2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7"/>
              </w:rPr>
              <w:t>(2,203,931)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6,529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(2,203,931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6,529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14,609,499</w:t>
            </w:r>
          </w:p>
        </w:tc>
        <w:tc>
          <w:tcPr>
            <w:tcW w:w="200" w:type="dxa"/>
            <w:vAlign w:val="bottom"/>
          </w:tcPr>
          <w:p>
            <w:pPr>
              <w:spacing w:after="0"/>
              <w:rPr>
                <w:sz w:val="24"/>
                <w:szCs w:val="24"/>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12,077,829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14,609,499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13,077,917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(0.15)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jc w:val="right"/>
              <w:ind w:right="1"/>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620" w:type="dxa"/>
            <w:vAlign w:val="bottom"/>
          </w:tcPr>
          <w:p>
            <w:pPr>
              <w:spacing w:after="0"/>
              <w:rPr>
                <w:sz w:val="21"/>
                <w:szCs w:val="21"/>
                <w:color w:val="auto"/>
              </w:rPr>
            </w:pPr>
          </w:p>
        </w:tc>
        <w:tc>
          <w:tcPr>
            <w:tcW w:w="2760" w:type="dxa"/>
            <w:vAlign w:val="bottom"/>
            <w:gridSpan w:val="5"/>
          </w:tcPr>
          <w:p>
            <w:pPr>
              <w:ind w:left="7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Paid in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January 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14,600,579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14,601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78,272,268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(33,424,610)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44,862,259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11,136</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99,989</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35,032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112,117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754,512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(2,203,931)</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(2,203,931)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4620" w:type="dxa"/>
            <w:vAlign w:val="bottom"/>
          </w:tcPr>
          <w:p>
            <w:pPr>
              <w:spacing w:after="0"/>
              <w:rPr>
                <w:sz w:val="20"/>
                <w:szCs w:val="20"/>
                <w:color w:val="auto"/>
              </w:rPr>
            </w:pPr>
            <w:r>
              <w:rPr>
                <w:rFonts w:ascii="Arial" w:cs="Arial" w:eastAsia="Arial" w:hAnsi="Arial"/>
                <w:sz w:val="18"/>
                <w:szCs w:val="18"/>
                <w:color w:val="auto"/>
              </w:rPr>
              <w:t>Balance March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14,646,747</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14,647</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79,238,886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(35,628,541</w:t>
            </w:r>
            <w:r>
              <w:rPr>
                <w:rFonts w:ascii="Arial" w:cs="Arial" w:eastAsia="Arial" w:hAnsi="Arial"/>
                <w:sz w:val="35"/>
                <w:szCs w:val="35"/>
                <w:color w:val="auto"/>
                <w:w w:val="94"/>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43,624,992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4"/>
        </w:trPr>
        <w:tc>
          <w:tcPr>
            <w:tcW w:w="4620" w:type="dxa"/>
            <w:vAlign w:val="bottom"/>
          </w:tcPr>
          <w:p>
            <w:pPr>
              <w:spacing w:after="0"/>
              <w:rPr>
                <w:sz w:val="24"/>
                <w:szCs w:val="24"/>
                <w:color w:val="auto"/>
              </w:rPr>
            </w:pPr>
          </w:p>
        </w:tc>
        <w:tc>
          <w:tcPr>
            <w:tcW w:w="2760" w:type="dxa"/>
            <w:vAlign w:val="bottom"/>
            <w:gridSpan w:val="5"/>
            <w:vMerge w:val="restart"/>
          </w:tcPr>
          <w:p>
            <w:pPr>
              <w:ind w:left="70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20" w:type="dxa"/>
            <w:vAlign w:val="bottom"/>
          </w:tcPr>
          <w:p>
            <w:pPr>
              <w:spacing w:after="0"/>
              <w:rPr>
                <w:sz w:val="19"/>
                <w:szCs w:val="19"/>
                <w:color w:val="auto"/>
              </w:rPr>
            </w:pPr>
          </w:p>
        </w:tc>
        <w:tc>
          <w:tcPr>
            <w:tcW w:w="27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Paid in</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January 1, 2019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12,038,618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12,039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48,725,211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(30,278,805)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18,458,445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w w:val="94"/>
              </w:rPr>
              <w:t>Cumulative effect of change in accounting principle related to</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lease accounting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(3,229)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restricted stock awards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130,001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101,878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343,683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8,336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106,026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530,312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6,529</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4620" w:type="dxa"/>
            <w:vAlign w:val="bottom"/>
          </w:tcPr>
          <w:p>
            <w:pPr>
              <w:spacing w:after="0"/>
              <w:rPr>
                <w:sz w:val="20"/>
                <w:szCs w:val="20"/>
                <w:color w:val="auto"/>
              </w:rPr>
            </w:pPr>
            <w:r>
              <w:rPr>
                <w:rFonts w:ascii="Arial" w:cs="Arial" w:eastAsia="Arial" w:hAnsi="Arial"/>
                <w:sz w:val="18"/>
                <w:szCs w:val="18"/>
                <w:color w:val="auto"/>
              </w:rPr>
              <w:t>Balance March 31, 2019</w:t>
            </w:r>
          </w:p>
        </w:tc>
        <w:tc>
          <w:tcPr>
            <w:tcW w:w="1140" w:type="dxa"/>
            <w:vAlign w:val="bottom"/>
          </w:tcPr>
          <w:p>
            <w:pPr>
              <w:jc w:val="right"/>
              <w:spacing w:after="0"/>
              <w:rPr>
                <w:sz w:val="20"/>
                <w:szCs w:val="20"/>
                <w:color w:val="auto"/>
              </w:rPr>
            </w:pPr>
            <w:r>
              <w:rPr>
                <w:rFonts w:ascii="Arial" w:cs="Arial" w:eastAsia="Arial" w:hAnsi="Arial"/>
                <w:sz w:val="18"/>
                <w:szCs w:val="18"/>
                <w:color w:val="auto"/>
              </w:rPr>
              <w:t>12,278,833</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12,279</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49,705,102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(30,275,505</w:t>
            </w:r>
            <w:r>
              <w:rPr>
                <w:rFonts w:ascii="Arial" w:cs="Arial" w:eastAsia="Arial" w:hAnsi="Arial"/>
                <w:sz w:val="35"/>
                <w:szCs w:val="35"/>
                <w:color w:val="auto"/>
                <w:w w:val="94"/>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19,441,876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5"/>
          </w:tcPr>
          <w:p>
            <w:pPr>
              <w:jc w:val="right"/>
              <w:ind w:right="461"/>
              <w:spacing w:after="0"/>
              <w:rPr>
                <w:sz w:val="20"/>
                <w:szCs w:val="20"/>
                <w:color w:val="auto"/>
              </w:rPr>
            </w:pPr>
            <w:r>
              <w:rPr>
                <w:rFonts w:ascii="Arial" w:cs="Arial" w:eastAsia="Arial" w:hAnsi="Arial"/>
                <w:sz w:val="18"/>
                <w:szCs w:val="18"/>
                <w:color w:val="auto"/>
              </w:rPr>
              <w:t>For the Three Months</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gridSpan w:val="5"/>
          </w:tcPr>
          <w:p>
            <w:pPr>
              <w:jc w:val="right"/>
              <w:ind w:right="601"/>
              <w:spacing w:after="0"/>
              <w:rPr>
                <w:sz w:val="20"/>
                <w:szCs w:val="20"/>
                <w:color w:val="auto"/>
              </w:rPr>
            </w:pPr>
            <w:r>
              <w:rPr>
                <w:rFonts w:ascii="Arial" w:cs="Arial" w:eastAsia="Arial" w:hAnsi="Arial"/>
                <w:sz w:val="18"/>
                <w:szCs w:val="18"/>
                <w:color w:val="auto"/>
              </w:rPr>
              <w:t>Ended 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(2,203,931)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amortization and non-cash lease expense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519,669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754,512</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 issued for board service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106,034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in: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(1,643,495)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1,554,953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(2,099,448)</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(44,201)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55,105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1,021,811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(776,514)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(154,473)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(1,034,454)</w:t>
            </w: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(88,576)</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(3,738,826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889,969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equipment</w:t>
            </w:r>
          </w:p>
        </w:tc>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(15,937)</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(13,848)</w:t>
            </w:r>
          </w:p>
        </w:tc>
        <w:tc>
          <w:tcPr>
            <w:tcW w:w="0" w:type="dxa"/>
            <w:vAlign w:val="bottom"/>
          </w:tcPr>
          <w:p>
            <w:pPr>
              <w:spacing w:after="0"/>
              <w:rPr>
                <w:sz w:val="1"/>
                <w:szCs w:val="1"/>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112,152</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343,785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112,152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7"/>
              </w:rPr>
              <w:t>(3,642,611)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1,219,906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18,852,680</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8,914,034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CASH AND CASH EQUIVALENTS - END OF PERIOD</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15,210,069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10,133,940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Non-cash effect of cumulative adjustments to accumulated deficit</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Lease liabilities arising from right of use assets</w:t>
            </w: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accompanying condensed consolidated financial statements include OptimizeRx Corporation and its wholly owned subsidiaries (collectively, the “Company”, “we”, “our”, or “us”).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a digital health company that facilitates communication at point-of-care among all stakeholders in healthcare. Primarily focused on life science clients, our suite of digital and mobile SaaS-based solutions enables affordability, patient adherence and care management. Our network reaches more than 60% of U.S. ambulatory providers, delivering therapeutic support on specialty medications and patient financial assistance directly within a provider’s workflow through leading electronic health platforms. Our fully integrated platform ensures the real-time exchange of information—connecting care to improve provider knowledge and patient engagement.</w:t>
      </w:r>
    </w:p>
    <w:p>
      <w:pPr>
        <w:spacing w:after="0" w:line="188"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condensed consolidated financial statements for the three months ended March 31, 2020 and 2019 have been prepared by us without audit pursuant to the rules and regulations of the U.S. Securities and Exchange Commission. In the opinion of management, all adjustments necessary to present fairly our financial position at March 31, 2020, and our results of operations, changes in stockholders’ equity, and cash flows for the three months ended March 31, 2020 and 2019, have been made. Those adjustments consist of normal and recurring adjustments. The condensed consolidated condensed balance sheet as of December 31, 2019, has been derived from the audited consolidated condensed balance sheet as of that date.</w:t>
      </w:r>
    </w:p>
    <w:p>
      <w:pPr>
        <w:spacing w:after="0" w:line="16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Certain information and note disclosures, including a detailed discussion about the Company’s significant accounting policies, normally included in our annual financial statements prepared in accordance with generally accepted accounting principles have been condensed or omitted. These consolidated condensed financial statements should be read in conjunction with a reading of the financial statements and notes thereto included in our Annual Report on Form 10-K for the fiscal year ended December 31, 2019, as filed with the U.S. Securities and Exchange Commission on March 26, 2020.</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three-months ended March 31, 2020, are not necessarily indicative of the results to be expected for the full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Instruments-Credit Losses (Topic 326): Measurement of Credit Losses on Financial Instruments. ASU 2016-13 provides for a new impairment model that requires measurement and recognition of expected credit losses for most financial assets and certain other instruments, including but not limited to accounts receivable and available for sale debt securities. ASU 2016-13 was effective for the Company on January 1, 2020. The adoption of this standard did not have a material effect on our financial position, results of operations, or cash flows.</w:t>
      </w:r>
    </w:p>
    <w:p>
      <w:pPr>
        <w:spacing w:after="0" w:line="18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August 2019, the FASB issued ASU 2019-13, Fair Value Measurement (Topic 820): Disclosure Framework-Changes to the Disclosure Requirements for Fair Value Measurement. ASU 2019-13 modifies the disclosure requirements on fair value measurements and became effective for the Company on January 1, 2020. The adoption of this standard did not have a material effect on our financial position, results of operations, or cash flows.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 (continued)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12, 2020, with early adoption permitted. The adoption of this standard is not expected to have a material effect on our financial position, results of operations, or cash flows.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adoption of this standard did not have a material effect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NOTE 3 – LEASES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operating leases for office space in three multitenant facilities with lease terms greater than 12 months, which are recorded as assets and liabilities on our balance sheet. These leases include our corporate headquarters, located in Rochester, Michigan, a customer service facility in Cranbury, New Jersey, and a technical facility in Zagreb, Croatia. Certain leases contain renewal options and for the headquarters lease, we have assumed renewal. 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in shared office space facilities, such as WeWork, or similar locations.</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the three months ended March 31, 2020 and 2019, the Company’s lease cost consists of the following components, each of which is included in operating expenses within the Company’s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Three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32,814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44,629</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77,443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40,525</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002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rPr>
              <w:t>OPTIMIZERx CORPORATION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10020" w:type="dxa"/>
            <w:vAlign w:val="bottom"/>
            <w:gridSpan w:val="2"/>
          </w:tcPr>
          <w:p>
            <w:pPr>
              <w:jc w:val="center"/>
              <w:ind w:left="1130"/>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10020" w:type="dxa"/>
            <w:vAlign w:val="bottom"/>
            <w:gridSpan w:val="2"/>
          </w:tcPr>
          <w:p>
            <w:pPr>
              <w:jc w:val="center"/>
              <w:ind w:left="1150"/>
              <w:spacing w:after="0"/>
              <w:rPr>
                <w:sz w:val="20"/>
                <w:szCs w:val="20"/>
                <w:color w:val="auto"/>
              </w:rPr>
            </w:pPr>
            <w:r>
              <w:rPr>
                <w:rFonts w:ascii="Arial" w:cs="Arial" w:eastAsia="Arial" w:hAnsi="Arial"/>
                <w:sz w:val="18"/>
                <w:szCs w:val="18"/>
                <w:b w:val="1"/>
                <w:bCs w:val="1"/>
                <w:color w:val="auto"/>
                <w:w w:val="97"/>
              </w:rPr>
              <w:t>MARCH 31, 2020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10020" w:type="dxa"/>
            <w:vAlign w:val="bottom"/>
            <w:gridSpan w:val="2"/>
          </w:tcPr>
          <w:p>
            <w:pPr>
              <w:spacing w:after="0"/>
              <w:rPr>
                <w:sz w:val="20"/>
                <w:szCs w:val="20"/>
                <w:color w:val="auto"/>
              </w:rPr>
            </w:pPr>
            <w:r>
              <w:rPr>
                <w:rFonts w:ascii="Arial" w:cs="Arial" w:eastAsia="Arial" w:hAnsi="Arial"/>
                <w:sz w:val="18"/>
                <w:szCs w:val="18"/>
                <w:color w:val="auto"/>
              </w:rPr>
              <w:t>NOTE 3 – LEASES (continued)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10020" w:type="dxa"/>
            <w:vAlign w:val="bottom"/>
            <w:gridSpan w:val="2"/>
          </w:tcPr>
          <w:p>
            <w:pPr>
              <w:spacing w:after="0"/>
              <w:rPr>
                <w:sz w:val="20"/>
                <w:szCs w:val="20"/>
                <w:color w:val="auto"/>
              </w:rPr>
            </w:pPr>
            <w:r>
              <w:rPr>
                <w:rFonts w:ascii="Arial" w:cs="Arial" w:eastAsia="Arial" w:hAnsi="Arial"/>
                <w:sz w:val="18"/>
                <w:szCs w:val="18"/>
                <w:color w:val="auto"/>
              </w:rPr>
              <w:t>The table below presents the future minimum lease payments to be made under operating leases as of March 31, 2020: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52"/>
        </w:trPr>
        <w:tc>
          <w:tcPr>
            <w:tcW w:w="9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March 31, 2020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8"/>
        </w:trPr>
        <w:tc>
          <w:tcPr>
            <w:tcW w:w="10020" w:type="dxa"/>
            <w:vAlign w:val="bottom"/>
            <w:gridSpan w:val="2"/>
          </w:tcPr>
          <w:p>
            <w:pPr>
              <w:spacing w:after="0"/>
              <w:rPr>
                <w:sz w:val="20"/>
                <w:szCs w:val="20"/>
                <w:color w:val="auto"/>
              </w:rPr>
            </w:pPr>
            <w:r>
              <w:rPr>
                <w:rFonts w:ascii="Arial" w:cs="Arial" w:eastAsia="Arial" w:hAnsi="Arial"/>
                <w:sz w:val="18"/>
                <w:szCs w:val="18"/>
                <w:color w:val="auto"/>
              </w:rPr>
              <w:t>2020(a)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103,603</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140,367</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102,367</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99,209</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80,375</w:t>
            </w:r>
          </w:p>
        </w:tc>
      </w:tr>
      <w:tr>
        <w:trPr>
          <w:trHeight w:val="251"/>
        </w:trPr>
        <w:tc>
          <w:tcPr>
            <w:tcW w:w="10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70,224</w:t>
            </w:r>
          </w:p>
        </w:tc>
      </w:tr>
      <w:tr>
        <w:trPr>
          <w:trHeight w:val="202"/>
        </w:trPr>
        <w:tc>
          <w:tcPr>
            <w:tcW w:w="10020" w:type="dxa"/>
            <w:vAlign w:val="bottom"/>
            <w:gridSpan w:val="2"/>
          </w:tcPr>
          <w:p>
            <w:pPr>
              <w:spacing w:after="0" w:line="201" w:lineRule="exact"/>
              <w:rPr>
                <w:sz w:val="20"/>
                <w:szCs w:val="20"/>
                <w:color w:val="auto"/>
              </w:rPr>
            </w:pPr>
            <w:r>
              <w:rPr>
                <w:rFonts w:ascii="Arial" w:cs="Arial" w:eastAsia="Arial" w:hAnsi="Arial"/>
                <w:sz w:val="18"/>
                <w:szCs w:val="18"/>
                <w:color w:val="auto"/>
              </w:rPr>
              <w:t>Total</w:t>
            </w:r>
          </w:p>
        </w:tc>
        <w:tc>
          <w:tcPr>
            <w:tcW w:w="32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596,145</w:t>
            </w:r>
          </w:p>
        </w:tc>
      </w:tr>
      <w:tr>
        <w:trPr>
          <w:trHeight w:val="251"/>
        </w:trPr>
        <w:tc>
          <w:tcPr>
            <w:tcW w:w="10020" w:type="dxa"/>
            <w:vAlign w:val="bottom"/>
            <w:gridSpan w:val="2"/>
          </w:tcPr>
          <w:p>
            <w:pPr>
              <w:spacing w:after="0"/>
              <w:rPr>
                <w:sz w:val="20"/>
                <w:szCs w:val="20"/>
                <w:color w:val="auto"/>
              </w:rPr>
            </w:pPr>
            <w:r>
              <w:rPr>
                <w:rFonts w:ascii="Arial" w:cs="Arial" w:eastAsia="Arial" w:hAnsi="Arial"/>
                <w:sz w:val="18"/>
                <w:szCs w:val="18"/>
                <w:color w:val="auto"/>
              </w:rPr>
              <w:t>Less: discount</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60,276</w:t>
            </w:r>
          </w:p>
        </w:tc>
      </w:tr>
      <w:tr>
        <w:trPr>
          <w:trHeight w:val="250"/>
        </w:trPr>
        <w:tc>
          <w:tcPr>
            <w:tcW w:w="10020" w:type="dxa"/>
            <w:vAlign w:val="bottom"/>
            <w:gridSpan w:val="2"/>
          </w:tcPr>
          <w:p>
            <w:pPr>
              <w:spacing w:after="0" w:line="203" w:lineRule="exact"/>
              <w:rPr>
                <w:sz w:val="20"/>
                <w:szCs w:val="20"/>
                <w:color w:val="auto"/>
              </w:rPr>
            </w:pPr>
            <w:r>
              <w:rPr>
                <w:rFonts w:ascii="Arial" w:cs="Arial" w:eastAsia="Arial" w:hAnsi="Arial"/>
                <w:sz w:val="18"/>
                <w:szCs w:val="18"/>
                <w:color w:val="auto"/>
              </w:rPr>
              <w:t>Total lease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535,869</w:t>
            </w: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For the nine-month period beginning April 1, 2020.</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weighted average remaining lease term at March 31, 2020 for operating leases is 4.9 years and the weighted average discount rate used in calculating the operating lease asset and liability is 4.5%. Cash paid for amounts included in the measurement of lease liabilities was $28,316 and $30,684 for the three months ending March 31, 2020 and 2019, respectively. For the three months ended March 31, 2020 and 2019, payments on lease obligations were $34,416 and $25,208, respectively, and amortization on the right of use assets was $28,019 and $25,245,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4 – STOCKHOLDERS’ EQUITY</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During the quarters ended March 31, 2020 and 2019, we issued 11,136 and 8,336 shares, respectively, of our common stock to our independent directors in connection with our Director Compensation Plan. These shares were valued at $100,000 and $106,834 at March 31, 2020 and 2019, respectively.</w:t>
      </w:r>
    </w:p>
    <w:p>
      <w:pPr>
        <w:spacing w:after="0" w:line="12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During the quarter ended March 31, 2020, we issued 35,032 shares of our common stock and received proceeds of $112,152 in connection with the exercise of stock options under our 2013 equity compensation plan. During the quarter ended March 31, 2019, we issued 89,826 shares of our common stock and received proceeds of $343,785 in connection with the exercise of stock options under our 2013 equity compensation plan. We issued an additional 12,052 shares of our common stock in connection with the exercise of options using the net-settled method, which resulted in no cash received, but rather the exercise price was paid by the surrender of shares underlying the options. We also issued 130,001 shares of our common stock in the quarter ended March 31, 2019 in connection with restricted stock awards awarded in 2018.</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SHARE BASED PAYMENTS – OPTIONS AND RESTRICTED STOCK</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use the fair value method to account for stock-based compensation. We recorded $547,828 and $530,312 in compensation expense in the three months ended March 31, 2020 and 2019, respectively, related to options issued under our stock-based incentive compensation plan. This includes expense related to options issued in prior years for which the requisite service period for those options includes the current period as well as options issued in the current period. The fair value of these instruments was calculated using the Black-Scholes option pricing model. There is $2,185,349 of remaining expense related to unvested options to be recognized in the future over a weighted average period of 1.6 years. The total intrinsic value of outstanding options at March 31, 2020 was $6,810,214.</w:t>
      </w:r>
    </w:p>
    <w:p>
      <w:pPr>
        <w:spacing w:after="0" w:line="19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We also recorded $206,684 in compensation expense related to restricted stock awards that vest over time in the three months ended March 31, 2020. There is $1,245,841 of remaining expense related to unvested restricted stock awards to be recognized in the future over a weighted average period of 2.8 years.</w:t>
      </w:r>
    </w:p>
    <w:p>
      <w:pPr>
        <w:sectPr>
          <w:pgSz w:w="11900" w:h="16838" w:orient="portrait"/>
          <w:cols w:equalWidth="0" w:num="1">
            <w:col w:w="11240"/>
          </w:cols>
          <w:pgMar w:left="320" w:top="904" w:right="3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6 – NET INCOME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computation of basic and diluted net income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(Loss)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180" w:right="1920" w:hanging="161"/>
        <w:spacing w:after="0" w:line="250" w:lineRule="auto"/>
        <w:rPr>
          <w:sz w:val="20"/>
          <w:szCs w:val="20"/>
          <w:color w:val="auto"/>
        </w:rPr>
      </w:pPr>
      <w:r>
        <w:rPr>
          <w:rFonts w:ascii="Arial" w:cs="Arial" w:eastAsia="Arial" w:hAnsi="Arial"/>
          <w:sz w:val="18"/>
          <w:szCs w:val="18"/>
          <w:color w:val="auto"/>
        </w:rPr>
        <w:t>Weighted average shares outstanding used in computing net income (loss) per share Basic</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Effect of dilutive stock options, warrants, and stock grants</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per share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5"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320" w:val="left"/>
          <w:tab w:leader="none" w:pos="1320" w:val="left"/>
          <w:tab w:leader="none" w:pos="202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(2,203,931</w:t>
      </w:r>
      <w:r>
        <w:rPr>
          <w:rFonts w:ascii="Arial" w:cs="Arial" w:eastAsia="Arial" w:hAnsi="Arial"/>
          <w:sz w:val="35"/>
          <w:szCs w:val="35"/>
          <w:color w:val="auto"/>
          <w:vertAlign w:val="superscript"/>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-83185</wp:posOffset>
            </wp:positionV>
            <wp:extent cx="7029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-57150</wp:posOffset>
            </wp:positionV>
            <wp:extent cx="15601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both"/>
        <w:ind w:left="320"/>
        <w:spacing w:after="0"/>
        <w:tabs>
          <w:tab w:leader="none" w:pos="1620" w:val="left"/>
        </w:tabs>
        <w:rPr>
          <w:sz w:val="20"/>
          <w:szCs w:val="20"/>
          <w:color w:val="auto"/>
        </w:rPr>
      </w:pPr>
      <w:r>
        <w:rPr>
          <w:rFonts w:ascii="Arial" w:cs="Arial" w:eastAsia="Arial" w:hAnsi="Arial"/>
          <w:sz w:val="18"/>
          <w:szCs w:val="18"/>
          <w:color w:val="auto"/>
        </w:rPr>
        <w:t>14,609,499</w:t>
      </w:r>
      <w:r>
        <w:rPr>
          <w:sz w:val="20"/>
          <w:szCs w:val="20"/>
          <w:color w:val="auto"/>
        </w:rPr>
        <w:tab/>
      </w:r>
      <w:r>
        <w:rPr>
          <w:rFonts w:ascii="Arial" w:cs="Arial" w:eastAsia="Arial" w:hAnsi="Arial"/>
          <w:sz w:val="18"/>
          <w:szCs w:val="18"/>
          <w:color w:val="auto"/>
        </w:rPr>
        <w:t>12,077,829</w:t>
      </w:r>
    </w:p>
    <w:p>
      <w:pPr>
        <w:spacing w:after="0" w:line="23" w:lineRule="exact"/>
        <w:rPr>
          <w:sz w:val="20"/>
          <w:szCs w:val="20"/>
          <w:color w:val="auto"/>
        </w:rPr>
      </w:pPr>
    </w:p>
    <w:p>
      <w:pPr>
        <w:ind w:left="1740" w:hanging="671"/>
        <w:spacing w:after="0"/>
        <w:tabs>
          <w:tab w:leader="none" w:pos="1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1,000,088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15601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65" w:lineRule="exact"/>
        <w:rPr>
          <w:sz w:val="20"/>
          <w:szCs w:val="20"/>
          <w:color w:val="auto"/>
        </w:rPr>
      </w:pPr>
    </w:p>
    <w:p>
      <w:pPr>
        <w:jc w:val="both"/>
        <w:ind w:left="320"/>
        <w:spacing w:after="0"/>
        <w:tabs>
          <w:tab w:leader="none" w:pos="1620" w:val="left"/>
        </w:tabs>
        <w:rPr>
          <w:sz w:val="20"/>
          <w:szCs w:val="20"/>
          <w:color w:val="auto"/>
        </w:rPr>
      </w:pPr>
      <w:r>
        <w:rPr>
          <w:rFonts w:ascii="Arial" w:cs="Arial" w:eastAsia="Arial" w:hAnsi="Arial"/>
          <w:sz w:val="18"/>
          <w:szCs w:val="18"/>
          <w:color w:val="auto"/>
        </w:rPr>
        <w:t>14,609,499</w:t>
      </w:r>
      <w:r>
        <w:rPr>
          <w:sz w:val="20"/>
          <w:szCs w:val="20"/>
          <w:color w:val="auto"/>
        </w:rPr>
        <w:tab/>
      </w:r>
      <w:r>
        <w:rPr>
          <w:rFonts w:ascii="Arial" w:cs="Arial" w:eastAsia="Arial" w:hAnsi="Arial"/>
          <w:sz w:val="18"/>
          <w:szCs w:val="18"/>
          <w:color w:val="auto"/>
        </w:rPr>
        <w:t>13,077,917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1560195"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4318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409"/>
        </w:trPr>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1"/>
              <w:spacing w:after="0"/>
              <w:rPr>
                <w:sz w:val="20"/>
                <w:szCs w:val="20"/>
                <w:color w:val="auto"/>
              </w:rPr>
            </w:pPr>
            <w:r>
              <w:rPr>
                <w:rFonts w:ascii="Arial" w:cs="Arial" w:eastAsia="Arial" w:hAnsi="Arial"/>
                <w:sz w:val="18"/>
                <w:szCs w:val="18"/>
                <w:color w:val="auto"/>
              </w:rPr>
              <w:t>(0.15</w:t>
            </w:r>
            <w:r>
              <w:rPr>
                <w:rFonts w:ascii="Arial" w:cs="Arial" w:eastAsia="Arial" w:hAnsi="Arial"/>
                <w:sz w:val="35"/>
                <w:szCs w:val="35"/>
                <w:color w:val="auto"/>
                <w:vertAlign w:val="superscript"/>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220" w:type="dxa"/>
            <w:vAlign w:val="bottom"/>
            <w:vMerge w:val="continue"/>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calculation of diluted earnings per share is included for 2020 as the effect of the calculation would be antidilutive. The number of common shares potentially issuable upon the exercise of certain options that were excluded from the diluted loss per common share calculation in 2020 was 779,670 related to options, and 174,176 related to restricted stock, for a total of 953,846.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7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Due to the </w:t>
      </w:r>
      <w:r>
        <w:rPr>
          <w:rFonts w:ascii="Arial" w:cs="Arial" w:eastAsia="Arial" w:hAnsi="Arial"/>
          <w:sz w:val="18"/>
          <w:szCs w:val="18"/>
          <w:i w:val="1"/>
          <w:iCs w:val="1"/>
          <w:color w:val="auto"/>
        </w:rPr>
        <w:t>COVID</w:t>
      </w:r>
      <w:r>
        <w:rPr>
          <w:rFonts w:ascii="Arial" w:cs="Arial" w:eastAsia="Arial" w:hAnsi="Arial"/>
          <w:sz w:val="18"/>
          <w:szCs w:val="18"/>
          <w:color w:val="auto"/>
        </w:rPr>
        <w:t>-19 pandemic, there has been uncertainty and disruption in the global economy and financial markets. The Company is not aware of any specific event or circumstance that would require an update to its estimates or judgments or a revision of the carrying value of its assets or liabilities as of the date of issuance of this Quarterly Report on Form 10-Q. These estimates could change in the future, as new events occur, or additional information is obtained.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8 – SUBSEQUENT EVENTS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accordance with ASC 855-10, we have analyzed our operations subsequent to March 31, 2020 through the date these financial statements were issued and have determined that we do not have any material subsequent events to disclose or recognize in these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full extent of the impact of the COVID-19 pandemic on our business, operations and financial results will depend on numerous evolving factors that we may not be able to accurately predict at the present time. In an effort to contain COVID-19 or slow its spread, governments around the world have enacted various measures, including orders to close all businesses not deemed “essential,” isolate residents to their homes or places of residence, and practice social distancing when engaging in essential activities. We anticipate that these actions and the global health crisis caused by COVID-19 will negatively impact business activity across the globe. While we have not observed any noticeable impact on our revenue related to these conditions in the past fiscal quarter, or through the date of this filing, we cannot estimate the impact COVID-19 will have in the future as business and consumer activity decelerates across the globe.</w:t>
      </w:r>
    </w:p>
    <w:p>
      <w:pPr>
        <w:spacing w:after="0" w:line="19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March 2020, we enacted precautionary measures to protect the health and safety of our employees and partners. These measures include closing all offices, having employees work from home, and eliminating all travel. While having employees work from home may have a negative impact on efficiency and may result in negligible increases in costs, it does not impact our ability to execute on our contracts or deliver our core services. Our customers provide essential services in the healthcare industry and our digital communication technology is more important than ever in this environment. However, our revenue often comes from advertising or marketing budgets, and in a sustained economic downturn, those categories of spending may be cut.</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continue to actively monitor the situation and may take further actions that alter our business operations as may be required by federal, state, local or foreign authorities, or that we determine are in the best interests of our employees, customers, partners and stockholders. It is not clear what the potential effects any such alterations or modifications may have on our business, including the effects on our customers, partners, or vendors, or on our financial results.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Company Highlights through April 2020</w:t>
      </w:r>
    </w:p>
    <w:p>
      <w:pPr>
        <w:spacing w:after="0" w:line="225"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sales for the first three months of 2020 were $7.6 million, a 46% increase over the same period in 2019.</w:t>
      </w:r>
    </w:p>
    <w:p>
      <w:pPr>
        <w:spacing w:after="0" w:line="23" w:lineRule="exact"/>
        <w:rPr>
          <w:rFonts w:ascii="Arial" w:cs="Arial" w:eastAsia="Arial" w:hAnsi="Arial"/>
          <w:sz w:val="18"/>
          <w:szCs w:val="18"/>
          <w:color w:val="auto"/>
        </w:rPr>
      </w:pPr>
    </w:p>
    <w:p>
      <w:pPr>
        <w:ind w:left="580" w:right="46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launched a new technology solution aimed at increasing speed to therapy for patients by providing timely access to enrollment forms for specialty drugs within the provider workflow.</w:t>
      </w:r>
    </w:p>
    <w:p>
      <w:pPr>
        <w:ind w:left="580" w:hanging="572"/>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launched a digital healthcare webinar series focused on COVID-19 issues and telehealth with several executives from the healthcare industry.</w:t>
      </w:r>
    </w:p>
    <w:p>
      <w:pPr>
        <w:spacing w:after="0" w:line="32" w:lineRule="exact"/>
        <w:rPr>
          <w:rFonts w:ascii="Arial" w:cs="Arial" w:eastAsia="Arial" w:hAnsi="Arial"/>
          <w:sz w:val="16"/>
          <w:szCs w:val="16"/>
          <w:color w:val="auto"/>
        </w:rPr>
      </w:pPr>
    </w:p>
    <w:p>
      <w:pPr>
        <w:ind w:left="580" w:right="28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launched TeleRep™, an EHR enabled digital health tool designed to support physicians when they need to connect to pharmaceutical sales representatives with questions on medication therapy.</w:t>
      </w:r>
    </w:p>
    <w:p>
      <w:pPr>
        <w:ind w:left="580" w:right="180" w:hanging="572"/>
        <w:spacing w:after="0" w:line="26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commenced the process of converting our active clients to enterprise contracts covering multiple tactics and products to further entrench our longstanding relationships.</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success in acquiring, integrating and expanding into new EHR/eRx platforms continues to grow as well. For the remainder of 2020, we expect to expand our reach to physicians, pharmacies and patients, and also increase the utilization of our existing partners as they improve their workflow and provider reach. With the growth of both our pharmaceutical products and our distribution network, we expect that our messaging solutions, as well as our patient engagement activities, will continue to increase and show strong growth throughout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Our total revenue reported for the three months ended March 31, 2020 was approximately $7.6 million, an increase of 46% over the approximately $5.2 million from the same period in 2019. The increased revenue resulted primarily from increases in sales in our messaging products. We do not breakout revenue by service at this stage, but as we achieve greater scale, we plan to determine the best way to present the growth by service.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cost of revenue percentage, composed primarily of revenue share expense, increased as a percentage of revenues, from approximately 30% in the quarter ended March 31, 2019 to approximately 43% for the quarter ended March 31, 2020. This increase was a result of product mix. The 2019 quarter contained an unusually high percentage of launch assistance services and other nonrecurring revenue that was not subject to revenue share expense. As we have discussed, over the course of the year, we expect to normalize at 40% or lower for our cost of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gross margin declined from 69.6% in the quarter ended March 31, 2019 to 57.3% in the quarter ended March 31, 2020. As discussed under cost of revenues above, we had an unusually favorable product mix in the 2019 quarter that had a positive impact on our margin. Our gross margin for the entire calendar year of 2019 was 62.7% and our target for 2020 is 63%. We expect our gross margin to improve on a quarter over quarter basis for the balance of the year.</w:t>
      </w: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Operating expenses increased from approximately $3.5 million for the three months ended March 31, 2019 to approximately $6.6 million for the same period in 2020, an increase of approximately 89%. Overall, this increase results from our efforts to expand our product line and build out our organization to establish a strong base for current and future growth. The detail by major category is reflected in the table below.</w:t>
      </w:r>
    </w:p>
    <w:p>
      <w:pPr>
        <w:spacing w:after="0" w:line="165"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540"/>
        <w:spacing w:after="0"/>
        <w:rPr>
          <w:sz w:val="20"/>
          <w:szCs w:val="20"/>
          <w:color w:val="auto"/>
        </w:rPr>
      </w:pPr>
      <w:r>
        <w:rPr>
          <w:rFonts w:ascii="Arial" w:cs="Arial" w:eastAsia="Arial" w:hAnsi="Arial"/>
          <w:sz w:val="18"/>
          <w:szCs w:val="18"/>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3,206,137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1,689,034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854,512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636,346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485,469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239,025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Board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51,375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Investor Relations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19,450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21,736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Consultants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91,415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38,090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179,399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196,580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519,669</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190,301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Development, and Maintenance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558,658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176,218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Integration and Exclusivity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207,973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41,878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153,522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115,518</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Travel</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274,512</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114,813</w:t>
            </w: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79"/>
        </w:trPr>
        <w:tc>
          <w:tcPr>
            <w:tcW w:w="8680" w:type="dxa"/>
            <w:vAlign w:val="bottom"/>
            <w:vMerge w:val="continue"/>
          </w:tcPr>
          <w:p>
            <w:pPr>
              <w:spacing w:after="0"/>
              <w:rPr>
                <w:sz w:val="24"/>
                <w:szCs w:val="24"/>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6,602,091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3,493,789</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largest increases in operating expenses are related to salaries, wages, and benefits and other human resource related costs. Since the beginning of the first quarter of 2019, we have significantly expanded our sales force, made an acquisition to expand our product portfolio, and added to our product development, data, and finance teams. These new hires have established a strong basis for significant future growth and have also resulted in increases in benefits, payroll taxes, and related travel. The increased stock-based compensation results from the grant of new options and the increased number of team members. We expect Salaries, Wages, &amp; Benefits, as well as Stock-based Compensation to remain at similar levels, or only increase slightly, for the balance of the year. We expect travel expense to decrease significantly for the balance of the year as a result of the COVID-19 pandemic.</w:t>
      </w:r>
    </w:p>
    <w:p>
      <w:pPr>
        <w:spacing w:after="0" w:line="16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Professional fees increased in 2020 as a result of our change in auditor to a larger firm and associated higher fees, as well as the acquisition we completed in late 2019. This increased the complexity of our year-end audit and we were required to obtain third party valuations of the allocation of our purchase price and the fair value of those assets and liabilities as of December 31, 2019, including the contingent purchase price payable.</w:t>
      </w:r>
    </w:p>
    <w:p>
      <w:pPr>
        <w:spacing w:after="0" w:line="16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Depreciation and amortization increased because of the amortizable assets acquired in connection with our acquisition of RMDY in the fourth quarter of 2019. Office, facility, and other expenses also increased as a result of the acquisition, which resulted in an additional office location for us, as well as the normal increased costs associated with increased business activity.</w:t>
      </w:r>
    </w:p>
    <w:p>
      <w:pPr>
        <w:spacing w:after="0" w:line="184"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Research, development, and maintenance costs increased primarily because our efforts to expand and enhance our patient engagement platforms and products, as well as integration costs related to the combination, improvement and optimization of IT systems.</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Integration and exclusivity costs represent payment to partners for access and/or exclusivity. These payments are usually made in lump sums and expensed over the term of the contracts. These expenses are an important part of our ability to expand our network and increased in 2020 as a result of new agreements signed.</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4" w:name="page15"/>
    <w:bookmarkEnd w:id="14"/>
    <w:p>
      <w:pPr>
        <w:spacing w:after="0" w:line="272" w:lineRule="auto"/>
        <w:rPr>
          <w:sz w:val="20"/>
          <w:szCs w:val="20"/>
          <w:color w:val="auto"/>
        </w:rPr>
      </w:pPr>
      <w:r>
        <w:rPr>
          <w:rFonts w:ascii="Arial" w:cs="Arial" w:eastAsia="Arial" w:hAnsi="Arial"/>
          <w:sz w:val="17"/>
          <w:szCs w:val="17"/>
          <w:color w:val="auto"/>
        </w:rPr>
        <w:t>The purchase price allocations for both of our recent acquisitions included potential additional consideration to be paid if certain revenue levels are achieved in 2019, 2020, and 2021. That liability is required to be adjusted to fair value each quarter. The increase in the fair value of contingent consideration in 2019 related to our acquisition of CareSpeak Communications in 2018. The maximum amount of potential contingent consideration related to CareSpeak was recorded as of December 31, 2019 and we still expect the maximum amount to be paid. We estimate there to be no change in the fair value of contingent consideration related to RMDY since the time of our calculation as of December 31, 2019. Because the contingent consideration is partially fixed and partially based on the increase in revenues from 2020 to 2021, no new information has come to light in the approximately 6 weeks since we filed our 10-K that would enable us to make any better estimate than was previously done.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All other variances in the table above are the result of normal fluctuations in activity.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our overall operating expenses to continue at the first quarter of 2020 level, or slightly above as we further implement our business plan and expand our operations to grow the business in a very dynamic and active marketplace. However, we have established a strong team as a base to support growth and we are seeing the results of the investment in our team last year in our strong revenue growth this year. We do not expect human resource costs to increase as quickly as revenues.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had a loss of approximately $2.2 million for the three months ended March 31, 2020, as compared to net income of approximately $7,000 during the same period in 2019. The reasons and specific components associated with the change are discussed above. Overall, the loss resulted from increased operating expenses to support the stated revenue growth throughout 2020 and beyond.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March 31, 2020, we had total current assets of approximately $27.3 million, compared with current liabilities of approximately $9.5 million, resulting in working capital of approximately $17.8 million and a current ratio of approximately 2.9 to 1. This represents a decrease from our working capital of approximately $21.0 million and current ratio of 4.4 to 1 at December 31, 2019.</w:t>
      </w:r>
    </w:p>
    <w:p>
      <w:pPr>
        <w:spacing w:after="0" w:line="18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Our operating activities used approximately $3.7 in cash flow during the three months ended March 31, 2020, compared with cash provided of approximately $0.9 million in the same period in 2019. The cash used in the 2020 period was primarily the result of increased investment in working capital; in particular, we made a $2.0 million prepayment to a partner that will be expensed over the balance of the year. In addition, as a result of our strong revenue growth, our trade receivables increased by $1.6 million, which was partially offset by increased revenue share of $1.0 million owed to our channel partners. The cash provided in the 2019 period was the result of our net income increased by noncash expenses.</w:t>
      </w:r>
    </w:p>
    <w:p>
      <w:pPr>
        <w:spacing w:after="0" w:line="1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used insignificant amounts in investing activities in both the three months ended March 31, 2020, and 2019. These investments related to purchases of equipment as well as investments related to the expansion of our network capabilities.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had proceeds from financing activities of approximately $112,000 and $344,000 related to the exercise of stock options during the three months ended March 31, 2020 and 2019, respectively.</w:t>
      </w:r>
    </w:p>
    <w:p>
      <w:pPr>
        <w:spacing w:after="0" w:line="170"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2019; however, we consider our critical accounting policies to be those related to determining the amount of revenue to be billed, the timing of revenue recognition, calculation of revenue share expense, stock-based compensation, capitalization and related amortization of intangible assets, impairment of assets, and the fair value of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Instruments-Credit Losses (Topic 326): Measurement of Credit Losses on Financial Instruments. ASU 2016-13 provides for a new impairment model that requires measurement and recognition of expected credit losses for most financial assets and certain other instruments, including but not limited to accounts receivable and available for sale debt securities. ASU 2016-13 was effective for the Company on January 1, 2020. The adoption of this standard did not have a material effect on our financial position, results of operations, or cash flows.</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August 2019, the FASB issued ASU 2019-13, Fair Value Measurement (Topic 820): Disclosure Framework-Changes to the Disclosure Requirements for Fair Value Measurement. ASU 2019-13 modifies the disclosure requirements on fair value measurements and became effective for the Company on January 1, 2020. The adoption of this standard did not have a material effect on our financial position, results of operations, or cash flows.</w:t>
      </w:r>
    </w:p>
    <w:p>
      <w:pPr>
        <w:spacing w:after="0" w:line="1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12, 2020, with early adoption permitted. The adoption of this standard is not expected to have a material effect on our financial position, results of operations, or cash flows.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adoption of this standard did not have a material effect on our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required to provide the information required by this Item.</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that evaluation, our Chief Executive Officer and Chief Financial Officer concluded that, as of March 31, 2020, our disclosure controls and procedures were not effective due to the presence of material weaknesses in internal control over financial reporting.</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described in more detail in our annual report on Form 10-K for the year ended December 31, 2019, management identified the following material weaknesses which have caused management to conclude that our disclosure controls and procedures were not effective: (i) inadequate information technology general controls (ITGCs) in the areas of user access security, change management, IT operations and third-party management over its key financial information technology (IT) systems; and (ii) inadequate controls to ensure that data received from third parties is complete and accurate. Those weaknesses have not been completely remediated as of March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quarter ended March 31, 2020, we implemented additional user access security controls and other controls of IT security and are in the process of implementing additional change management controls. We are also in the process of implementing and documenting additional controls over data received from third parties. We expect to have these new controls fully implemented during the second quarter of 2020 and fully remediated by the end of the third quarter 2020.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While we made other routine ongoing improvements in our internal control and processes, no other material changes were made during the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our Annual Report on Form 10-K for 2019.</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business, results of operations, and our financial condition may be further impacted by the outbreak of COVID-19 and such impact could be materially adverse.</w:t>
      </w:r>
    </w:p>
    <w:p>
      <w:pPr>
        <w:spacing w:after="0" w:line="17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global spread of COVID-19 has created significant volatility, uncertainty and economic disruption. The extent to which the coronavirus pandemic impacts our business, operations, and financial results is uncertain and will depend on numerous evolving factors that we may not be able to accurately predict, including:</w:t>
      </w:r>
    </w:p>
    <w:p>
      <w:pPr>
        <w:spacing w:after="0" w:line="18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governmental, business and individual actions taken in response to the pandemic and the impact of those actions on global economic activity;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actions taken in response to economic disruption;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business disruptions;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increase in business failures that we may utilize as industry partners and the customers we serve;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uncertainty as to the impact or staff availability during and post the pandemic; and</w:t>
      </w:r>
    </w:p>
    <w:p>
      <w:pPr>
        <w:spacing w:after="0" w:line="9" w:lineRule="exact"/>
        <w:rPr>
          <w:rFonts w:ascii="Arial" w:cs="Arial" w:eastAsia="Arial" w:hAnsi="Arial"/>
          <w:sz w:val="18"/>
          <w:szCs w:val="18"/>
          <w:color w:val="auto"/>
        </w:rPr>
      </w:pPr>
    </w:p>
    <w:p>
      <w:pPr>
        <w:ind w:left="660" w:right="40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provide our services, including as a result of our employees or our customers and suppliers working remotely and/or closures of offices and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March 2020, we issued 11,136 shares of common stock to our independent directors in connection with our Director Compensation Plan. We also issued a total 35,032 shares of stock in connection with the exercise of options under our 2013 equity compensation plan.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None</w:t>
            </w:r>
          </w:p>
        </w:tc>
        <w:tc>
          <w:tcPr>
            <w:tcW w:w="8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8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9"/>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78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5"/>
        </w:trPr>
        <w:tc>
          <w:tcPr>
            <w:tcW w:w="12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5"/>
                <w:szCs w:val="15"/>
                <w:color w:val="auto"/>
              </w:rPr>
            </w:pPr>
          </w:p>
        </w:tc>
        <w:tc>
          <w:tcPr>
            <w:tcW w:w="9740" w:type="dxa"/>
            <w:vAlign w:val="bottom"/>
            <w:tcBorders>
              <w:top w:val="single" w:sz="8" w:color="auto"/>
              <w:bottom w:val="single" w:sz="8" w:color="0000EE"/>
            </w:tcBorders>
            <w:gridSpan w:val="5"/>
          </w:tcPr>
          <w:p>
            <w:pPr>
              <w:spacing w:after="0" w:line="17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Certification of Chief Executive Officer pursuant to 18 U.S.C. Section 1350, as adopted pursuant to Section 302 of the Sarbanes-Oxley</w:t>
              </w:r>
            </w:hyperlink>
          </w:p>
        </w:tc>
        <w:tc>
          <w:tcPr>
            <w:tcW w:w="40" w:type="dxa"/>
            <w:vAlign w:val="bottom"/>
            <w:tcBorders>
              <w:top w:val="single" w:sz="8" w:color="auto"/>
            </w:tcBorders>
          </w:tcPr>
          <w:p>
            <w:pPr>
              <w:spacing w:after="0"/>
              <w:rPr>
                <w:sz w:val="15"/>
                <w:szCs w:val="15"/>
                <w:color w:val="auto"/>
              </w:rPr>
            </w:pPr>
          </w:p>
        </w:tc>
      </w:tr>
      <w:tr>
        <w:trPr>
          <w:trHeight w:val="196"/>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80" w:type="dxa"/>
            <w:vAlign w:val="bottom"/>
            <w:gridSpan w:val="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Act of 2002</w:t>
              </w:r>
            </w:hyperlink>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9780" w:type="dxa"/>
            <w:vAlign w:val="bottom"/>
            <w:gridSpan w:val="6"/>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Certification of Chief Financial Officer pursuant to 18 U.S.C. Section 1350, as adopted pursuant to Section 302 of the Sarbanes-Oxley</w:t>
              </w:r>
            </w:hyperlink>
          </w:p>
        </w:tc>
      </w:tr>
      <w:tr>
        <w:trPr>
          <w:trHeight w:val="196"/>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Act of 2002</w:t>
              </w:r>
            </w:hyperlink>
          </w:p>
        </w:tc>
        <w:tc>
          <w:tcPr>
            <w:tcW w:w="10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r>
      <w:tr>
        <w:trPr>
          <w:trHeight w:val="196"/>
        </w:trPr>
        <w:tc>
          <w:tcPr>
            <w:tcW w:w="12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9780" w:type="dxa"/>
            <w:vAlign w:val="bottom"/>
            <w:gridSpan w:val="6"/>
          </w:tcPr>
          <w:p>
            <w:pPr>
              <w:spacing w:after="0" w:line="19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Certification of Chief Executive Officer and Chief Financial Officer pursuant to 18 U.S.C. Section 1350, as adopted pursuant to</w:t>
              </w:r>
            </w:hyperlink>
          </w:p>
        </w:tc>
      </w:tr>
      <w:tr>
        <w:trPr>
          <w:trHeight w:val="196"/>
        </w:trPr>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Section 906 of the Sarbanes-Oxley Act of 2002</w:t>
              </w:r>
            </w:hyperlink>
          </w:p>
        </w:tc>
        <w:tc>
          <w:tcPr>
            <w:tcW w:w="5780" w:type="dxa"/>
            <w:vAlign w:val="bottom"/>
            <w:tcBorders>
              <w:top w:val="single" w:sz="8" w:color="0000EE"/>
            </w:tcBorders>
          </w:tcPr>
          <w:p>
            <w:pPr>
              <w:spacing w:after="0"/>
              <w:rPr>
                <w:sz w:val="17"/>
                <w:szCs w:val="17"/>
                <w:color w:val="auto"/>
              </w:rPr>
            </w:pPr>
          </w:p>
        </w:tc>
        <w:tc>
          <w:tcPr>
            <w:tcW w:w="580" w:type="dxa"/>
            <w:vAlign w:val="bottom"/>
            <w:gridSpan w:val="3"/>
          </w:tcPr>
          <w:p>
            <w:pPr>
              <w:spacing w:after="0"/>
              <w:rPr>
                <w:sz w:val="17"/>
                <w:szCs w:val="17"/>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w w:val="96"/>
              </w:rPr>
              <w:t>The following materials from the Company’s Quarterly Report on Form 10-Q for the quarter ended March 31, 2020 formatted in</w:t>
            </w:r>
          </w:p>
        </w:tc>
      </w:tr>
      <w:tr>
        <w:trPr>
          <w:trHeight w:val="230"/>
        </w:trPr>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rPr>
              <w:t>Extensible Business Reporting Language (XBRL).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Provided herewith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May 6, 2020</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18"/>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May 6, 2020</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r>
        <w:trPr>
          <w:trHeight w:val="655"/>
        </w:trPr>
        <w:tc>
          <w:tcPr>
            <w:tcW w:w="732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17</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OptimizeRx Corp (the “registrant”);</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111"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2020 of OptimizeRx Corp (the “registrant”);</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11"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March 31, 2020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Febbo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Willian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Principal Executive Officer, and Director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6, 2020</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P. Baker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Principal Financial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2020-05-06T15:13:21Z</dcterms:created>
  <dcterms:modified xsi:type="dcterms:W3CDTF">2020-05-06T15:13:21Z</dcterms:modified>
</cp:coreProperties>
</file>