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Corporation</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Par Value $0.001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6840IU204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is filed:</w:t>
      </w:r>
    </w:p>
    <w:p>
      <w:pPr>
        <w:spacing w:after="0" w:line="200" w:lineRule="exact"/>
        <w:rPr>
          <w:sz w:val="24"/>
          <w:szCs w:val="24"/>
          <w:color w:val="auto"/>
        </w:rPr>
      </w:pPr>
    </w:p>
    <w:p>
      <w:pPr>
        <w:spacing w:after="0" w:line="374" w:lineRule="exact"/>
        <w:rPr>
          <w:sz w:val="24"/>
          <w:szCs w:val="24"/>
          <w:color w:val="auto"/>
        </w:rPr>
      </w:pPr>
    </w:p>
    <w:p>
      <w:pPr>
        <w:jc w:val="both"/>
        <w:ind w:right="8239" w:firstLine="8"/>
        <w:spacing w:after="0" w:line="344" w:lineRule="auto"/>
        <w:tabs>
          <w:tab w:leader="none" w:pos="5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36" w:lineRule="exact"/>
        <w:rPr>
          <w:sz w:val="24"/>
          <w:szCs w:val="24"/>
          <w:color w:val="auto"/>
        </w:rPr>
      </w:pPr>
    </w:p>
    <w:p>
      <w:pPr>
        <w:ind w:right="275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5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6840IU204</w:t>
      </w:r>
    </w:p>
    <w:p>
      <w:pPr>
        <w:spacing w:after="0" w:line="31" w:lineRule="exact"/>
        <w:rPr>
          <w:sz w:val="24"/>
          <w:szCs w:val="24"/>
          <w:color w:val="auto"/>
        </w:rPr>
      </w:pPr>
    </w:p>
    <w:p>
      <w:pPr>
        <w:ind w:right="3179" w:firstLine="8"/>
        <w:spacing w:after="0" w:line="238"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ind w:right="3699" w:firstLine="8"/>
        <w:spacing w:after="0" w:line="309"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(a)___ b)___</w:t>
      </w:r>
    </w:p>
    <w:p>
      <w:pPr>
        <w:spacing w:after="0" w:line="50"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0" w:lineRule="exact"/>
        <w:rPr>
          <w:rFonts w:ascii="Courier New" w:cs="Courier New" w:eastAsia="Courier New" w:hAnsi="Courier New"/>
          <w:sz w:val="18"/>
          <w:szCs w:val="18"/>
          <w:color w:val="auto"/>
        </w:rPr>
      </w:pPr>
    </w:p>
    <w:p>
      <w:pPr>
        <w:ind w:right="2759" w:firstLine="8"/>
        <w:spacing w:after="0" w:line="238"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ind w:right="69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rPr>
          <w:sz w:val="20"/>
          <w:szCs w:val="20"/>
          <w:color w:val="auto"/>
        </w:rPr>
      </w:pPr>
      <w:r>
        <w:rPr>
          <w:rFonts w:ascii="Courier New" w:cs="Courier New" w:eastAsia="Courier New" w:hAnsi="Courier New"/>
          <w:sz w:val="18"/>
          <w:szCs w:val="18"/>
          <w:color w:val="auto"/>
        </w:rPr>
        <w:t>1,071,832**</w:t>
      </w:r>
    </w:p>
    <w:p>
      <w:pPr>
        <w:spacing w:after="0" w:line="169" w:lineRule="exact"/>
        <w:rPr>
          <w:sz w:val="24"/>
          <w:szCs w:val="24"/>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(6) Shared Voting Power:</w:t>
      </w:r>
      <w:r>
        <w:rPr>
          <w:sz w:val="20"/>
          <w:szCs w:val="20"/>
          <w:color w:val="auto"/>
        </w:rPr>
        <w:tab/>
      </w:r>
      <w:r>
        <w:rPr>
          <w:rFonts w:ascii="Courier New" w:cs="Courier New" w:eastAsia="Courier New" w:hAnsi="Courier New"/>
          <w:sz w:val="16"/>
          <w:szCs w:val="16"/>
          <w:color w:val="auto"/>
        </w:rPr>
        <w:t>0**</w:t>
      </w:r>
    </w:p>
    <w:p>
      <w:pPr>
        <w:spacing w:after="0" w:line="201" w:lineRule="exact"/>
        <w:rPr>
          <w:sz w:val="24"/>
          <w:szCs w:val="24"/>
          <w:color w:val="auto"/>
        </w:rPr>
      </w:pPr>
    </w:p>
    <w:p>
      <w:pPr>
        <w:ind w:right="7279" w:firstLine="8"/>
        <w:spacing w:after="0" w:line="346"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1,071,832**</w:t>
      </w:r>
    </w:p>
    <w:p>
      <w:pPr>
        <w:spacing w:after="0" w:line="22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30" w:lineRule="exact"/>
        <w:rPr>
          <w:rFonts w:ascii="Courier New" w:cs="Courier New" w:eastAsia="Courier New" w:hAnsi="Courier New"/>
          <w:sz w:val="18"/>
          <w:szCs w:val="18"/>
          <w:color w:val="auto"/>
        </w:rPr>
      </w:pPr>
    </w:p>
    <w:p>
      <w:pPr>
        <w:ind w:right="3699" w:firstLine="8"/>
        <w:spacing w:after="0" w:line="238"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1,071,832**</w:t>
      </w:r>
    </w:p>
    <w:p>
      <w:pPr>
        <w:ind w:right="2559" w:firstLine="8"/>
        <w:spacing w:after="0" w:line="238"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ind w:left="860" w:hanging="852"/>
        <w:spacing w:after="0" w:line="238"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ind w:right="2859"/>
        <w:spacing w:after="0" w:line="290" w:lineRule="auto"/>
        <w:rPr>
          <w:sz w:val="20"/>
          <w:szCs w:val="20"/>
          <w:color w:val="auto"/>
        </w:rPr>
      </w:pPr>
      <w:r>
        <w:rPr>
          <w:rFonts w:ascii="Courier New" w:cs="Courier New" w:eastAsia="Courier New" w:hAnsi="Courier New"/>
          <w:sz w:val="16"/>
          <w:szCs w:val="16"/>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206,922</w:t>
      </w:r>
    </w:p>
    <w:p>
      <w:pPr>
        <w:sectPr>
          <w:pgSz w:w="11900" w:h="16952" w:orient="portrait"/>
          <w:cols w:equalWidth="0" w:num="1">
            <w:col w:w="10139"/>
          </w:cols>
          <w:pgMar w:left="320" w:top="218" w:right="1440" w:bottom="0" w:gutter="0" w:footer="0" w:header="0"/>
        </w:sectPr>
      </w:pPr>
    </w:p>
    <w:bookmarkStart w:id="1" w:name="page2"/>
    <w:bookmarkEnd w:id="1"/>
    <w:p>
      <w:pPr>
        <w:ind w:right="3179"/>
        <w:spacing w:after="0" w:line="344" w:lineRule="auto"/>
        <w:rPr>
          <w:sz w:val="20"/>
          <w:szCs w:val="20"/>
          <w:color w:val="auto"/>
        </w:rPr>
      </w:pPr>
      <w:r>
        <w:rPr>
          <w:rFonts w:ascii="Courier New" w:cs="Courier New" w:eastAsia="Courier New" w:hAnsi="Courier New"/>
          <w:sz w:val="16"/>
          <w:szCs w:val="16"/>
          <w:color w:val="auto"/>
        </w:rPr>
        <w:t>shares of Common Stock of the Issuer (the Shares) held by CAYMAN, 738,197 Shares held by SSFQP and 126,713 Shares held by SSPE. See Items 2 and 4 of this Schedule for additional information.</w:t>
      </w:r>
    </w:p>
    <w:p>
      <w:pPr>
        <w:spacing w:after="0" w:line="23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 OptimizeRx Corporation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260 Charles Street ? Suite 302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Waltham, Massachusetts 02453</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right="3499"/>
        <w:spacing w:after="0" w:line="285" w:lineRule="auto"/>
        <w:rPr>
          <w:sz w:val="20"/>
          <w:szCs w:val="20"/>
          <w:color w:val="auto"/>
        </w:rPr>
      </w:pPr>
      <w:r>
        <w:rPr>
          <w:rFonts w:ascii="Courier New" w:cs="Courier New" w:eastAsia="Courier New" w:hAnsi="Courier New"/>
          <w:sz w:val="16"/>
          <w:szCs w:val="16"/>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290" w:lineRule="exact"/>
        <w:rPr>
          <w:sz w:val="20"/>
          <w:szCs w:val="20"/>
          <w:color w:val="auto"/>
        </w:rPr>
      </w:pPr>
    </w:p>
    <w:p>
      <w:pPr>
        <w:ind w:right="3499"/>
        <w:spacing w:after="0" w:line="253" w:lineRule="auto"/>
        <w:rPr>
          <w:sz w:val="20"/>
          <w:szCs w:val="20"/>
          <w:color w:val="auto"/>
        </w:rPr>
      </w:pPr>
      <w:r>
        <w:rPr>
          <w:rFonts w:ascii="Courier New" w:cs="Courier New" w:eastAsia="Courier New" w:hAnsi="Courier New"/>
          <w:sz w:val="18"/>
          <w:szCs w:val="18"/>
          <w:color w:val="auto"/>
        </w:rPr>
        <w:t>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Greenhouse and Stettner are also controlling principals of AWM.</w:t>
      </w:r>
    </w:p>
    <w:p>
      <w:pPr>
        <w:spacing w:after="0" w:line="103" w:lineRule="exact"/>
        <w:rPr>
          <w:sz w:val="20"/>
          <w:szCs w:val="20"/>
          <w:color w:val="auto"/>
        </w:rPr>
      </w:pPr>
    </w:p>
    <w:p>
      <w:pPr>
        <w:ind w:right="3819"/>
        <w:spacing w:after="0" w:line="257" w:lineRule="auto"/>
        <w:rPr>
          <w:sz w:val="20"/>
          <w:szCs w:val="20"/>
          <w:color w:val="auto"/>
        </w:rPr>
      </w:pPr>
      <w:r>
        <w:rPr>
          <w:rFonts w:ascii="Courier New" w:cs="Courier New" w:eastAsia="Courier New" w:hAnsi="Courier New"/>
          <w:sz w:val="18"/>
          <w:szCs w:val="18"/>
          <w:color w:val="auto"/>
        </w:rPr>
        <w:t>Item 2(b). Address of Principal Business Office or, if None, Residence:</w:t>
      </w:r>
    </w:p>
    <w:p>
      <w:pPr>
        <w:ind w:right="3599"/>
        <w:spacing w:after="0" w:line="238" w:lineRule="auto"/>
        <w:rPr>
          <w:sz w:val="20"/>
          <w:szCs w:val="20"/>
          <w:color w:val="auto"/>
        </w:rPr>
      </w:pPr>
      <w:r>
        <w:rPr>
          <w:rFonts w:ascii="Courier New" w:cs="Courier New" w:eastAsia="Courier New" w:hAnsi="Courier New"/>
          <w:sz w:val="18"/>
          <w:szCs w:val="18"/>
          <w:color w:val="auto"/>
        </w:rPr>
        <w:t>The principal business address for AWM is c/o Special Situations Funds, 527 Madison Avenue, Suite 2600, New York, NY 10022.</w:t>
      </w: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AWM is a Delaware Corporation.</w:t>
      </w:r>
    </w:p>
    <w:p>
      <w:pPr>
        <w:ind w:right="3279"/>
        <w:spacing w:after="0" w:line="309" w:lineRule="auto"/>
        <w:rPr>
          <w:sz w:val="20"/>
          <w:szCs w:val="20"/>
          <w:color w:val="auto"/>
        </w:rPr>
      </w:pPr>
      <w:r>
        <w:rPr>
          <w:rFonts w:ascii="Courier New" w:cs="Courier New" w:eastAsia="Courier New" w:hAnsi="Courier New"/>
          <w:sz w:val="18"/>
          <w:szCs w:val="18"/>
          <w:color w:val="auto"/>
        </w:rPr>
        <w:t>Item 2(d). Title of Class of Securities: Common Stock, Par Value $0.001</w:t>
      </w:r>
    </w:p>
    <w:p>
      <w:pPr>
        <w:spacing w:after="0" w:line="50" w:lineRule="exact"/>
        <w:rPr>
          <w:sz w:val="20"/>
          <w:szCs w:val="20"/>
          <w:color w:val="auto"/>
        </w:rPr>
      </w:pP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6840IU204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1,071,832**</w:t>
      </w:r>
    </w:p>
    <w:p>
      <w:pPr>
        <w:spacing w:after="0" w:line="201" w:lineRule="exact"/>
        <w:rPr>
          <w:sz w:val="20"/>
          <w:szCs w:val="20"/>
          <w:color w:val="auto"/>
        </w:rPr>
      </w:pPr>
    </w:p>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5.9%**</w:t>
      </w:r>
    </w:p>
    <w:p>
      <w:pPr>
        <w:spacing w:after="0" w:line="201" w:lineRule="exact"/>
        <w:rPr>
          <w:sz w:val="20"/>
          <w:szCs w:val="20"/>
          <w:color w:val="auto"/>
        </w:rPr>
      </w:pPr>
    </w:p>
    <w:p>
      <w:pPr>
        <w:ind w:left="1700" w:hanging="849"/>
        <w:spacing w:after="0"/>
        <w:tabs>
          <w:tab w:leader="none" w:pos="17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847"/>
        <w:spacing w:after="0"/>
        <w:tabs>
          <w:tab w:leader="none" w:pos="2540"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1,071,832**</w:t>
      </w:r>
    </w:p>
    <w:p>
      <w:pPr>
        <w:spacing w:after="0" w:line="223" w:lineRule="exact"/>
        <w:rPr>
          <w:rFonts w:ascii="Courier New" w:cs="Courier New" w:eastAsia="Courier New" w:hAnsi="Courier New"/>
          <w:sz w:val="16"/>
          <w:szCs w:val="16"/>
          <w:color w:val="auto"/>
        </w:rPr>
      </w:pPr>
    </w:p>
    <w:p>
      <w:pPr>
        <w:ind w:left="2540" w:hanging="1163"/>
        <w:spacing w:after="0"/>
        <w:tabs>
          <w:tab w:leader="none" w:pos="25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2000" w:right="1919" w:hanging="728"/>
        <w:spacing w:after="0" w:line="346" w:lineRule="auto"/>
        <w:tabs>
          <w:tab w:leader="none" w:pos="2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1,071,832**</w:t>
      </w:r>
    </w:p>
    <w:p>
      <w:pPr>
        <w:spacing w:after="0" w:line="19" w:lineRule="exact"/>
        <w:rPr>
          <w:rFonts w:ascii="Courier New" w:cs="Courier New" w:eastAsia="Courier New" w:hAnsi="Courier New"/>
          <w:sz w:val="18"/>
          <w:szCs w:val="18"/>
          <w:color w:val="auto"/>
        </w:rPr>
      </w:pPr>
    </w:p>
    <w:p>
      <w:pPr>
        <w:ind w:left="2000" w:right="2119" w:hanging="623"/>
        <w:spacing w:after="0" w:line="257" w:lineRule="auto"/>
        <w:tabs>
          <w:tab w:leader="none" w:pos="2527"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w:t>
      </w:r>
    </w:p>
    <w:p>
      <w:pPr>
        <w:spacing w:after="0" w:line="169" w:lineRule="exact"/>
        <w:rPr>
          <w:sz w:val="20"/>
          <w:szCs w:val="20"/>
          <w:color w:val="auto"/>
        </w:rPr>
      </w:pPr>
    </w:p>
    <w:p>
      <w:pPr>
        <w:ind w:right="2859" w:firstLine="8"/>
        <w:spacing w:after="0" w:line="253"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AWM is the investment adviser to each of the Funds. As the investment adviser to the Funds, AWM holds sole voting and investment power over 206,922 shares of Common Stock of the Issuer (the Shares) held by CAYMAN, 738,197 Shares held by SSFQP and 126,713 Shares held by SSPE. Greenhouse and Stettner are members of: SSCAY, the general partner of CAYMAN; MGP, the general partner of SSFQP; and MG, the general partner of SSPE. Greenhouse and Stettner are also controlling principals of AWM.</w:t>
      </w:r>
    </w:p>
    <w:p>
      <w:pPr>
        <w:sectPr>
          <w:pgSz w:w="11900" w:h="16838" w:orient="portrait"/>
          <w:cols w:equalWidth="0" w:num="1">
            <w:col w:w="10139"/>
          </w:cols>
          <w:pgMar w:left="320" w:top="110"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right="2759" w:firstLine="843"/>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___</w:t>
      </w:r>
    </w:p>
    <w:p>
      <w:pPr>
        <w:spacing w:after="0" w:line="81"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6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559" w:firstLine="843"/>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859" w:firstLine="843"/>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Adam Stettner___</w:t>
      </w:r>
    </w:p>
    <w:p>
      <w:pPr>
        <w:spacing w:after="0" w:line="29"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tab/>
        <w:t>Adam Stettner</w:t>
      </w:r>
    </w:p>
    <w:p>
      <w:pPr>
        <w:ind w:left="320"/>
        <w:spacing w:after="0"/>
        <w:tabs>
          <w:tab w:leader="none" w:pos="1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2859"/>
        <w:spacing w:after="0" w:line="310"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-1-</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2024-11-14T14:22:10Z</dcterms:created>
  <dcterms:modified xsi:type="dcterms:W3CDTF">2024-11-14T14:22:10Z</dcterms:modified>
</cp:coreProperties>
</file>