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May 15, 2014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32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2480" w:type="dxa"/>
            <w:vAlign w:val="bottom"/>
            <w:gridSpan w:val="3"/>
          </w:tcPr>
          <w:p>
            <w:pPr>
              <w:jc w:val="center"/>
              <w:ind w:right="1850"/>
              <w:spacing w:after="0"/>
              <w:rPr>
                <w:sz w:val="20"/>
                <w:szCs w:val="20"/>
                <w:color w:val="auto"/>
              </w:rPr>
            </w:pPr>
            <w:r>
              <w:rPr>
                <w:rFonts w:ascii="Arial" w:cs="Arial" w:eastAsia="Arial" w:hAnsi="Arial"/>
                <w:sz w:val="18"/>
                <w:szCs w:val="18"/>
                <w:color w:val="auto"/>
                <w:w w:val="86"/>
              </w:rPr>
              <w:t>Nevada</w:t>
            </w:r>
          </w:p>
        </w:tc>
        <w:tc>
          <w:tcPr>
            <w:tcW w:w="3380" w:type="dxa"/>
            <w:vAlign w:val="bottom"/>
            <w:gridSpan w:val="3"/>
          </w:tcPr>
          <w:p>
            <w:pPr>
              <w:jc w:val="right"/>
              <w:ind w:right="1360"/>
              <w:spacing w:after="0"/>
              <w:rPr>
                <w:sz w:val="20"/>
                <w:szCs w:val="20"/>
                <w:color w:val="auto"/>
              </w:rPr>
            </w:pPr>
            <w:r>
              <w:rPr>
                <w:rFonts w:ascii="Arial" w:cs="Arial" w:eastAsia="Arial" w:hAnsi="Arial"/>
                <w:sz w:val="18"/>
                <w:szCs w:val="18"/>
                <w:color w:val="auto"/>
              </w:rPr>
              <w:t>000-53605</w:t>
            </w:r>
          </w:p>
        </w:tc>
        <w:tc>
          <w:tcPr>
            <w:tcW w:w="3360" w:type="dxa"/>
            <w:vAlign w:val="bottom"/>
            <w:gridSpan w:val="5"/>
          </w:tcPr>
          <w:p>
            <w:pPr>
              <w:jc w:val="right"/>
              <w:ind w:right="860"/>
              <w:spacing w:after="0"/>
              <w:rPr>
                <w:sz w:val="20"/>
                <w:szCs w:val="20"/>
                <w:color w:val="auto"/>
              </w:rPr>
            </w:pPr>
            <w:r>
              <w:rPr>
                <w:rFonts w:ascii="Arial" w:cs="Arial" w:eastAsia="Arial" w:hAnsi="Arial"/>
                <w:sz w:val="18"/>
                <w:szCs w:val="18"/>
                <w:color w:val="auto"/>
              </w:rPr>
              <w:t>26-1265381</w:t>
            </w: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3780" w:type="dxa"/>
            <w:vAlign w:val="bottom"/>
            <w:gridSpan w:val="4"/>
          </w:tcPr>
          <w:p>
            <w:pPr>
              <w:jc w:val="center"/>
              <w:ind w:right="530"/>
              <w:spacing w:after="0"/>
              <w:rPr>
                <w:sz w:val="20"/>
                <w:szCs w:val="20"/>
                <w:color w:val="auto"/>
              </w:rPr>
            </w:pPr>
            <w:r>
              <w:rPr>
                <w:rFonts w:ascii="Arial" w:cs="Arial" w:eastAsia="Arial" w:hAnsi="Arial"/>
                <w:sz w:val="18"/>
                <w:szCs w:val="18"/>
                <w:color w:val="auto"/>
                <w:w w:val="92"/>
              </w:rPr>
              <w:t>(State or other jurisdiction of incorporation)</w:t>
            </w:r>
          </w:p>
        </w:tc>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(Commission File Number)</w:t>
            </w:r>
          </w:p>
        </w:tc>
        <w:tc>
          <w:tcPr>
            <w:tcW w:w="3360" w:type="dxa"/>
            <w:vAlign w:val="bottom"/>
            <w:gridSpan w:val="5"/>
          </w:tcPr>
          <w:p>
            <w:pPr>
              <w:jc w:val="center"/>
              <w:ind w:left="670"/>
              <w:spacing w:after="0"/>
              <w:rPr>
                <w:sz w:val="20"/>
                <w:szCs w:val="20"/>
                <w:color w:val="auto"/>
              </w:rPr>
            </w:pPr>
            <w:r>
              <w:rPr>
                <w:rFonts w:ascii="Arial" w:cs="Arial" w:eastAsia="Arial" w:hAnsi="Arial"/>
                <w:sz w:val="18"/>
                <w:szCs w:val="18"/>
                <w:color w:val="auto"/>
                <w:w w:val="93"/>
              </w:rPr>
              <w:t>(I.R.S. Employer Identification No.)</w:t>
            </w:r>
          </w:p>
        </w:tc>
      </w:tr>
      <w:tr>
        <w:trPr>
          <w:trHeight w:val="392"/>
        </w:trPr>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20" w:type="dxa"/>
            <w:vAlign w:val="bottom"/>
            <w:gridSpan w:val="5"/>
          </w:tcPr>
          <w:p>
            <w:pPr>
              <w:jc w:val="center"/>
              <w:ind w:right="1960"/>
              <w:spacing w:after="0"/>
              <w:rPr>
                <w:sz w:val="20"/>
                <w:szCs w:val="20"/>
                <w:color w:val="auto"/>
              </w:rPr>
            </w:pPr>
            <w:r>
              <w:rPr>
                <w:rFonts w:ascii="Arial" w:cs="Arial" w:eastAsia="Arial" w:hAnsi="Arial"/>
                <w:sz w:val="18"/>
                <w:szCs w:val="18"/>
                <w:color w:val="auto"/>
                <w:w w:val="89"/>
              </w:rPr>
              <w:t>400 Water Street, Suite 200, Rochester, MI</w:t>
            </w:r>
          </w:p>
        </w:tc>
        <w:tc>
          <w:tcPr>
            <w:tcW w:w="2500" w:type="dxa"/>
            <w:vAlign w:val="bottom"/>
            <w:gridSpan w:val="4"/>
          </w:tcPr>
          <w:p>
            <w:pPr>
              <w:jc w:val="right"/>
              <w:ind w:right="22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tcBorders>
              <w:right w:val="single" w:sz="8" w:color="auto"/>
            </w:tcBorders>
            <w:gridSpan w:val="2"/>
            <w:shd w:val="clear" w:color="auto" w:fill="000000"/>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00" w:type="dxa"/>
            <w:vAlign w:val="bottom"/>
            <w:gridSpan w:val="2"/>
          </w:tcPr>
          <w:p>
            <w:pPr>
              <w:spacing w:after="0"/>
              <w:rPr>
                <w:sz w:val="20"/>
                <w:szCs w:val="20"/>
                <w:color w:val="auto"/>
              </w:rPr>
            </w:pPr>
          </w:p>
        </w:tc>
        <w:tc>
          <w:tcPr>
            <w:tcW w:w="1620" w:type="dxa"/>
            <w:vAlign w:val="bottom"/>
          </w:tcPr>
          <w:p>
            <w:pPr>
              <w:spacing w:after="0"/>
              <w:rPr>
                <w:sz w:val="20"/>
                <w:szCs w:val="20"/>
                <w:color w:val="auto"/>
              </w:rPr>
            </w:pPr>
          </w:p>
        </w:tc>
        <w:tc>
          <w:tcPr>
            <w:tcW w:w="1740" w:type="dxa"/>
            <w:vAlign w:val="bottom"/>
            <w:gridSpan w:val="4"/>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(17CFR 230.425)</w:t>
      </w:r>
    </w:p>
    <w:p>
      <w:pPr>
        <w:spacing w:after="0" w:line="23"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20" w:hanging="115"/>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300"/>
          </w:cols>
          <w:pgMar w:left="240" w:top="229"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May 15, 2014, the Company held a conference call to discuss the Company’s first quarter 2014 earnings and other matters of business, a transcript of which is furnished herewith as Exhibit 99.1 and is incorporated herein by reference.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99.1 Conference call transcript dated May 15, 2014</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OPRX First Quarter 2014 Earning Conference Call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 (OPRX)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Moderator: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15,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5:30 p.m. ET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ind w:left="40"/>
              <w:spacing w:after="0"/>
              <w:rPr>
                <w:sz w:val="20"/>
                <w:szCs w:val="20"/>
                <w:color w:val="auto"/>
              </w:rPr>
            </w:pPr>
            <w:r>
              <w:rPr>
                <w:rFonts w:ascii="Arial" w:cs="Arial" w:eastAsia="Arial" w:hAnsi="Arial"/>
                <w:sz w:val="18"/>
                <w:szCs w:val="18"/>
                <w:color w:val="auto"/>
              </w:rPr>
              <w:t>Operator:</w:t>
            </w:r>
          </w:p>
        </w:tc>
        <w:tc>
          <w:tcPr>
            <w:tcW w:w="10020" w:type="dxa"/>
            <w:vAlign w:val="bottom"/>
          </w:tcPr>
          <w:p>
            <w:pPr>
              <w:ind w:left="320"/>
              <w:spacing w:after="0"/>
              <w:rPr>
                <w:sz w:val="20"/>
                <w:szCs w:val="20"/>
                <w:color w:val="auto"/>
              </w:rPr>
            </w:pPr>
            <w:r>
              <w:rPr>
                <w:rFonts w:ascii="Arial" w:cs="Arial" w:eastAsia="Arial" w:hAnsi="Arial"/>
                <w:sz w:val="18"/>
                <w:szCs w:val="18"/>
                <w:color w:val="auto"/>
              </w:rPr>
              <w:t>Good day, everyone, and welcome to the OPTIMIZERx Corporation First Quarter 2014 Earning Conference Call.</w:t>
            </w:r>
          </w:p>
        </w:tc>
      </w:tr>
      <w:tr>
        <w:trPr>
          <w:trHeight w:val="391"/>
        </w:trPr>
        <w:tc>
          <w:tcPr>
            <w:tcW w:w="1400" w:type="dxa"/>
            <w:vAlign w:val="bottom"/>
          </w:tcPr>
          <w:p>
            <w:pPr>
              <w:spacing w:after="0"/>
              <w:rPr>
                <w:sz w:val="24"/>
                <w:szCs w:val="24"/>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9"/>
              </w:rPr>
              <w:t>Just as a reminder, today's conference is being recorded. This will be a 45-minute call with the potential for questions after</w:t>
            </w:r>
          </w:p>
        </w:tc>
      </w:tr>
      <w:tr>
        <w:trPr>
          <w:trHeight w:val="216"/>
        </w:trPr>
        <w:tc>
          <w:tcPr>
            <w:tcW w:w="1400" w:type="dxa"/>
            <w:vAlign w:val="bottom"/>
          </w:tcPr>
          <w:p>
            <w:pPr>
              <w:spacing w:after="0"/>
              <w:rPr>
                <w:sz w:val="18"/>
                <w:szCs w:val="18"/>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6"/>
              </w:rPr>
              <w:t>discussion. A transcript will be available for 90 days for those interested parties who want a copy. Please contact Ms. Gabrielle</w:t>
            </w:r>
          </w:p>
        </w:tc>
      </w:tr>
      <w:tr>
        <w:trPr>
          <w:trHeight w:val="230"/>
        </w:trPr>
        <w:tc>
          <w:tcPr>
            <w:tcW w:w="1400" w:type="dxa"/>
            <w:vAlign w:val="bottom"/>
          </w:tcPr>
          <w:p>
            <w:pPr>
              <w:spacing w:after="0"/>
              <w:rPr>
                <w:sz w:val="20"/>
                <w:szCs w:val="20"/>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rPr>
              <w:t>Sabatini in our Rochester, Michigan headquarters.</w:t>
            </w:r>
          </w:p>
        </w:tc>
      </w:tr>
      <w:tr>
        <w:trPr>
          <w:trHeight w:val="391"/>
        </w:trPr>
        <w:tc>
          <w:tcPr>
            <w:tcW w:w="1400" w:type="dxa"/>
            <w:vAlign w:val="bottom"/>
          </w:tcPr>
          <w:p>
            <w:pPr>
              <w:spacing w:after="0"/>
              <w:rPr>
                <w:sz w:val="24"/>
                <w:szCs w:val="24"/>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rPr>
              <w:t>Now for opening remark and introduction, I would like to turn the call over to Mr. David Lester, Chief Operating Officer for</w:t>
            </w:r>
          </w:p>
        </w:tc>
      </w:tr>
      <w:tr>
        <w:trPr>
          <w:trHeight w:val="230"/>
        </w:trPr>
        <w:tc>
          <w:tcPr>
            <w:tcW w:w="1400" w:type="dxa"/>
            <w:vAlign w:val="bottom"/>
          </w:tcPr>
          <w:p>
            <w:pPr>
              <w:spacing w:after="0"/>
              <w:rPr>
                <w:sz w:val="20"/>
                <w:szCs w:val="20"/>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rPr>
              <w:t>OPTIMIZERx.</w:t>
            </w:r>
          </w:p>
        </w:tc>
      </w:tr>
      <w:tr>
        <w:trPr>
          <w:trHeight w:val="458"/>
        </w:trPr>
        <w:tc>
          <w:tcPr>
            <w:tcW w:w="1400" w:type="dxa"/>
            <w:vAlign w:val="bottom"/>
          </w:tcPr>
          <w:p>
            <w:pPr>
              <w:ind w:left="40"/>
              <w:spacing w:after="0"/>
              <w:rPr>
                <w:sz w:val="20"/>
                <w:szCs w:val="20"/>
                <w:color w:val="auto"/>
              </w:rPr>
            </w:pPr>
            <w:r>
              <w:rPr>
                <w:rFonts w:ascii="Arial" w:cs="Arial" w:eastAsia="Arial" w:hAnsi="Arial"/>
                <w:sz w:val="18"/>
                <w:szCs w:val="18"/>
                <w:color w:val="auto"/>
              </w:rPr>
              <w:t>David Lester:</w:t>
            </w:r>
          </w:p>
        </w:tc>
        <w:tc>
          <w:tcPr>
            <w:tcW w:w="10020" w:type="dxa"/>
            <w:vAlign w:val="bottom"/>
          </w:tcPr>
          <w:p>
            <w:pPr>
              <w:ind w:left="320"/>
              <w:spacing w:after="0"/>
              <w:rPr>
                <w:sz w:val="20"/>
                <w:szCs w:val="20"/>
                <w:color w:val="auto"/>
              </w:rPr>
            </w:pPr>
            <w:r>
              <w:rPr>
                <w:rFonts w:ascii="Arial" w:cs="Arial" w:eastAsia="Arial" w:hAnsi="Arial"/>
                <w:sz w:val="18"/>
                <w:szCs w:val="18"/>
                <w:color w:val="auto"/>
                <w:w w:val="94"/>
              </w:rPr>
              <w:t>Thank you, (Stephanie), and welcome, everybody, to the OPTIMIZERx first quarter 2014 earnings call. Good afternoon wherever</w:t>
            </w:r>
          </w:p>
        </w:tc>
      </w:tr>
      <w:tr>
        <w:trPr>
          <w:trHeight w:val="230"/>
        </w:trPr>
        <w:tc>
          <w:tcPr>
            <w:tcW w:w="1400" w:type="dxa"/>
            <w:vAlign w:val="bottom"/>
          </w:tcPr>
          <w:p>
            <w:pPr>
              <w:spacing w:after="0"/>
              <w:rPr>
                <w:sz w:val="20"/>
                <w:szCs w:val="20"/>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rPr>
              <w:t>you maybe and thank you for joining.</w:t>
            </w:r>
          </w:p>
        </w:tc>
      </w:tr>
      <w:tr>
        <w:trPr>
          <w:trHeight w:val="391"/>
        </w:trPr>
        <w:tc>
          <w:tcPr>
            <w:tcW w:w="1400" w:type="dxa"/>
            <w:vAlign w:val="bottom"/>
          </w:tcPr>
          <w:p>
            <w:pPr>
              <w:spacing w:after="0"/>
              <w:rPr>
                <w:sz w:val="24"/>
                <w:szCs w:val="24"/>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1"/>
              </w:rPr>
              <w:t>As always with our earnings call, I want to start and begin the call with the safe harbor language. This conference may contain certain</w:t>
            </w:r>
          </w:p>
        </w:tc>
      </w:tr>
      <w:tr>
        <w:trPr>
          <w:trHeight w:val="216"/>
        </w:trPr>
        <w:tc>
          <w:tcPr>
            <w:tcW w:w="1400" w:type="dxa"/>
            <w:vAlign w:val="bottom"/>
          </w:tcPr>
          <w:p>
            <w:pPr>
              <w:spacing w:after="0"/>
              <w:rPr>
                <w:sz w:val="18"/>
                <w:szCs w:val="18"/>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4"/>
              </w:rPr>
              <w:t>forward-looking statements within the definition of Section 27A of the Securities Act of 1933 as amended and such section 21E of</w:t>
            </w:r>
          </w:p>
        </w:tc>
      </w:tr>
      <w:tr>
        <w:trPr>
          <w:trHeight w:val="216"/>
        </w:trPr>
        <w:tc>
          <w:tcPr>
            <w:tcW w:w="1400" w:type="dxa"/>
            <w:vAlign w:val="bottom"/>
          </w:tcPr>
          <w:p>
            <w:pPr>
              <w:spacing w:after="0"/>
              <w:rPr>
                <w:sz w:val="18"/>
                <w:szCs w:val="18"/>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2"/>
              </w:rPr>
              <w:t>the Securities Act of 1934, amended. These forward-looking statements should not be used to make any investment decisions. The</w:t>
            </w:r>
          </w:p>
        </w:tc>
      </w:tr>
      <w:tr>
        <w:trPr>
          <w:trHeight w:val="216"/>
        </w:trPr>
        <w:tc>
          <w:tcPr>
            <w:tcW w:w="1400" w:type="dxa"/>
            <w:vAlign w:val="bottom"/>
          </w:tcPr>
          <w:p>
            <w:pPr>
              <w:spacing w:after="0"/>
              <w:rPr>
                <w:sz w:val="18"/>
                <w:szCs w:val="18"/>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1"/>
              </w:rPr>
              <w:t>words potentially, estimate, possible, and seeking, and similar expressions identify forward-looking statements which speak only as to</w:t>
            </w:r>
          </w:p>
        </w:tc>
      </w:tr>
      <w:tr>
        <w:trPr>
          <w:trHeight w:val="216"/>
        </w:trPr>
        <w:tc>
          <w:tcPr>
            <w:tcW w:w="1400" w:type="dxa"/>
            <w:vAlign w:val="bottom"/>
          </w:tcPr>
          <w:p>
            <w:pPr>
              <w:spacing w:after="0"/>
              <w:rPr>
                <w:sz w:val="18"/>
                <w:szCs w:val="18"/>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8"/>
              </w:rPr>
              <w:t>the date the statement was made. The company undertakes no obligation to publically update or revise any forward-looking</w:t>
            </w:r>
          </w:p>
        </w:tc>
      </w:tr>
      <w:tr>
        <w:trPr>
          <w:trHeight w:val="216"/>
        </w:trPr>
        <w:tc>
          <w:tcPr>
            <w:tcW w:w="1400" w:type="dxa"/>
            <w:vAlign w:val="bottom"/>
          </w:tcPr>
          <w:p>
            <w:pPr>
              <w:spacing w:after="0"/>
              <w:rPr>
                <w:sz w:val="18"/>
                <w:szCs w:val="18"/>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3"/>
              </w:rPr>
              <w:t>statements, whether because of new information, future events, or otherwise. Forward-looking statements are inherently subject to</w:t>
            </w:r>
          </w:p>
        </w:tc>
      </w:tr>
      <w:tr>
        <w:trPr>
          <w:trHeight w:val="216"/>
        </w:trPr>
        <w:tc>
          <w:tcPr>
            <w:tcW w:w="1400" w:type="dxa"/>
            <w:vAlign w:val="bottom"/>
          </w:tcPr>
          <w:p>
            <w:pPr>
              <w:spacing w:after="0"/>
              <w:rPr>
                <w:sz w:val="18"/>
                <w:szCs w:val="18"/>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1"/>
              </w:rPr>
              <w:t>risks and uncertainties. Some of which cannot be predicted or quantified. Future events and actual results could differ materially from</w:t>
            </w:r>
          </w:p>
        </w:tc>
      </w:tr>
      <w:tr>
        <w:trPr>
          <w:trHeight w:val="216"/>
        </w:trPr>
        <w:tc>
          <w:tcPr>
            <w:tcW w:w="1400" w:type="dxa"/>
            <w:vAlign w:val="bottom"/>
          </w:tcPr>
          <w:p>
            <w:pPr>
              <w:spacing w:after="0"/>
              <w:rPr>
                <w:sz w:val="18"/>
                <w:szCs w:val="18"/>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5"/>
              </w:rPr>
              <w:t>set forth or contemplated by, or underlying the forward-looking statements. The risks and uncertainties to which forward looking</w:t>
            </w:r>
          </w:p>
        </w:tc>
      </w:tr>
      <w:tr>
        <w:trPr>
          <w:trHeight w:val="230"/>
        </w:trPr>
        <w:tc>
          <w:tcPr>
            <w:tcW w:w="1400" w:type="dxa"/>
            <w:vAlign w:val="bottom"/>
          </w:tcPr>
          <w:p>
            <w:pPr>
              <w:spacing w:after="0"/>
              <w:rPr>
                <w:sz w:val="20"/>
                <w:szCs w:val="20"/>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3"/>
              </w:rPr>
              <w:t>statements are subject to include, but are not limited to, the effective government regulation, competition, and other material risks.</w:t>
            </w:r>
          </w:p>
        </w:tc>
      </w:tr>
      <w:tr>
        <w:trPr>
          <w:trHeight w:val="391"/>
        </w:trPr>
        <w:tc>
          <w:tcPr>
            <w:tcW w:w="1400" w:type="dxa"/>
            <w:vAlign w:val="bottom"/>
          </w:tcPr>
          <w:p>
            <w:pPr>
              <w:spacing w:after="0"/>
              <w:rPr>
                <w:sz w:val="24"/>
                <w:szCs w:val="24"/>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6"/>
              </w:rPr>
              <w:t>Having gone through the safe harbor language, I'd like to turn over the call to Mr. Dave Harrell, Chairman and Chief Executive</w:t>
            </w:r>
          </w:p>
        </w:tc>
      </w:tr>
      <w:tr>
        <w:trPr>
          <w:trHeight w:val="230"/>
        </w:trPr>
        <w:tc>
          <w:tcPr>
            <w:tcW w:w="1400" w:type="dxa"/>
            <w:vAlign w:val="bottom"/>
          </w:tcPr>
          <w:p>
            <w:pPr>
              <w:spacing w:after="0"/>
              <w:rPr>
                <w:sz w:val="20"/>
                <w:szCs w:val="20"/>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rPr>
              <w:t>Officer of OPTIMIZERx.</w:t>
            </w:r>
          </w:p>
        </w:tc>
      </w:tr>
      <w:tr>
        <w:trPr>
          <w:trHeight w:val="458"/>
        </w:trPr>
        <w:tc>
          <w:tcPr>
            <w:tcW w:w="140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10020" w:type="dxa"/>
            <w:vAlign w:val="bottom"/>
          </w:tcPr>
          <w:p>
            <w:pPr>
              <w:ind w:left="320"/>
              <w:spacing w:after="0"/>
              <w:rPr>
                <w:sz w:val="20"/>
                <w:szCs w:val="20"/>
                <w:color w:val="auto"/>
              </w:rPr>
            </w:pPr>
            <w:r>
              <w:rPr>
                <w:rFonts w:ascii="Arial" w:cs="Arial" w:eastAsia="Arial" w:hAnsi="Arial"/>
                <w:sz w:val="18"/>
                <w:szCs w:val="18"/>
                <w:color w:val="auto"/>
                <w:w w:val="93"/>
              </w:rPr>
              <w:t>Thank you, David, and good afternoon, everybody, and thank you for taking the time this afternoon to join us. We deviate a little bit</w:t>
            </w:r>
          </w:p>
        </w:tc>
      </w:tr>
      <w:tr>
        <w:trPr>
          <w:trHeight w:val="216"/>
        </w:trPr>
        <w:tc>
          <w:tcPr>
            <w:tcW w:w="1400" w:type="dxa"/>
            <w:vAlign w:val="bottom"/>
          </w:tcPr>
          <w:p>
            <w:pPr>
              <w:spacing w:after="0"/>
              <w:rPr>
                <w:sz w:val="18"/>
                <w:szCs w:val="18"/>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3"/>
              </w:rPr>
              <w:t>from our standard day in advance or day following the release, but I'm going to be at (Lilly) all day tomorrow. So again, I appreciate</w:t>
            </w:r>
          </w:p>
        </w:tc>
      </w:tr>
      <w:tr>
        <w:trPr>
          <w:trHeight w:val="230"/>
        </w:trPr>
        <w:tc>
          <w:tcPr>
            <w:tcW w:w="1400" w:type="dxa"/>
            <w:vAlign w:val="bottom"/>
          </w:tcPr>
          <w:p>
            <w:pPr>
              <w:spacing w:after="0"/>
              <w:rPr>
                <w:sz w:val="20"/>
                <w:szCs w:val="20"/>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rPr>
              <w:t>everybody's spending a little bit of time with us.</w:t>
            </w:r>
          </w:p>
        </w:tc>
      </w:tr>
      <w:tr>
        <w:trPr>
          <w:trHeight w:val="391"/>
        </w:trPr>
        <w:tc>
          <w:tcPr>
            <w:tcW w:w="1400" w:type="dxa"/>
            <w:vAlign w:val="bottom"/>
          </w:tcPr>
          <w:p>
            <w:pPr>
              <w:spacing w:after="0"/>
              <w:rPr>
                <w:sz w:val="24"/>
                <w:szCs w:val="24"/>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3"/>
              </w:rPr>
              <w:t>We've had a very exciting and productive first quarter 2014, and I just want to begin by kind of highlighting some of the key events</w:t>
            </w:r>
          </w:p>
        </w:tc>
      </w:tr>
      <w:tr>
        <w:trPr>
          <w:trHeight w:val="216"/>
        </w:trPr>
        <w:tc>
          <w:tcPr>
            <w:tcW w:w="1400" w:type="dxa"/>
            <w:vAlign w:val="bottom"/>
          </w:tcPr>
          <w:p>
            <w:pPr>
              <w:spacing w:after="0"/>
              <w:rPr>
                <w:sz w:val="18"/>
                <w:szCs w:val="18"/>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4"/>
              </w:rPr>
              <w:t>that we've accomplished during the first quarter. Number one, as most know, we've acquired $10 million in new capital and have</w:t>
            </w:r>
          </w:p>
        </w:tc>
      </w:tr>
      <w:tr>
        <w:trPr>
          <w:trHeight w:val="216"/>
        </w:trPr>
        <w:tc>
          <w:tcPr>
            <w:tcW w:w="1400" w:type="dxa"/>
            <w:vAlign w:val="bottom"/>
          </w:tcPr>
          <w:p>
            <w:pPr>
              <w:spacing w:after="0"/>
              <w:rPr>
                <w:sz w:val="18"/>
                <w:szCs w:val="18"/>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2"/>
              </w:rPr>
              <w:t>exercised and negotiated buyout of Vicis, which netted out an additional $3 million to corporation and a reduction of approximately 7</w:t>
            </w:r>
          </w:p>
        </w:tc>
      </w:tr>
      <w:tr>
        <w:trPr>
          <w:trHeight w:val="216"/>
        </w:trPr>
        <w:tc>
          <w:tcPr>
            <w:tcW w:w="1400" w:type="dxa"/>
            <w:vAlign w:val="bottom"/>
          </w:tcPr>
          <w:p>
            <w:pPr>
              <w:spacing w:after="0"/>
              <w:rPr>
                <w:sz w:val="18"/>
                <w:szCs w:val="18"/>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4"/>
              </w:rPr>
              <w:t>million in diluted shares, in fully diluted shares. Secondly, we nearly doubled our sales in first quarter 2014 over first quarter 2013.</w:t>
            </w:r>
          </w:p>
        </w:tc>
      </w:tr>
      <w:tr>
        <w:trPr>
          <w:trHeight w:val="216"/>
        </w:trPr>
        <w:tc>
          <w:tcPr>
            <w:tcW w:w="1400" w:type="dxa"/>
            <w:vAlign w:val="bottom"/>
          </w:tcPr>
          <w:p>
            <w:pPr>
              <w:spacing w:after="0"/>
              <w:rPr>
                <w:sz w:val="18"/>
                <w:szCs w:val="18"/>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2"/>
              </w:rPr>
              <w:t>We settled a lawsuit with LDM to enable promotional access to an additional 100,000 new health care providers. We have launched</w:t>
            </w:r>
          </w:p>
        </w:tc>
      </w:tr>
      <w:tr>
        <w:trPr>
          <w:trHeight w:val="216"/>
        </w:trPr>
        <w:tc>
          <w:tcPr>
            <w:tcW w:w="1400" w:type="dxa"/>
            <w:vAlign w:val="bottom"/>
          </w:tcPr>
          <w:p>
            <w:pPr>
              <w:spacing w:after="0"/>
              <w:rPr>
                <w:sz w:val="18"/>
                <w:szCs w:val="18"/>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4"/>
              </w:rPr>
              <w:t>the marketing of VoucherDVM and have engaged in the top (forward) leading platforms to automate veterinarian product savings</w:t>
            </w:r>
          </w:p>
        </w:tc>
      </w:tr>
      <w:tr>
        <w:trPr>
          <w:trHeight w:val="216"/>
        </w:trPr>
        <w:tc>
          <w:tcPr>
            <w:tcW w:w="1400" w:type="dxa"/>
            <w:vAlign w:val="bottom"/>
          </w:tcPr>
          <w:p>
            <w:pPr>
              <w:spacing w:after="0"/>
              <w:rPr>
                <w:sz w:val="18"/>
                <w:szCs w:val="18"/>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6"/>
              </w:rPr>
              <w:t>similar to what we're doing in the health care market. We've completed and successfully launched SampleMD's 2.0 technology</w:t>
            </w:r>
          </w:p>
        </w:tc>
      </w:tr>
      <w:tr>
        <w:trPr>
          <w:trHeight w:val="216"/>
        </w:trPr>
        <w:tc>
          <w:tcPr>
            <w:tcW w:w="1400" w:type="dxa"/>
            <w:vAlign w:val="bottom"/>
          </w:tcPr>
          <w:p>
            <w:pPr>
              <w:spacing w:after="0"/>
              <w:rPr>
                <w:sz w:val="18"/>
                <w:szCs w:val="18"/>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9"/>
              </w:rPr>
              <w:t>platform to support the growth that we expect in the near and longer-term future. We have verified an outstanding return on</w:t>
            </w:r>
          </w:p>
        </w:tc>
      </w:tr>
      <w:tr>
        <w:trPr>
          <w:trHeight w:val="216"/>
        </w:trPr>
        <w:tc>
          <w:tcPr>
            <w:tcW w:w="1400" w:type="dxa"/>
            <w:vAlign w:val="bottom"/>
          </w:tcPr>
          <w:p>
            <w:pPr>
              <w:spacing w:after="0"/>
              <w:rPr>
                <w:sz w:val="18"/>
                <w:szCs w:val="18"/>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4"/>
              </w:rPr>
              <w:t>investment offered to our pharmaceutical manufacturers to an independent analytics firm. And we've initiated direct recruitment of</w:t>
            </w:r>
          </w:p>
        </w:tc>
      </w:tr>
      <w:tr>
        <w:trPr>
          <w:trHeight w:val="216"/>
        </w:trPr>
        <w:tc>
          <w:tcPr>
            <w:tcW w:w="1400" w:type="dxa"/>
            <w:vAlign w:val="bottom"/>
          </w:tcPr>
          <w:p>
            <w:pPr>
              <w:spacing w:after="0"/>
              <w:rPr>
                <w:sz w:val="18"/>
                <w:szCs w:val="18"/>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w w:val="92"/>
              </w:rPr>
              <w:t>the new CFO which resulted in the hiring of a highly experienced financial executive, as well as mentioned, retained a former global</w:t>
            </w:r>
          </w:p>
        </w:tc>
      </w:tr>
      <w:tr>
        <w:trPr>
          <w:trHeight w:val="230"/>
        </w:trPr>
        <w:tc>
          <w:tcPr>
            <w:tcW w:w="1400" w:type="dxa"/>
            <w:vAlign w:val="bottom"/>
          </w:tcPr>
          <w:p>
            <w:pPr>
              <w:spacing w:after="0"/>
              <w:rPr>
                <w:sz w:val="20"/>
                <w:szCs w:val="20"/>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rPr>
              <w:t>marking director from AstraZeneca to lead our sales on the East Coast.</w:t>
            </w:r>
          </w:p>
        </w:tc>
      </w:tr>
      <w:tr>
        <w:trPr>
          <w:trHeight w:val="405"/>
        </w:trPr>
        <w:tc>
          <w:tcPr>
            <w:tcW w:w="1400" w:type="dxa"/>
            <w:vAlign w:val="bottom"/>
          </w:tcPr>
          <w:p>
            <w:pPr>
              <w:spacing w:after="0"/>
              <w:rPr>
                <w:sz w:val="24"/>
                <w:szCs w:val="24"/>
                <w:color w:val="auto"/>
              </w:rPr>
            </w:pPr>
          </w:p>
        </w:tc>
        <w:tc>
          <w:tcPr>
            <w:tcW w:w="10020" w:type="dxa"/>
            <w:vAlign w:val="bottom"/>
          </w:tcPr>
          <w:p>
            <w:pPr>
              <w:ind w:left="320"/>
              <w:spacing w:after="0"/>
              <w:rPr>
                <w:sz w:val="20"/>
                <w:szCs w:val="20"/>
                <w:color w:val="auto"/>
              </w:rPr>
            </w:pPr>
            <w:r>
              <w:rPr>
                <w:rFonts w:ascii="Arial" w:cs="Arial" w:eastAsia="Arial" w:hAnsi="Arial"/>
                <w:sz w:val="18"/>
                <w:szCs w:val="18"/>
                <w:color w:val="auto"/>
              </w:rPr>
              <w:t>So with that and more detail, I'd like to turn in back to David Lester.</w:t>
            </w:r>
          </w:p>
        </w:tc>
      </w:tr>
      <w:tr>
        <w:trPr>
          <w:trHeight w:val="675"/>
        </w:trPr>
        <w:tc>
          <w:tcPr>
            <w:tcW w:w="140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ind w:left="40"/>
              <w:spacing w:after="0"/>
              <w:rPr>
                <w:sz w:val="20"/>
                <w:szCs w:val="20"/>
                <w:color w:val="auto"/>
              </w:rPr>
            </w:pPr>
            <w:r>
              <w:rPr>
                <w:rFonts w:ascii="Arial" w:cs="Arial" w:eastAsia="Arial" w:hAnsi="Arial"/>
                <w:sz w:val="18"/>
                <w:szCs w:val="18"/>
                <w:color w:val="auto"/>
              </w:rPr>
              <w:t>David Lester:</w:t>
            </w:r>
          </w:p>
        </w:tc>
        <w:tc>
          <w:tcPr>
            <w:tcW w:w="10040" w:type="dxa"/>
            <w:vAlign w:val="bottom"/>
          </w:tcPr>
          <w:p>
            <w:pPr>
              <w:ind w:left="340"/>
              <w:spacing w:after="0"/>
              <w:rPr>
                <w:sz w:val="20"/>
                <w:szCs w:val="20"/>
                <w:color w:val="auto"/>
              </w:rPr>
            </w:pPr>
            <w:r>
              <w:rPr>
                <w:rFonts w:ascii="Arial" w:cs="Arial" w:eastAsia="Arial" w:hAnsi="Arial"/>
                <w:sz w:val="18"/>
                <w:szCs w:val="18"/>
                <w:color w:val="auto"/>
                <w:w w:val="93"/>
              </w:rPr>
              <w:t>Thanks, Dave. And, yes, I'd like to take a few minutes to elaborate a little bit on the key (inaudible) and results that Dave just went</w:t>
            </w:r>
          </w:p>
        </w:tc>
      </w:tr>
      <w:tr>
        <w:trPr>
          <w:trHeight w:val="230"/>
        </w:trPr>
        <w:tc>
          <w:tcPr>
            <w:tcW w:w="1380" w:type="dxa"/>
            <w:vAlign w:val="bottom"/>
          </w:tcPr>
          <w:p>
            <w:pPr>
              <w:spacing w:after="0"/>
              <w:rPr>
                <w:sz w:val="20"/>
                <w:szCs w:val="20"/>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through.</w:t>
            </w:r>
          </w:p>
        </w:tc>
      </w:tr>
      <w:tr>
        <w:trPr>
          <w:trHeight w:val="391"/>
        </w:trPr>
        <w:tc>
          <w:tcPr>
            <w:tcW w:w="1380" w:type="dxa"/>
            <w:vAlign w:val="bottom"/>
          </w:tcPr>
          <w:p>
            <w:pPr>
              <w:spacing w:after="0"/>
              <w:rPr>
                <w:sz w:val="24"/>
                <w:szCs w:val="24"/>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1"/>
              </w:rPr>
              <w:t>We finished the first quarter with revenues of $1,317,347, an increase of 97 percent over the same period in 2013 generating positive</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4"/>
              </w:rPr>
              <w:t>net cash of $226,727 from operational activities. However, we had a net loss of $653,315 for the first quarter primarily due to two</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4"/>
              </w:rPr>
              <w:t>factors -- one, the one-time settlement to LDM, which resolved all patent issues and enables us to promote our eCoupons to their</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5"/>
              </w:rPr>
              <w:t>network of up to 100,000 healthcare providers as well as receive additional revenue share through promotion of their sponsored</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8"/>
              </w:rPr>
              <w:t>patient education within OPTIMIZERx's network; number two, non-cash payment of stock to vendors, former executive, and</w:t>
            </w:r>
          </w:p>
        </w:tc>
      </w:tr>
      <w:tr>
        <w:trPr>
          <w:trHeight w:val="230"/>
        </w:trPr>
        <w:tc>
          <w:tcPr>
            <w:tcW w:w="1380" w:type="dxa"/>
            <w:vAlign w:val="bottom"/>
          </w:tcPr>
          <w:p>
            <w:pPr>
              <w:spacing w:after="0"/>
              <w:rPr>
                <w:sz w:val="20"/>
                <w:szCs w:val="20"/>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employees.</w:t>
            </w:r>
          </w:p>
        </w:tc>
      </w:tr>
      <w:tr>
        <w:trPr>
          <w:trHeight w:val="391"/>
        </w:trPr>
        <w:tc>
          <w:tcPr>
            <w:tcW w:w="1380" w:type="dxa"/>
            <w:vAlign w:val="bottom"/>
          </w:tcPr>
          <w:p>
            <w:pPr>
              <w:spacing w:after="0"/>
              <w:rPr>
                <w:sz w:val="24"/>
                <w:szCs w:val="24"/>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2"/>
              </w:rPr>
              <w:t>Moving forward, we expect growing profitability for the remainder of 2014 based primarily on escalation of revenues. Despite nearly</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8"/>
              </w:rPr>
              <w:t>doubling our sales over first quarter of 2013, which is generally, the first quarter is generally a slower sales quarter based on</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4"/>
              </w:rPr>
              <w:t>finalizing budgets in receiving new annual assets, first quarter of 2014 revenues would have been higher based on two important</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7"/>
              </w:rPr>
              <w:t>factors. The first one is that Allscripts had a privacy and technical issue that affected their distribution of eCoupons and other</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4"/>
              </w:rPr>
              <w:t>programs during a significant period of time it took to fully resolved the issue. The second is one of our largest clients interrupted</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4"/>
              </w:rPr>
              <w:t>their program to determine promotional impact and return on investment of that particular program. Both of the above have been</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5"/>
              </w:rPr>
              <w:t>resolved. Allscripts has resolved technical and privacy issues. It is now beginning to roll out activation of SampleMD's eCoupon</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1"/>
              </w:rPr>
              <w:t>automation unless providers opt out. We anticipate this to have a significant impact on June sales and beyond once this is completed</w:t>
            </w:r>
          </w:p>
        </w:tc>
      </w:tr>
      <w:tr>
        <w:trPr>
          <w:trHeight w:val="230"/>
        </w:trPr>
        <w:tc>
          <w:tcPr>
            <w:tcW w:w="1380" w:type="dxa"/>
            <w:vAlign w:val="bottom"/>
          </w:tcPr>
          <w:p>
            <w:pPr>
              <w:spacing w:after="0"/>
              <w:rPr>
                <w:sz w:val="20"/>
                <w:szCs w:val="20"/>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by increasing our reach to another 20,000 physicians.</w:t>
            </w:r>
          </w:p>
        </w:tc>
      </w:tr>
      <w:tr>
        <w:trPr>
          <w:trHeight w:val="391"/>
        </w:trPr>
        <w:tc>
          <w:tcPr>
            <w:tcW w:w="1380" w:type="dxa"/>
            <w:vAlign w:val="bottom"/>
          </w:tcPr>
          <w:p>
            <w:pPr>
              <w:spacing w:after="0"/>
              <w:rPr>
                <w:sz w:val="24"/>
                <w:szCs w:val="24"/>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5"/>
              </w:rPr>
              <w:t>Novartis-Alcon has reactivated their program based on confirming through an independent analytics firm, an outstanding ROI on</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1"/>
              </w:rPr>
              <w:t>SampleMD's eCoupon promotion. Furthermore, this data was highlighted by Novartis during a corporate sponsorship of the inaugural</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8"/>
              </w:rPr>
              <w:t>CBInet Pharmaceutical EHR conference which focused on leveraging opportunities for promotional effectiveness and brand</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3"/>
              </w:rPr>
              <w:t>awareness. This conference was attended by over a 150 pharmaceutical brand and marketing executives and highlighted industry</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3"/>
              </w:rPr>
              <w:t>luminaries, panel discussions, and client presentations. Dave Harrell, Chairman and Chief Executive Officer, was a noted keynote</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3"/>
              </w:rPr>
              <w:t>speaker, and many clients and partners cited unsolicited testimonials at the success they have experienced engaging with us. With</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1"/>
              </w:rPr>
              <w:t>that, we will be a lead sponsor for similar conference in October as requested by many of the pharmaceutical clients and partners we</w:t>
            </w:r>
          </w:p>
        </w:tc>
      </w:tr>
      <w:tr>
        <w:trPr>
          <w:trHeight w:val="230"/>
        </w:trPr>
        <w:tc>
          <w:tcPr>
            <w:tcW w:w="1380" w:type="dxa"/>
            <w:vAlign w:val="bottom"/>
          </w:tcPr>
          <w:p>
            <w:pPr>
              <w:spacing w:after="0"/>
              <w:rPr>
                <w:sz w:val="20"/>
                <w:szCs w:val="20"/>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engage.</w:t>
            </w:r>
          </w:p>
        </w:tc>
      </w:tr>
      <w:tr>
        <w:trPr>
          <w:trHeight w:val="391"/>
        </w:trPr>
        <w:tc>
          <w:tcPr>
            <w:tcW w:w="1380" w:type="dxa"/>
            <w:vAlign w:val="bottom"/>
          </w:tcPr>
          <w:p>
            <w:pPr>
              <w:spacing w:after="0"/>
              <w:rPr>
                <w:sz w:val="24"/>
                <w:szCs w:val="24"/>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0"/>
              </w:rPr>
              <w:t>These marketing efforts, along with our expert support team and proven reputation, has enabled us to acquire more manufacturers and</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1"/>
              </w:rPr>
              <w:t>brands, including Baush &amp; Lomb and AstraZeneca's promoted portfolio leading drugs like Crestor, Seroquel, and others. AstraZeneca</w:t>
            </w:r>
          </w:p>
        </w:tc>
      </w:tr>
      <w:tr>
        <w:trPr>
          <w:trHeight w:val="230"/>
        </w:trPr>
        <w:tc>
          <w:tcPr>
            <w:tcW w:w="1380" w:type="dxa"/>
            <w:vAlign w:val="bottom"/>
          </w:tcPr>
          <w:p>
            <w:pPr>
              <w:spacing w:after="0"/>
              <w:rPr>
                <w:sz w:val="20"/>
                <w:szCs w:val="20"/>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9"/>
              </w:rPr>
              <w:t>represents a very important win strategically, too, based on the fact that they were previously using a competitive platform.</w:t>
            </w:r>
          </w:p>
        </w:tc>
      </w:tr>
      <w:tr>
        <w:trPr>
          <w:trHeight w:val="391"/>
        </w:trPr>
        <w:tc>
          <w:tcPr>
            <w:tcW w:w="1380" w:type="dxa"/>
            <w:vAlign w:val="bottom"/>
          </w:tcPr>
          <w:p>
            <w:pPr>
              <w:spacing w:after="0"/>
              <w:rPr>
                <w:sz w:val="24"/>
                <w:szCs w:val="24"/>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3"/>
              </w:rPr>
              <w:t>Our success of acquiring, integrating, and expanding into other promotional EHR/eRx platforms continues to grow as well. We are</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8"/>
              </w:rPr>
              <w:t>just launching our first initial brands into eHealthline, as well as we will be completing our integration into LDMs network and</w:t>
            </w:r>
          </w:p>
        </w:tc>
      </w:tr>
      <w:tr>
        <w:trPr>
          <w:trHeight w:val="230"/>
        </w:trPr>
        <w:tc>
          <w:tcPr>
            <w:tcW w:w="1380" w:type="dxa"/>
            <w:vAlign w:val="bottom"/>
          </w:tcPr>
          <w:p>
            <w:pPr>
              <w:spacing w:after="0"/>
              <w:rPr>
                <w:sz w:val="20"/>
                <w:szCs w:val="20"/>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others.</w:t>
            </w:r>
          </w:p>
        </w:tc>
      </w:tr>
      <w:tr>
        <w:trPr>
          <w:trHeight w:val="391"/>
        </w:trPr>
        <w:tc>
          <w:tcPr>
            <w:tcW w:w="1380" w:type="dxa"/>
            <w:vAlign w:val="bottom"/>
          </w:tcPr>
          <w:p>
            <w:pPr>
              <w:spacing w:after="0"/>
              <w:rPr>
                <w:sz w:val="24"/>
                <w:szCs w:val="24"/>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3"/>
              </w:rPr>
              <w:t>We also expect to launch our patient savings and support within Quest Care360 by the end of June 2014. Quest Diagnostics is the</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5"/>
              </w:rPr>
              <w:t>world's leading provider of diagnostics information servicing approximately have to the physicians and hospitals in the U.S. and</w:t>
            </w:r>
          </w:p>
        </w:tc>
      </w:tr>
      <w:tr>
        <w:trPr>
          <w:trHeight w:val="230"/>
        </w:trPr>
        <w:tc>
          <w:tcPr>
            <w:tcW w:w="1380" w:type="dxa"/>
            <w:vAlign w:val="bottom"/>
          </w:tcPr>
          <w:p>
            <w:pPr>
              <w:spacing w:after="0"/>
              <w:rPr>
                <w:sz w:val="20"/>
                <w:szCs w:val="20"/>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touches the lives of approximately 30 percent of all American adults this year.</w:t>
            </w:r>
          </w:p>
        </w:tc>
      </w:tr>
      <w:tr>
        <w:trPr>
          <w:trHeight w:val="391"/>
        </w:trPr>
        <w:tc>
          <w:tcPr>
            <w:tcW w:w="1380" w:type="dxa"/>
            <w:vAlign w:val="bottom"/>
          </w:tcPr>
          <w:p>
            <w:pPr>
              <w:spacing w:after="0"/>
              <w:rPr>
                <w:sz w:val="24"/>
                <w:szCs w:val="24"/>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1"/>
              </w:rPr>
              <w:t>We are in very productive discussions with other leading EHRs and expect our active network to nearly double by the end of the year.</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5"/>
              </w:rPr>
              <w:t>With the growth of both our pharmaceutical products and our distribution network, we remain confident that are distributions will</w:t>
            </w:r>
          </w:p>
        </w:tc>
      </w:tr>
      <w:tr>
        <w:trPr>
          <w:trHeight w:val="230"/>
        </w:trPr>
        <w:tc>
          <w:tcPr>
            <w:tcW w:w="1380" w:type="dxa"/>
            <w:vAlign w:val="bottom"/>
          </w:tcPr>
          <w:p>
            <w:pPr>
              <w:spacing w:after="0"/>
              <w:rPr>
                <w:sz w:val="20"/>
                <w:szCs w:val="20"/>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double over last year.</w:t>
            </w:r>
          </w:p>
        </w:tc>
      </w:tr>
      <w:tr>
        <w:trPr>
          <w:trHeight w:val="391"/>
        </w:trPr>
        <w:tc>
          <w:tcPr>
            <w:tcW w:w="1380" w:type="dxa"/>
            <w:vAlign w:val="bottom"/>
          </w:tcPr>
          <w:p>
            <w:pPr>
              <w:spacing w:after="0"/>
              <w:rPr>
                <w:sz w:val="24"/>
                <w:szCs w:val="24"/>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6"/>
              </w:rPr>
              <w:t>To support this growth, we have completed the development and migration of SampleMD 2.0's on-demand rule-based content</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1"/>
              </w:rPr>
              <w:t>delivery platform. The system can now manage up to a million rules and return the appropriate content within under one second. This</w:t>
            </w:r>
          </w:p>
        </w:tc>
      </w:tr>
      <w:tr>
        <w:trPr>
          <w:trHeight w:val="230"/>
        </w:trPr>
        <w:tc>
          <w:tcPr>
            <w:tcW w:w="1380" w:type="dxa"/>
            <w:vAlign w:val="bottom"/>
          </w:tcPr>
          <w:p>
            <w:pPr>
              <w:spacing w:after="0"/>
              <w:rPr>
                <w:sz w:val="20"/>
                <w:szCs w:val="20"/>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allows unsurpassed response time to avoid delays, and the ability to meet the upcoming dramatic scale we expect.</w:t>
            </w:r>
          </w:p>
        </w:tc>
      </w:tr>
      <w:tr>
        <w:trPr>
          <w:trHeight w:val="391"/>
        </w:trPr>
        <w:tc>
          <w:tcPr>
            <w:tcW w:w="1380" w:type="dxa"/>
            <w:vAlign w:val="bottom"/>
          </w:tcPr>
          <w:p>
            <w:pPr>
              <w:spacing w:after="0"/>
              <w:rPr>
                <w:sz w:val="24"/>
                <w:szCs w:val="24"/>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4"/>
              </w:rPr>
              <w:t>On top of building our updated software solution, we also updated our infrastructure by replacing and updating our computers in a</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2"/>
              </w:rPr>
              <w:t>high availability environment, taking greater precautions for security, and building out architecture to facilitate disaster recovery with</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5"/>
              </w:rPr>
              <w:t>a second facility computer environment. We believe this technology investment will increase performance, simplify integrations,</w:t>
            </w:r>
          </w:p>
        </w:tc>
      </w:tr>
      <w:tr>
        <w:trPr>
          <w:trHeight w:val="230"/>
        </w:trPr>
        <w:tc>
          <w:tcPr>
            <w:tcW w:w="1380" w:type="dxa"/>
            <w:vAlign w:val="bottom"/>
          </w:tcPr>
          <w:p>
            <w:pPr>
              <w:spacing w:after="0"/>
              <w:rPr>
                <w:sz w:val="20"/>
                <w:szCs w:val="20"/>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ensure availability, and protect the investments of our shareholders.</w:t>
            </w:r>
          </w:p>
        </w:tc>
      </w:tr>
      <w:tr>
        <w:trPr>
          <w:trHeight w:val="391"/>
        </w:trPr>
        <w:tc>
          <w:tcPr>
            <w:tcW w:w="1380" w:type="dxa"/>
            <w:vAlign w:val="bottom"/>
          </w:tcPr>
          <w:p>
            <w:pPr>
              <w:spacing w:after="0"/>
              <w:rPr>
                <w:sz w:val="24"/>
                <w:szCs w:val="24"/>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2"/>
              </w:rPr>
              <w:t>During the first quarter, we also successfully completed the $10 million capital raise and exercise the option to redeem Vicis Capital</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1"/>
              </w:rPr>
              <w:t>Master Fund's holdings in our company. By successfully executing these initiatives, we reduced fully diluted shares by approximately</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2"/>
              </w:rPr>
              <w:t>7 million and provided an additional $3 million in working capital to support company's growth and eliminate dividend payments and</w:t>
            </w:r>
          </w:p>
        </w:tc>
      </w:tr>
      <w:tr>
        <w:trPr>
          <w:trHeight w:val="230"/>
        </w:trPr>
        <w:tc>
          <w:tcPr>
            <w:tcW w:w="1380" w:type="dxa"/>
            <w:vAlign w:val="bottom"/>
          </w:tcPr>
          <w:p>
            <w:pPr>
              <w:spacing w:after="0"/>
              <w:rPr>
                <w:sz w:val="20"/>
                <w:szCs w:val="20"/>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other favorable provisions of Vicis preferred stock.</w:t>
            </w:r>
          </w:p>
        </w:tc>
      </w:tr>
      <w:tr>
        <w:trPr>
          <w:trHeight w:val="391"/>
        </w:trPr>
        <w:tc>
          <w:tcPr>
            <w:tcW w:w="1380" w:type="dxa"/>
            <w:vAlign w:val="bottom"/>
          </w:tcPr>
          <w:p>
            <w:pPr>
              <w:spacing w:after="0"/>
              <w:rPr>
                <w:sz w:val="24"/>
                <w:szCs w:val="24"/>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2"/>
              </w:rPr>
              <w:t>Additionally, after extensive negotiations, OPTIMIZERx and LDM executed a settlement agreement and filed a stipulation to dismiss</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6"/>
              </w:rPr>
              <w:t>the litigation with prejudice on March 17th, 2014, which the District Court entered on March 19th 2014. This resolves all patent</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0"/>
              </w:rPr>
              <w:t>issues and enables us to promote our eCoupons to their network of up to a 100,000 healthcare providers, as well as receive additional</w:t>
            </w:r>
          </w:p>
        </w:tc>
      </w:tr>
      <w:tr>
        <w:trPr>
          <w:trHeight w:val="230"/>
        </w:trPr>
        <w:tc>
          <w:tcPr>
            <w:tcW w:w="1380" w:type="dxa"/>
            <w:vAlign w:val="bottom"/>
          </w:tcPr>
          <w:p>
            <w:pPr>
              <w:spacing w:after="0"/>
              <w:rPr>
                <w:sz w:val="20"/>
                <w:szCs w:val="20"/>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revenue share through promotion of their sponsored patient education within our network.</w:t>
            </w:r>
          </w:p>
        </w:tc>
      </w:tr>
      <w:tr>
        <w:trPr>
          <w:trHeight w:val="391"/>
        </w:trPr>
        <w:tc>
          <w:tcPr>
            <w:tcW w:w="1380" w:type="dxa"/>
            <w:vAlign w:val="bottom"/>
          </w:tcPr>
          <w:p>
            <w:pPr>
              <w:spacing w:after="0"/>
              <w:rPr>
                <w:sz w:val="24"/>
                <w:szCs w:val="24"/>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7"/>
              </w:rPr>
              <w:t>What I'm really pleased to announce today and what I'm even more happy to introduce, Mr. Douglas P. Baker, who is joining</w:t>
            </w:r>
          </w:p>
        </w:tc>
      </w:tr>
      <w:tr>
        <w:trPr>
          <w:trHeight w:val="216"/>
        </w:trPr>
        <w:tc>
          <w:tcPr>
            <w:tcW w:w="1380" w:type="dxa"/>
            <w:vAlign w:val="bottom"/>
          </w:tcPr>
          <w:p>
            <w:pPr>
              <w:spacing w:after="0"/>
              <w:rPr>
                <w:sz w:val="18"/>
                <w:szCs w:val="18"/>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w w:val="93"/>
              </w:rPr>
              <w:t>organization as its new chief financial officer. With that, I'd like to allow Doug a few minutes to introduce himself and talk about his</w:t>
            </w:r>
          </w:p>
        </w:tc>
      </w:tr>
      <w:tr>
        <w:trPr>
          <w:trHeight w:val="230"/>
        </w:trPr>
        <w:tc>
          <w:tcPr>
            <w:tcW w:w="1380" w:type="dxa"/>
            <w:vAlign w:val="bottom"/>
          </w:tcPr>
          <w:p>
            <w:pPr>
              <w:spacing w:after="0"/>
              <w:rPr>
                <w:sz w:val="20"/>
                <w:szCs w:val="20"/>
                <w:color w:val="auto"/>
              </w:rPr>
            </w:pPr>
          </w:p>
        </w:tc>
        <w:tc>
          <w:tcPr>
            <w:tcW w:w="10040" w:type="dxa"/>
            <w:vAlign w:val="bottom"/>
          </w:tcPr>
          <w:p>
            <w:pPr>
              <w:ind w:left="340"/>
              <w:spacing w:after="0"/>
              <w:rPr>
                <w:sz w:val="20"/>
                <w:szCs w:val="20"/>
                <w:color w:val="auto"/>
              </w:rPr>
            </w:pPr>
            <w:r>
              <w:rPr>
                <w:rFonts w:ascii="Arial" w:cs="Arial" w:eastAsia="Arial" w:hAnsi="Arial"/>
                <w:sz w:val="18"/>
                <w:szCs w:val="18"/>
                <w:color w:val="auto"/>
              </w:rPr>
              <w:t>background. Doug?</w:t>
            </w:r>
          </w:p>
        </w:tc>
      </w:tr>
      <w:tr>
        <w:trPr>
          <w:trHeight w:val="675"/>
        </w:trPr>
        <w:tc>
          <w:tcPr>
            <w:tcW w:w="138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spacing w:after="0"/>
              <w:rPr>
                <w:sz w:val="24"/>
                <w:szCs w:val="24"/>
                <w:color w:val="auto"/>
              </w:rPr>
            </w:pPr>
          </w:p>
        </w:tc>
      </w:tr>
      <w:tr>
        <w:trPr>
          <w:trHeight w:val="224"/>
        </w:trPr>
        <w:tc>
          <w:tcPr>
            <w:tcW w:w="1380" w:type="dxa"/>
            <w:vAlign w:val="bottom"/>
          </w:tcPr>
          <w:p>
            <w:pPr>
              <w:spacing w:after="0"/>
              <w:rPr>
                <w:sz w:val="19"/>
                <w:szCs w:val="19"/>
                <w:color w:val="auto"/>
              </w:rPr>
            </w:pPr>
          </w:p>
        </w:tc>
        <w:tc>
          <w:tcPr>
            <w:tcW w:w="10040" w:type="dxa"/>
            <w:vAlign w:val="bottom"/>
          </w:tcPr>
          <w:p>
            <w:pPr>
              <w:ind w:left="428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665" w:right="239" w:bottom="521"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ind w:left="40"/>
              <w:spacing w:after="0"/>
              <w:rPr>
                <w:sz w:val="20"/>
                <w:szCs w:val="20"/>
                <w:color w:val="auto"/>
              </w:rPr>
            </w:pPr>
            <w:r>
              <w:rPr>
                <w:rFonts w:ascii="Arial" w:cs="Arial" w:eastAsia="Arial" w:hAnsi="Arial"/>
                <w:sz w:val="18"/>
                <w:szCs w:val="18"/>
                <w:color w:val="auto"/>
              </w:rPr>
              <w:t>Douglas Baker:</w:t>
            </w:r>
          </w:p>
        </w:tc>
        <w:tc>
          <w:tcPr>
            <w:tcW w:w="9980" w:type="dxa"/>
            <w:vAlign w:val="bottom"/>
          </w:tcPr>
          <w:p>
            <w:pPr>
              <w:ind w:left="280"/>
              <w:spacing w:after="0"/>
              <w:rPr>
                <w:sz w:val="20"/>
                <w:szCs w:val="20"/>
                <w:color w:val="auto"/>
              </w:rPr>
            </w:pPr>
            <w:r>
              <w:rPr>
                <w:rFonts w:ascii="Arial" w:cs="Arial" w:eastAsia="Arial" w:hAnsi="Arial"/>
                <w:sz w:val="18"/>
                <w:szCs w:val="18"/>
                <w:color w:val="auto"/>
                <w:w w:val="97"/>
              </w:rPr>
              <w:t>Thanks, Dave. I just want to take a minute to say hi to everybody and say I'm really excited to join a growing and progressive</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6"/>
              </w:rPr>
              <w:t>organization like OPTIMIZERx. In terms of my background, I spent the last 18 years as a chief financial officer of a similar size</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5"/>
              </w:rPr>
              <w:t>public technology company. Prior to that, I had experienced as a CFO of a small private company and a divisional controller in a</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large public company. I started my career in public accounting, spent nine years at a local or a regional firm (here) in Detroit, Plante</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Moran. I do have a little experience in the healthcare industry. I'm in the board of the Detroit-based HMO, Total Health Care, which</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(has over) $300 million in revenue company. And so, I know my skill set; you know, I can help the company.</w:t>
            </w:r>
          </w:p>
        </w:tc>
      </w:tr>
      <w:tr>
        <w:trPr>
          <w:trHeight w:val="391"/>
        </w:trPr>
        <w:tc>
          <w:tcPr>
            <w:tcW w:w="1440" w:type="dxa"/>
            <w:vAlign w:val="bottom"/>
          </w:tcPr>
          <w:p>
            <w:pPr>
              <w:spacing w:after="0"/>
              <w:rPr>
                <w:sz w:val="24"/>
                <w:szCs w:val="24"/>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6"/>
              </w:rPr>
              <w:t>I also have, in terms of my educational background, I have both bachelors of business administration and masters of business</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administration from the University of Michigan. I'm a CPA. I have been a CPA since 1980; member of the AICPA and MACPA and</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all those sort of thing. So, that's a little bit about me and I look forward to helping the company.</w:t>
            </w:r>
          </w:p>
        </w:tc>
      </w:tr>
      <w:tr>
        <w:trPr>
          <w:trHeight w:val="458"/>
        </w:trPr>
        <w:tc>
          <w:tcPr>
            <w:tcW w:w="1440" w:type="dxa"/>
            <w:vAlign w:val="bottom"/>
          </w:tcPr>
          <w:p>
            <w:pPr>
              <w:ind w:left="40"/>
              <w:spacing w:after="0"/>
              <w:rPr>
                <w:sz w:val="20"/>
                <w:szCs w:val="20"/>
                <w:color w:val="auto"/>
              </w:rPr>
            </w:pPr>
            <w:r>
              <w:rPr>
                <w:rFonts w:ascii="Arial" w:cs="Arial" w:eastAsia="Arial" w:hAnsi="Arial"/>
                <w:sz w:val="18"/>
                <w:szCs w:val="18"/>
                <w:color w:val="auto"/>
              </w:rPr>
              <w:t>David Lester:</w:t>
            </w: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Thank you, Doug. You know, certainly, we're more excited to have him on board to help strengthen our management team here at</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OPTIMIZERx.</w:t>
            </w:r>
          </w:p>
        </w:tc>
      </w:tr>
      <w:tr>
        <w:trPr>
          <w:trHeight w:val="405"/>
        </w:trPr>
        <w:tc>
          <w:tcPr>
            <w:tcW w:w="1440" w:type="dxa"/>
            <w:vAlign w:val="bottom"/>
          </w:tcPr>
          <w:p>
            <w:pPr>
              <w:spacing w:after="0"/>
              <w:rPr>
                <w:sz w:val="24"/>
                <w:szCs w:val="24"/>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With that, I would like to turn the call over back to David Harrell. Dave?</w:t>
            </w:r>
          </w:p>
        </w:tc>
      </w:tr>
      <w:tr>
        <w:trPr>
          <w:trHeight w:val="458"/>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w w:val="90"/>
              </w:rPr>
              <w:t>Sure. Thank you, Dave and Doug. So, in summary, we obviously, remain very excited about our core eCoupon business based on the</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proven impact, and we've been able to demonstrate to pharmaceutical manufacturers and the growing number of platform partners</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that we are continuing to expand.</w:t>
            </w:r>
          </w:p>
        </w:tc>
      </w:tr>
      <w:tr>
        <w:trPr>
          <w:trHeight w:val="391"/>
        </w:trPr>
        <w:tc>
          <w:tcPr>
            <w:tcW w:w="1440" w:type="dxa"/>
            <w:vAlign w:val="bottom"/>
          </w:tcPr>
          <w:p>
            <w:pPr>
              <w:spacing w:after="0"/>
              <w:rPr>
                <w:sz w:val="24"/>
                <w:szCs w:val="24"/>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We're also pleased with our current discussion and recognized value from leading veterinarian platforms that we've engaged initially</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who have shown very, very keen interest in looking at moving forward and returning competitive pricing to individual veterinarians'</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5"/>
              </w:rPr>
              <w:t>offices. We're also exploring very exciting new channels as well to automate our savings which we think holds a lot of promise in</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rapid growth.</w:t>
            </w:r>
          </w:p>
        </w:tc>
      </w:tr>
      <w:tr>
        <w:trPr>
          <w:trHeight w:val="391"/>
        </w:trPr>
        <w:tc>
          <w:tcPr>
            <w:tcW w:w="1440" w:type="dxa"/>
            <w:vAlign w:val="bottom"/>
          </w:tcPr>
          <w:p>
            <w:pPr>
              <w:spacing w:after="0"/>
              <w:rPr>
                <w:sz w:val="24"/>
                <w:szCs w:val="24"/>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5"/>
              </w:rPr>
              <w:t>So, again, we expect very significant ramp-up in the second half of the year as we fully roll out our new channels to expand our</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7"/>
              </w:rPr>
              <w:t>promotional reach. And, you know, I want to thank certainly our dedication of our employees, our partners, and certainly you,</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shareholder.</w:t>
            </w:r>
          </w:p>
        </w:tc>
      </w:tr>
      <w:tr>
        <w:trPr>
          <w:trHeight w:val="405"/>
        </w:trPr>
        <w:tc>
          <w:tcPr>
            <w:tcW w:w="1440" w:type="dxa"/>
            <w:vAlign w:val="bottom"/>
          </w:tcPr>
          <w:p>
            <w:pPr>
              <w:spacing w:after="0"/>
              <w:rPr>
                <w:sz w:val="24"/>
                <w:szCs w:val="24"/>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So with that in mind, we're happy to address any questions at this time.</w:t>
            </w:r>
          </w:p>
        </w:tc>
      </w:tr>
      <w:tr>
        <w:trPr>
          <w:trHeight w:val="458"/>
        </w:trPr>
        <w:tc>
          <w:tcPr>
            <w:tcW w:w="1440" w:type="dxa"/>
            <w:vAlign w:val="bottom"/>
          </w:tcPr>
          <w:p>
            <w:pPr>
              <w:ind w:left="40"/>
              <w:spacing w:after="0"/>
              <w:rPr>
                <w:sz w:val="20"/>
                <w:szCs w:val="20"/>
                <w:color w:val="auto"/>
              </w:rPr>
            </w:pPr>
            <w:r>
              <w:rPr>
                <w:rFonts w:ascii="Arial" w:cs="Arial" w:eastAsia="Arial" w:hAnsi="Arial"/>
                <w:sz w:val="18"/>
                <w:szCs w:val="18"/>
                <w:color w:val="auto"/>
              </w:rPr>
              <w:t>Operator:</w:t>
            </w: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At this time, if you would like to ask a question, please press star then the number one of your telephone keypad. We'll pause for just</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a moment to compile the Q&amp;A roster. Again, if you would like to ask a question, please press star one.</w:t>
            </w:r>
          </w:p>
        </w:tc>
      </w:tr>
      <w:tr>
        <w:trPr>
          <w:trHeight w:val="405"/>
        </w:trPr>
        <w:tc>
          <w:tcPr>
            <w:tcW w:w="1440" w:type="dxa"/>
            <w:vAlign w:val="bottom"/>
          </w:tcPr>
          <w:p>
            <w:pPr>
              <w:spacing w:after="0"/>
              <w:rPr>
                <w:sz w:val="24"/>
                <w:szCs w:val="24"/>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Your first question comes from the line of Harvey Poppel with the Poptech, LP.</w:t>
            </w:r>
          </w:p>
        </w:tc>
      </w:tr>
      <w:tr>
        <w:trPr>
          <w:trHeight w:val="458"/>
        </w:trPr>
        <w:tc>
          <w:tcPr>
            <w:tcW w:w="1440" w:type="dxa"/>
            <w:vAlign w:val="bottom"/>
          </w:tcPr>
          <w:p>
            <w:pPr>
              <w:ind w:left="40"/>
              <w:spacing w:after="0"/>
              <w:rPr>
                <w:sz w:val="20"/>
                <w:szCs w:val="20"/>
                <w:color w:val="auto"/>
              </w:rPr>
            </w:pPr>
            <w:r>
              <w:rPr>
                <w:rFonts w:ascii="Arial" w:cs="Arial" w:eastAsia="Arial" w:hAnsi="Arial"/>
                <w:sz w:val="18"/>
                <w:szCs w:val="18"/>
                <w:color w:val="auto"/>
              </w:rPr>
              <w:t>Harvey Poppel:</w:t>
            </w:r>
          </w:p>
        </w:tc>
        <w:tc>
          <w:tcPr>
            <w:tcW w:w="9980" w:type="dxa"/>
            <w:vAlign w:val="bottom"/>
          </w:tcPr>
          <w:p>
            <w:pPr>
              <w:ind w:left="280"/>
              <w:spacing w:after="0"/>
              <w:rPr>
                <w:sz w:val="20"/>
                <w:szCs w:val="20"/>
                <w:color w:val="auto"/>
              </w:rPr>
            </w:pPr>
            <w:r>
              <w:rPr>
                <w:rFonts w:ascii="Arial" w:cs="Arial" w:eastAsia="Arial" w:hAnsi="Arial"/>
                <w:sz w:val="18"/>
                <w:szCs w:val="18"/>
                <w:color w:val="auto"/>
                <w:w w:val="96"/>
              </w:rPr>
              <w:t>Congratulations, Dave and Dave, on a very satisfying first quarter. You made a comment about the fact that the first quarter is</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typically the slowest but even then it would have been higher whether not for these two matters of technical issue and a temporary</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halt from one of your clients. What would be the order of magnitude of revenues that you would have expected to have gotten had</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those two happenings not occur?</w:t>
            </w:r>
          </w:p>
        </w:tc>
      </w:tr>
      <w:tr>
        <w:trPr>
          <w:trHeight w:val="837"/>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w w:val="94"/>
              </w:rPr>
              <w:t>Glad to give you a little color, Harvey, and thank you for your comment. Allscripts had informed us two issues -- number one, that</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the privacy issue suddenly came up they were passing age data to us. I mean it's crazy but it sounds with the HIPAA sensitivity, the</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fact that 89 years and older is potentially identified in small populated ZIP codes. So we thought that that was going to be a quick fix</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and clearly it wasn't.</w:t>
            </w:r>
          </w:p>
        </w:tc>
      </w:tr>
      <w:tr>
        <w:trPr>
          <w:trHeight w:val="391"/>
        </w:trPr>
        <w:tc>
          <w:tcPr>
            <w:tcW w:w="1440" w:type="dxa"/>
            <w:vAlign w:val="bottom"/>
          </w:tcPr>
          <w:p>
            <w:pPr>
              <w:spacing w:after="0"/>
              <w:rPr>
                <w:sz w:val="24"/>
                <w:szCs w:val="24"/>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That personal fix led to delays, and then on top of it, there was additional distribution issue when they pushed some new</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6"/>
              </w:rPr>
              <w:t>technologies. Well, that was weeks and, you know, again, I can't give you the specific weeks, but again, Allscripts is one of our</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4"/>
              </w:rPr>
              <w:t>largest distribution partners, and, you know, I'm going to estimate roughly that it could have been a month of loss revenue. Again,</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5"/>
              </w:rPr>
              <w:t>unfortunately, it was something that they said was going to be addressed each week quicker and quicker but unfortunately it got</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delayed.</w:t>
            </w:r>
          </w:p>
        </w:tc>
      </w:tr>
      <w:tr>
        <w:trPr>
          <w:trHeight w:val="391"/>
        </w:trPr>
        <w:tc>
          <w:tcPr>
            <w:tcW w:w="1440" w:type="dxa"/>
            <w:vAlign w:val="bottom"/>
          </w:tcPr>
          <w:p>
            <w:pPr>
              <w:spacing w:after="0"/>
              <w:rPr>
                <w:sz w:val="24"/>
                <w:szCs w:val="24"/>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As far as the group that's - we want to really look at the ROI. We think you're really making an impact on the influence of our brands</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4"/>
              </w:rPr>
              <w:t>over other brands. And in terms, though, we do want to stop the program so that we can look for three months to see what is the</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impact. And obviously, that short term, not good news because they're pretty sizeable group of, again, estimating a $100,000 plus a</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6"/>
              </w:rPr>
              <w:t>month. And in the end, it turned out to be short-term (sit back) for a long-term (gain). We engaged the very well-known industry</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analytics group to work with independently. And what they determined was that just on prescribing leftover the competitive brands,</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they had a three to eight to one return on investment with us. And again, that didn't consider necessarily the increase in (inaudible), et</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cetera.</w:t>
            </w:r>
          </w:p>
        </w:tc>
      </w:tr>
      <w:tr>
        <w:trPr>
          <w:trHeight w:val="391"/>
        </w:trPr>
        <w:tc>
          <w:tcPr>
            <w:tcW w:w="1440" w:type="dxa"/>
            <w:vAlign w:val="bottom"/>
          </w:tcPr>
          <w:p>
            <w:pPr>
              <w:spacing w:after="0"/>
              <w:rPr>
                <w:sz w:val="24"/>
                <w:szCs w:val="24"/>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So, again, I can't give you the specific numbers but, you know, we're pleased with the increased growth, obviously, of last year but we</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think it could have been significantly better even (that). Did that answer ...</w:t>
            </w:r>
          </w:p>
        </w:tc>
      </w:tr>
      <w:tr>
        <w:trPr>
          <w:trHeight w:val="675"/>
        </w:trPr>
        <w:tc>
          <w:tcPr>
            <w:tcW w:w="144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r>
      <w:tr>
        <w:trPr>
          <w:trHeight w:val="224"/>
        </w:trPr>
        <w:tc>
          <w:tcPr>
            <w:tcW w:w="1440" w:type="dxa"/>
            <w:vAlign w:val="bottom"/>
          </w:tcPr>
          <w:p>
            <w:pPr>
              <w:spacing w:after="0"/>
              <w:rPr>
                <w:sz w:val="19"/>
                <w:szCs w:val="19"/>
                <w:color w:val="auto"/>
              </w:rPr>
            </w:pPr>
          </w:p>
        </w:tc>
        <w:tc>
          <w:tcPr>
            <w:tcW w:w="9980" w:type="dxa"/>
            <w:vAlign w:val="bottom"/>
          </w:tcPr>
          <w:p>
            <w:pPr>
              <w:ind w:left="422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665" w:right="239" w:bottom="9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ind w:left="40"/>
              <w:spacing w:after="0"/>
              <w:rPr>
                <w:sz w:val="20"/>
                <w:szCs w:val="20"/>
                <w:color w:val="auto"/>
              </w:rPr>
            </w:pPr>
            <w:r>
              <w:rPr>
                <w:rFonts w:ascii="Arial" w:cs="Arial" w:eastAsia="Arial" w:hAnsi="Arial"/>
                <w:sz w:val="18"/>
                <w:szCs w:val="18"/>
                <w:color w:val="auto"/>
              </w:rPr>
              <w:t>Harvey Poppel:</w:t>
            </w:r>
          </w:p>
        </w:tc>
        <w:tc>
          <w:tcPr>
            <w:tcW w:w="9980" w:type="dxa"/>
            <w:vAlign w:val="bottom"/>
          </w:tcPr>
          <w:p>
            <w:pPr>
              <w:ind w:left="280"/>
              <w:spacing w:after="0"/>
              <w:rPr>
                <w:sz w:val="20"/>
                <w:szCs w:val="20"/>
                <w:color w:val="auto"/>
              </w:rPr>
            </w:pPr>
            <w:r>
              <w:rPr>
                <w:rFonts w:ascii="Arial" w:cs="Arial" w:eastAsia="Arial" w:hAnsi="Arial"/>
                <w:sz w:val="18"/>
                <w:szCs w:val="18"/>
                <w:color w:val="auto"/>
              </w:rPr>
              <w:t>One thing you said, Dave, you said 100,000 a month, is there a revenue stream to you? And some of that had ...</w:t>
            </w:r>
          </w:p>
        </w:tc>
      </w:tr>
      <w:tr>
        <w:trPr>
          <w:trHeight w:val="405"/>
        </w:trPr>
        <w:tc>
          <w:tcPr>
            <w:tcW w:w="1440" w:type="dxa"/>
            <w:vAlign w:val="bottom"/>
          </w:tcPr>
          <w:p>
            <w:pPr>
              <w:spacing w:after="0"/>
              <w:rPr>
                <w:sz w:val="24"/>
                <w:szCs w:val="24"/>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(Crosstalk)</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rPr>
              <w:t>Dave, is that reasonable? Dave, can you comment on that, with the Alcon-Novartis? I don't want to ...</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David Lester:</w:t>
            </w:r>
          </w:p>
        </w:tc>
        <w:tc>
          <w:tcPr>
            <w:tcW w:w="9980" w:type="dxa"/>
            <w:vAlign w:val="bottom"/>
          </w:tcPr>
          <w:p>
            <w:pPr>
              <w:ind w:left="280"/>
              <w:spacing w:after="0"/>
              <w:rPr>
                <w:sz w:val="20"/>
                <w:szCs w:val="20"/>
                <w:color w:val="auto"/>
              </w:rPr>
            </w:pPr>
            <w:r>
              <w:rPr>
                <w:rFonts w:ascii="Arial" w:cs="Arial" w:eastAsia="Arial" w:hAnsi="Arial"/>
                <w:sz w:val="18"/>
                <w:szCs w:val="18"/>
                <w:color w:val="auto"/>
              </w:rPr>
              <w:t>Yes. Alcon-Novartis had been running right around that kind of a number. That's correct.</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rPr>
              <w:t>Yes, so I mean that's (the work estimate).</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Harvey Poppel:</w:t>
            </w:r>
          </w:p>
        </w:tc>
        <w:tc>
          <w:tcPr>
            <w:tcW w:w="9980" w:type="dxa"/>
            <w:vAlign w:val="bottom"/>
          </w:tcPr>
          <w:p>
            <w:pPr>
              <w:ind w:left="280"/>
              <w:spacing w:after="0"/>
              <w:rPr>
                <w:sz w:val="20"/>
                <w:szCs w:val="20"/>
                <w:color w:val="auto"/>
              </w:rPr>
            </w:pPr>
            <w:r>
              <w:rPr>
                <w:rFonts w:ascii="Arial" w:cs="Arial" w:eastAsia="Arial" w:hAnsi="Arial"/>
                <w:sz w:val="18"/>
                <w:szCs w:val="18"/>
                <w:color w:val="auto"/>
              </w:rPr>
              <w:t>And they were out of the game for three months?</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rPr>
              <w:t>Yes.</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Harvey Poppel:</w:t>
            </w:r>
          </w:p>
        </w:tc>
        <w:tc>
          <w:tcPr>
            <w:tcW w:w="9980" w:type="dxa"/>
            <w:vAlign w:val="bottom"/>
          </w:tcPr>
          <w:p>
            <w:pPr>
              <w:ind w:left="280"/>
              <w:spacing w:after="0"/>
              <w:rPr>
                <w:sz w:val="20"/>
                <w:szCs w:val="20"/>
                <w:color w:val="auto"/>
              </w:rPr>
            </w:pPr>
            <w:r>
              <w:rPr>
                <w:rFonts w:ascii="Arial" w:cs="Arial" w:eastAsia="Arial" w:hAnsi="Arial"/>
                <w:sz w:val="18"/>
                <w:szCs w:val="18"/>
                <w:color w:val="auto"/>
              </w:rPr>
              <w:t>Wow.</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rPr>
              <w:t>Actually, four months.</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Harvey Poppel:</w:t>
            </w:r>
          </w:p>
        </w:tc>
        <w:tc>
          <w:tcPr>
            <w:tcW w:w="9980" w:type="dxa"/>
            <w:vAlign w:val="bottom"/>
          </w:tcPr>
          <w:p>
            <w:pPr>
              <w:ind w:left="280"/>
              <w:spacing w:after="0"/>
              <w:rPr>
                <w:sz w:val="20"/>
                <w:szCs w:val="20"/>
                <w:color w:val="auto"/>
              </w:rPr>
            </w:pPr>
            <w:r>
              <w:rPr>
                <w:rFonts w:ascii="Arial" w:cs="Arial" w:eastAsia="Arial" w:hAnsi="Arial"/>
                <w:sz w:val="18"/>
                <w:szCs w:val="18"/>
                <w:color w:val="auto"/>
              </w:rPr>
              <w:t>Four months. And then when did that end?</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rPr>
              <w:t>They restored it in May program.</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Harvey Poppel:</w:t>
            </w:r>
          </w:p>
        </w:tc>
        <w:tc>
          <w:tcPr>
            <w:tcW w:w="9980" w:type="dxa"/>
            <w:vAlign w:val="bottom"/>
          </w:tcPr>
          <w:p>
            <w:pPr>
              <w:ind w:left="280"/>
              <w:spacing w:after="0"/>
              <w:rPr>
                <w:sz w:val="20"/>
                <w:szCs w:val="20"/>
                <w:color w:val="auto"/>
              </w:rPr>
            </w:pPr>
            <w:r>
              <w:rPr>
                <w:rFonts w:ascii="Arial" w:cs="Arial" w:eastAsia="Arial" w:hAnsi="Arial"/>
                <w:sz w:val="18"/>
                <w:szCs w:val="18"/>
                <w:color w:val="auto"/>
                <w:w w:val="99"/>
              </w:rPr>
              <w:t>OK. So there would be some impact that actually even the second quarter will be a little lighter than (it might otherwise be).</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rPr>
              <w:t>Right.</w:t>
            </w:r>
          </w:p>
        </w:tc>
      </w:tr>
      <w:tr>
        <w:trPr>
          <w:trHeight w:val="458"/>
        </w:trPr>
        <w:tc>
          <w:tcPr>
            <w:tcW w:w="1440" w:type="dxa"/>
            <w:vAlign w:val="bottom"/>
          </w:tcPr>
          <w:p>
            <w:pPr>
              <w:ind w:left="40"/>
              <w:spacing w:after="0"/>
              <w:rPr>
                <w:sz w:val="20"/>
                <w:szCs w:val="20"/>
                <w:color w:val="auto"/>
              </w:rPr>
            </w:pPr>
            <w:r>
              <w:rPr>
                <w:rFonts w:ascii="Arial" w:cs="Arial" w:eastAsia="Arial" w:hAnsi="Arial"/>
                <w:sz w:val="18"/>
                <w:szCs w:val="18"/>
                <w:color w:val="auto"/>
              </w:rPr>
              <w:t>Harvey Poppel:</w:t>
            </w: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OK. Next, the veterinary platform, very exciting development. Over time, as at matures, what kind of a percentage or materiality will</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that have relative to your core business? Is that another 5 percent, another 10 percent, another 20 percent?</w:t>
            </w:r>
          </w:p>
        </w:tc>
      </w:tr>
      <w:tr>
        <w:trPr>
          <w:trHeight w:val="458"/>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Well, speaking reasonably here, we thought that this was, went from a good idea to, you know, really understanding the needs of not</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only helping basically consumers who have a 100 percent out-of-pocket cost, but really looking at the dimension of veterinarians and</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how they're struggling with the pharmaceutical industry, frankly, the resentment that they're having, because in their minds (going)</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behind them and doing better deals with Wal-Mart's and the online, et cetera.</w:t>
            </w:r>
          </w:p>
        </w:tc>
      </w:tr>
      <w:tr>
        <w:trPr>
          <w:trHeight w:val="391"/>
        </w:trPr>
        <w:tc>
          <w:tcPr>
            <w:tcW w:w="1440" w:type="dxa"/>
            <w:vAlign w:val="bottom"/>
          </w:tcPr>
          <w:p>
            <w:pPr>
              <w:spacing w:after="0"/>
              <w:rPr>
                <w:sz w:val="24"/>
                <w:szCs w:val="24"/>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4"/>
              </w:rPr>
              <w:t>So, this seemed to be a very, very significant need. And when we're discussing this, not only the opportunity with very, very large</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organizations that I don't want to disclose it at this time, not only did they see our technologies very beneficial but they did recognize</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6"/>
              </w:rPr>
              <w:t>the fact that this could strengthen their services in helping veterinarians which (still) obviously the core of distributing products.</w:t>
            </w:r>
          </w:p>
        </w:tc>
      </w:tr>
      <w:tr>
        <w:trPr>
          <w:trHeight w:val="391"/>
        </w:trPr>
        <w:tc>
          <w:tcPr>
            <w:tcW w:w="1440" w:type="dxa"/>
            <w:vAlign w:val="bottom"/>
          </w:tcPr>
          <w:p>
            <w:pPr>
              <w:spacing w:after="0"/>
              <w:rPr>
                <w:sz w:val="24"/>
                <w:szCs w:val="24"/>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6"/>
              </w:rPr>
              <w:t>So in terms of the impact, Harvey, I can't necessarily give any forward statements on that because I think we're really trying to</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4"/>
              </w:rPr>
              <w:t>analyze this. There's two parts, obviously, just like our regular business that, you know, what kind of distributions can we get and</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4"/>
              </w:rPr>
              <w:t>what kind of product participation. But I can tell you in the heartworm segment alone, you're talking about multi millions of dollars</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of revenue actually to us, if we got 20 percent, 25 percent of the market. And there's only four big players that we call EHRs on the</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healthcare side, the human heath care. There's only four big platform players here. And we've engaged three out of four, and we'll be</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engaging the fourth next week.</w:t>
            </w:r>
          </w:p>
        </w:tc>
      </w:tr>
      <w:tr>
        <w:trPr>
          <w:trHeight w:val="675"/>
        </w:trPr>
        <w:tc>
          <w:tcPr>
            <w:tcW w:w="144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r>
      <w:tr>
        <w:trPr>
          <w:trHeight w:val="224"/>
        </w:trPr>
        <w:tc>
          <w:tcPr>
            <w:tcW w:w="1440" w:type="dxa"/>
            <w:vAlign w:val="bottom"/>
          </w:tcPr>
          <w:p>
            <w:pPr>
              <w:spacing w:after="0"/>
              <w:rPr>
                <w:sz w:val="19"/>
                <w:szCs w:val="19"/>
                <w:color w:val="auto"/>
              </w:rPr>
            </w:pPr>
          </w:p>
        </w:tc>
        <w:tc>
          <w:tcPr>
            <w:tcW w:w="9980" w:type="dxa"/>
            <w:vAlign w:val="bottom"/>
          </w:tcPr>
          <w:p>
            <w:pPr>
              <w:ind w:left="422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665"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ind w:left="40"/>
              <w:spacing w:after="0"/>
              <w:rPr>
                <w:sz w:val="20"/>
                <w:szCs w:val="20"/>
                <w:color w:val="auto"/>
              </w:rPr>
            </w:pPr>
            <w:r>
              <w:rPr>
                <w:rFonts w:ascii="Arial" w:cs="Arial" w:eastAsia="Arial" w:hAnsi="Arial"/>
                <w:sz w:val="18"/>
                <w:szCs w:val="18"/>
                <w:color w:val="auto"/>
              </w:rPr>
              <w:t>Harvey Poppel:</w:t>
            </w: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Great. Sounds very promising. On the Quest project, it's a little difficult for me to envision since Quest is a laboratory. What it is - are</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you - when the prescription going to generate some sort of a coupon that is going to reduce the patient's cost when we go Quest, is</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that what it is?</w:t>
            </w:r>
          </w:p>
        </w:tc>
      </w:tr>
      <w:tr>
        <w:trPr>
          <w:trHeight w:val="458"/>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w w:val="95"/>
              </w:rPr>
              <w:t>Well, let's clarify that a little bit more, too. We like to talk about Quest scale but let's bring it to what we're talking about here. It's</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their ERH right now, which is about, I think its 20,000 doctors, but we're looking at other opportunities to reach all of their network,</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whether it's, say, widget type of technology that we can embed. So we're exploring other, but we don't want to over emphasize that</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right now because it's currently just going to be in their EHR work similar to other EHR like Allscripts, DrFirst, et cetera.</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Harvey Poppel:</w:t>
            </w:r>
          </w:p>
        </w:tc>
        <w:tc>
          <w:tcPr>
            <w:tcW w:w="9980" w:type="dxa"/>
            <w:vAlign w:val="bottom"/>
          </w:tcPr>
          <w:p>
            <w:pPr>
              <w:ind w:left="280"/>
              <w:spacing w:after="0"/>
              <w:rPr>
                <w:sz w:val="20"/>
                <w:szCs w:val="20"/>
                <w:color w:val="auto"/>
              </w:rPr>
            </w:pPr>
            <w:r>
              <w:rPr>
                <w:rFonts w:ascii="Arial" w:cs="Arial" w:eastAsia="Arial" w:hAnsi="Arial"/>
                <w:sz w:val="18"/>
                <w:szCs w:val="18"/>
                <w:color w:val="auto"/>
              </w:rPr>
              <w:t>But, again, instead of being redeemable for a drug, it's redeemable for a test? (Inaudible) ...</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rPr>
              <w:t>No, no, no. This is their e-prescribing electronic health records integration, so they ...</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Harvey Poppel:</w:t>
            </w:r>
          </w:p>
        </w:tc>
        <w:tc>
          <w:tcPr>
            <w:tcW w:w="9980" w:type="dxa"/>
            <w:vAlign w:val="bottom"/>
          </w:tcPr>
          <w:p>
            <w:pPr>
              <w:ind w:left="280"/>
              <w:spacing w:after="0"/>
              <w:rPr>
                <w:sz w:val="20"/>
                <w:szCs w:val="20"/>
                <w:color w:val="auto"/>
              </w:rPr>
            </w:pPr>
            <w:r>
              <w:rPr>
                <w:rFonts w:ascii="Arial" w:cs="Arial" w:eastAsia="Arial" w:hAnsi="Arial"/>
                <w:sz w:val="18"/>
                <w:szCs w:val="18"/>
                <w:color w:val="auto"/>
              </w:rPr>
              <w:t>Oh, I see.</w:t>
            </w:r>
          </w:p>
        </w:tc>
      </w:tr>
      <w:tr>
        <w:trPr>
          <w:trHeight w:val="458"/>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Yes. But your concept here is and other discussions like this are - they're an organization that we think has a significant opportunity to</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6"/>
              </w:rPr>
              <w:t>provide additional patients support associated with. I'll just leave it as other points of contact within their network which is much</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broader.</w:t>
            </w:r>
          </w:p>
        </w:tc>
      </w:tr>
      <w:tr>
        <w:trPr>
          <w:trHeight w:val="458"/>
        </w:trPr>
        <w:tc>
          <w:tcPr>
            <w:tcW w:w="1440" w:type="dxa"/>
            <w:vAlign w:val="bottom"/>
          </w:tcPr>
          <w:p>
            <w:pPr>
              <w:ind w:left="40"/>
              <w:spacing w:after="0"/>
              <w:rPr>
                <w:sz w:val="20"/>
                <w:szCs w:val="20"/>
                <w:color w:val="auto"/>
              </w:rPr>
            </w:pPr>
            <w:r>
              <w:rPr>
                <w:rFonts w:ascii="Arial" w:cs="Arial" w:eastAsia="Arial" w:hAnsi="Arial"/>
                <w:sz w:val="18"/>
                <w:szCs w:val="18"/>
                <w:color w:val="auto"/>
              </w:rPr>
              <w:t>Harvey Poppel:</w:t>
            </w: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OK. Final question was the word doubling was mentioned twice in the context of David's comments on financials. I didn't quite catch</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4"/>
              </w:rPr>
              <w:t>what the two references were. We're referring to a number of transactions or a number of docs, or what were those two doubling</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comments about?</w:t>
            </w:r>
          </w:p>
        </w:tc>
      </w:tr>
      <w:tr>
        <w:trPr>
          <w:trHeight w:val="458"/>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w w:val="94"/>
              </w:rPr>
              <w:t>Well, the first one was doubling of our active network. We expect by the end of the year that we're going to double the number of</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3"/>
              </w:rPr>
              <w:t>active providers; active means utilizing our coupon. And the second was - Dave, did we have - I apologize, do you have - Dave, do</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you recall the other double?</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David Lester:</w:t>
            </w:r>
          </w:p>
        </w:tc>
        <w:tc>
          <w:tcPr>
            <w:tcW w:w="9980" w:type="dxa"/>
            <w:vAlign w:val="bottom"/>
          </w:tcPr>
          <w:p>
            <w:pPr>
              <w:ind w:left="280"/>
              <w:spacing w:after="0"/>
              <w:rPr>
                <w:sz w:val="20"/>
                <w:szCs w:val="20"/>
                <w:color w:val="auto"/>
              </w:rPr>
            </w:pPr>
            <w:r>
              <w:rPr>
                <w:rFonts w:ascii="Arial" w:cs="Arial" w:eastAsia="Arial" w:hAnsi="Arial"/>
                <w:sz w:val="18"/>
                <w:szCs w:val="18"/>
                <w:color w:val="auto"/>
              </w:rPr>
              <w:t>I think we talked about doubling our network.</w:t>
            </w:r>
          </w:p>
        </w:tc>
      </w:tr>
      <w:tr>
        <w:trPr>
          <w:trHeight w:val="675"/>
        </w:trPr>
        <w:tc>
          <w:tcPr>
            <w:tcW w:w="144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r>
      <w:tr>
        <w:trPr>
          <w:trHeight w:val="224"/>
        </w:trPr>
        <w:tc>
          <w:tcPr>
            <w:tcW w:w="1440" w:type="dxa"/>
            <w:vAlign w:val="bottom"/>
          </w:tcPr>
          <w:p>
            <w:pPr>
              <w:spacing w:after="0"/>
              <w:rPr>
                <w:sz w:val="19"/>
                <w:szCs w:val="19"/>
                <w:color w:val="auto"/>
              </w:rPr>
            </w:pPr>
          </w:p>
        </w:tc>
        <w:tc>
          <w:tcPr>
            <w:tcW w:w="9980" w:type="dxa"/>
            <w:vAlign w:val="bottom"/>
          </w:tcPr>
          <w:p>
            <w:pPr>
              <w:ind w:left="422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20"/>
          </w:cols>
          <w:pgMar w:left="240" w:top="665"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ind w:left="40"/>
              <w:spacing w:after="0"/>
              <w:rPr>
                <w:sz w:val="20"/>
                <w:szCs w:val="20"/>
                <w:color w:val="auto"/>
              </w:rPr>
            </w:pPr>
            <w:r>
              <w:rPr>
                <w:rFonts w:ascii="Arial" w:cs="Arial" w:eastAsia="Arial" w:hAnsi="Arial"/>
                <w:sz w:val="18"/>
                <w:szCs w:val="18"/>
                <w:color w:val="auto"/>
              </w:rPr>
              <w:t>Harvey Poppel:</w:t>
            </w:r>
          </w:p>
        </w:tc>
        <w:tc>
          <w:tcPr>
            <w:tcW w:w="9980" w:type="dxa"/>
            <w:vAlign w:val="bottom"/>
          </w:tcPr>
          <w:p>
            <w:pPr>
              <w:ind w:left="280"/>
              <w:spacing w:after="0"/>
              <w:rPr>
                <w:sz w:val="20"/>
                <w:szCs w:val="20"/>
                <w:color w:val="auto"/>
              </w:rPr>
            </w:pPr>
            <w:r>
              <w:rPr>
                <w:rFonts w:ascii="Arial" w:cs="Arial" w:eastAsia="Arial" w:hAnsi="Arial"/>
                <w:sz w:val="18"/>
                <w:szCs w:val="18"/>
                <w:color w:val="auto"/>
              </w:rPr>
              <w:t>OK.</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rPr>
              <w:t>So doubling the number of active doctors.</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Harvey Poppel:</w:t>
            </w:r>
          </w:p>
        </w:tc>
        <w:tc>
          <w:tcPr>
            <w:tcW w:w="9980" w:type="dxa"/>
            <w:vAlign w:val="bottom"/>
          </w:tcPr>
          <w:p>
            <w:pPr>
              <w:ind w:left="280"/>
              <w:spacing w:after="0"/>
              <w:rPr>
                <w:sz w:val="20"/>
                <w:szCs w:val="20"/>
                <w:color w:val="auto"/>
              </w:rPr>
            </w:pPr>
            <w:r>
              <w:rPr>
                <w:rFonts w:ascii="Arial" w:cs="Arial" w:eastAsia="Arial" w:hAnsi="Arial"/>
                <w:sz w:val="18"/>
                <w:szCs w:val="18"/>
                <w:color w:val="auto"/>
              </w:rPr>
              <w:t>OK. It was - I thought there was a second reference.</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rPr>
              <w:t>Yes, I think there is, and I'm looking through the notes here. Continue to do (while I field your questions), fair enough?</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Harvey Poppel:</w:t>
            </w:r>
          </w:p>
        </w:tc>
        <w:tc>
          <w:tcPr>
            <w:tcW w:w="9980" w:type="dxa"/>
            <w:vAlign w:val="bottom"/>
          </w:tcPr>
          <w:p>
            <w:pPr>
              <w:ind w:left="280"/>
              <w:spacing w:after="0"/>
              <w:rPr>
                <w:sz w:val="20"/>
                <w:szCs w:val="20"/>
                <w:color w:val="auto"/>
              </w:rPr>
            </w:pPr>
            <w:r>
              <w:rPr>
                <w:rFonts w:ascii="Arial" w:cs="Arial" w:eastAsia="Arial" w:hAnsi="Arial"/>
                <w:sz w:val="18"/>
                <w:szCs w:val="18"/>
                <w:color w:val="auto"/>
              </w:rPr>
              <w:t>OK. Fine, I'm done. So maybe you can come back on that.</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David Lester:</w:t>
            </w:r>
          </w:p>
        </w:tc>
        <w:tc>
          <w:tcPr>
            <w:tcW w:w="9980" w:type="dxa"/>
            <w:vAlign w:val="bottom"/>
          </w:tcPr>
          <w:p>
            <w:pPr>
              <w:ind w:left="280"/>
              <w:spacing w:after="0"/>
              <w:rPr>
                <w:sz w:val="20"/>
                <w:szCs w:val="20"/>
                <w:color w:val="auto"/>
              </w:rPr>
            </w:pPr>
            <w:r>
              <w:rPr>
                <w:rFonts w:ascii="Arial" w:cs="Arial" w:eastAsia="Arial" w:hAnsi="Arial"/>
                <w:sz w:val="18"/>
                <w:szCs w:val="18"/>
                <w:color w:val="auto"/>
              </w:rPr>
              <w:t>Harvey, I think it was doubling the distributions.</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Harvey Poppel:</w:t>
            </w:r>
          </w:p>
        </w:tc>
        <w:tc>
          <w:tcPr>
            <w:tcW w:w="9980" w:type="dxa"/>
            <w:vAlign w:val="bottom"/>
          </w:tcPr>
          <w:p>
            <w:pPr>
              <w:ind w:left="280"/>
              <w:spacing w:after="0"/>
              <w:rPr>
                <w:sz w:val="20"/>
                <w:szCs w:val="20"/>
                <w:color w:val="auto"/>
              </w:rPr>
            </w:pPr>
            <w:r>
              <w:rPr>
                <w:rFonts w:ascii="Arial" w:cs="Arial" w:eastAsia="Arial" w:hAnsi="Arial"/>
                <w:sz w:val="18"/>
                <w:szCs w:val="18"/>
                <w:color w:val="auto"/>
              </w:rPr>
              <w:t>Distributions?</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rPr>
              <w:t>Over last year.</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Harvey Poppel:</w:t>
            </w:r>
          </w:p>
        </w:tc>
        <w:tc>
          <w:tcPr>
            <w:tcW w:w="9980" w:type="dxa"/>
            <w:vAlign w:val="bottom"/>
          </w:tcPr>
          <w:p>
            <w:pPr>
              <w:ind w:left="280"/>
              <w:spacing w:after="0"/>
              <w:rPr>
                <w:sz w:val="20"/>
                <w:szCs w:val="20"/>
                <w:color w:val="auto"/>
              </w:rPr>
            </w:pPr>
            <w:r>
              <w:rPr>
                <w:rFonts w:ascii="Arial" w:cs="Arial" w:eastAsia="Arial" w:hAnsi="Arial"/>
                <w:sz w:val="18"/>
                <w:szCs w:val="18"/>
                <w:color w:val="auto"/>
              </w:rPr>
              <w:t>In other words, the number of transactions essentially?</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rPr>
              <w:t>Yes.</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David Lester:</w:t>
            </w:r>
          </w:p>
        </w:tc>
        <w:tc>
          <w:tcPr>
            <w:tcW w:w="9980" w:type="dxa"/>
            <w:vAlign w:val="bottom"/>
          </w:tcPr>
          <w:p>
            <w:pPr>
              <w:ind w:left="280"/>
              <w:spacing w:after="0"/>
              <w:rPr>
                <w:sz w:val="20"/>
                <w:szCs w:val="20"/>
                <w:color w:val="auto"/>
              </w:rPr>
            </w:pPr>
            <w:r>
              <w:rPr>
                <w:rFonts w:ascii="Arial" w:cs="Arial" w:eastAsia="Arial" w:hAnsi="Arial"/>
                <w:sz w:val="18"/>
                <w:szCs w:val="18"/>
                <w:color w:val="auto"/>
              </w:rPr>
              <w:t>Yes.</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Harvey Poppel:</w:t>
            </w:r>
          </w:p>
        </w:tc>
        <w:tc>
          <w:tcPr>
            <w:tcW w:w="9980" w:type="dxa"/>
            <w:vAlign w:val="bottom"/>
          </w:tcPr>
          <w:p>
            <w:pPr>
              <w:ind w:left="280"/>
              <w:spacing w:after="0"/>
              <w:rPr>
                <w:sz w:val="20"/>
                <w:szCs w:val="20"/>
                <w:color w:val="auto"/>
              </w:rPr>
            </w:pPr>
            <w:r>
              <w:rPr>
                <w:rFonts w:ascii="Arial" w:cs="Arial" w:eastAsia="Arial" w:hAnsi="Arial"/>
                <w:sz w:val="18"/>
                <w:szCs w:val="18"/>
                <w:color w:val="auto"/>
              </w:rPr>
              <w:t>OK. Good. Thank you very much.</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rPr>
              <w:t>At this time, we're out of time. No, I'm kidding, Harvey.</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Operator:</w:t>
            </w:r>
          </w:p>
        </w:tc>
        <w:tc>
          <w:tcPr>
            <w:tcW w:w="9980" w:type="dxa"/>
            <w:vAlign w:val="bottom"/>
          </w:tcPr>
          <w:p>
            <w:pPr>
              <w:ind w:left="280"/>
              <w:spacing w:after="0"/>
              <w:rPr>
                <w:sz w:val="20"/>
                <w:szCs w:val="20"/>
                <w:color w:val="auto"/>
              </w:rPr>
            </w:pPr>
            <w:r>
              <w:rPr>
                <w:rFonts w:ascii="Arial" w:cs="Arial" w:eastAsia="Arial" w:hAnsi="Arial"/>
                <w:sz w:val="18"/>
                <w:szCs w:val="18"/>
                <w:color w:val="auto"/>
              </w:rPr>
              <w:t>Your next question comes from the line of Brian Marckx with Zacks Investment.</w:t>
            </w:r>
          </w:p>
        </w:tc>
      </w:tr>
      <w:tr>
        <w:trPr>
          <w:trHeight w:val="458"/>
        </w:trPr>
        <w:tc>
          <w:tcPr>
            <w:tcW w:w="1440" w:type="dxa"/>
            <w:vAlign w:val="bottom"/>
          </w:tcPr>
          <w:p>
            <w:pPr>
              <w:ind w:left="40"/>
              <w:spacing w:after="0"/>
              <w:rPr>
                <w:sz w:val="20"/>
                <w:szCs w:val="20"/>
                <w:color w:val="auto"/>
              </w:rPr>
            </w:pPr>
            <w:r>
              <w:rPr>
                <w:rFonts w:ascii="Arial" w:cs="Arial" w:eastAsia="Arial" w:hAnsi="Arial"/>
                <w:sz w:val="18"/>
                <w:szCs w:val="18"/>
                <w:color w:val="auto"/>
              </w:rPr>
              <w:t>Brian Marckx:</w:t>
            </w:r>
          </w:p>
        </w:tc>
        <w:tc>
          <w:tcPr>
            <w:tcW w:w="9980" w:type="dxa"/>
            <w:vAlign w:val="bottom"/>
          </w:tcPr>
          <w:p>
            <w:pPr>
              <w:ind w:left="280"/>
              <w:spacing w:after="0"/>
              <w:rPr>
                <w:sz w:val="20"/>
                <w:szCs w:val="20"/>
                <w:color w:val="auto"/>
              </w:rPr>
            </w:pPr>
            <w:r>
              <w:rPr>
                <w:rFonts w:ascii="Arial" w:cs="Arial" w:eastAsia="Arial" w:hAnsi="Arial"/>
                <w:sz w:val="18"/>
                <w:szCs w:val="18"/>
                <w:color w:val="auto"/>
                <w:w w:val="95"/>
              </w:rPr>
              <w:t>Hi, guys. I jumped on a little bit late. So I apologize if you've covered this. Did stock-based compensation of 400,000 plus in the</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quarter, can you talk about that? And is that sort of a one-time thing? Or is that going to recur?</w:t>
            </w:r>
          </w:p>
        </w:tc>
      </w:tr>
      <w:tr>
        <w:trPr>
          <w:trHeight w:val="458"/>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w w:val="95"/>
              </w:rPr>
              <w:t>No, we see that as a one-time thing. It included the couple different sources. Myself, our management, and then, obviously, our</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former executive of the company who (had) an obligation.</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Brian Marckx:</w:t>
            </w:r>
          </w:p>
        </w:tc>
        <w:tc>
          <w:tcPr>
            <w:tcW w:w="9980" w:type="dxa"/>
            <w:vAlign w:val="bottom"/>
          </w:tcPr>
          <w:p>
            <w:pPr>
              <w:ind w:left="280"/>
              <w:spacing w:after="0"/>
              <w:rPr>
                <w:sz w:val="20"/>
                <w:szCs w:val="20"/>
                <w:color w:val="auto"/>
              </w:rPr>
            </w:pPr>
            <w:r>
              <w:rPr>
                <w:rFonts w:ascii="Arial" w:cs="Arial" w:eastAsia="Arial" w:hAnsi="Arial"/>
                <w:sz w:val="18"/>
                <w:szCs w:val="18"/>
                <w:color w:val="auto"/>
              </w:rPr>
              <w:t>OK.</w:t>
            </w:r>
          </w:p>
        </w:tc>
      </w:tr>
      <w:tr>
        <w:trPr>
          <w:trHeight w:val="458"/>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And it was for recognizing, you know, growth, completion of the, completion of performance in 2014. So - or excuse me, 2013 - that</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were issued Shad Stastney and former management team.</w:t>
            </w:r>
          </w:p>
        </w:tc>
      </w:tr>
      <w:tr>
        <w:trPr>
          <w:trHeight w:val="458"/>
        </w:trPr>
        <w:tc>
          <w:tcPr>
            <w:tcW w:w="1440" w:type="dxa"/>
            <w:vAlign w:val="bottom"/>
          </w:tcPr>
          <w:p>
            <w:pPr>
              <w:ind w:left="40"/>
              <w:spacing w:after="0"/>
              <w:rPr>
                <w:sz w:val="20"/>
                <w:szCs w:val="20"/>
                <w:color w:val="auto"/>
              </w:rPr>
            </w:pPr>
            <w:r>
              <w:rPr>
                <w:rFonts w:ascii="Arial" w:cs="Arial" w:eastAsia="Arial" w:hAnsi="Arial"/>
                <w:sz w:val="18"/>
                <w:szCs w:val="18"/>
                <w:color w:val="auto"/>
              </w:rPr>
              <w:t>Brian Marckx:</w:t>
            </w: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OK. So the Q isn't out yet, is that related to (inaudible) of the current management? How much is that related to Shad? Is this going to</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reoccur in Q1 of, you know, of 2015, I guess?</w:t>
            </w:r>
          </w:p>
        </w:tc>
      </w:tr>
      <w:tr>
        <w:trPr>
          <w:trHeight w:val="458"/>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w w:val="96"/>
              </w:rPr>
              <w:t>Is it going to occur in Q1 of 2015? It's hard to say. I mean obviously our compensation is based on salary bonus and additional</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compensation with (some stocks).</w:t>
            </w:r>
          </w:p>
        </w:tc>
      </w:tr>
      <w:tr>
        <w:trPr>
          <w:trHeight w:val="675"/>
        </w:trPr>
        <w:tc>
          <w:tcPr>
            <w:tcW w:w="144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r>
      <w:tr>
        <w:trPr>
          <w:trHeight w:val="224"/>
        </w:trPr>
        <w:tc>
          <w:tcPr>
            <w:tcW w:w="1440" w:type="dxa"/>
            <w:vAlign w:val="bottom"/>
          </w:tcPr>
          <w:p>
            <w:pPr>
              <w:spacing w:after="0"/>
              <w:rPr>
                <w:sz w:val="19"/>
                <w:szCs w:val="19"/>
                <w:color w:val="auto"/>
              </w:rPr>
            </w:pPr>
          </w:p>
        </w:tc>
        <w:tc>
          <w:tcPr>
            <w:tcW w:w="9980" w:type="dxa"/>
            <w:vAlign w:val="bottom"/>
          </w:tcPr>
          <w:p>
            <w:pPr>
              <w:ind w:left="422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665"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ind w:left="40"/>
              <w:spacing w:after="0"/>
              <w:rPr>
                <w:sz w:val="20"/>
                <w:szCs w:val="20"/>
                <w:color w:val="auto"/>
              </w:rPr>
            </w:pPr>
            <w:r>
              <w:rPr>
                <w:rFonts w:ascii="Arial" w:cs="Arial" w:eastAsia="Arial" w:hAnsi="Arial"/>
                <w:sz w:val="18"/>
                <w:szCs w:val="18"/>
                <w:color w:val="auto"/>
              </w:rPr>
              <w:t>Brian Marckx:</w:t>
            </w:r>
          </w:p>
        </w:tc>
        <w:tc>
          <w:tcPr>
            <w:tcW w:w="10000" w:type="dxa"/>
            <w:vAlign w:val="bottom"/>
          </w:tcPr>
          <w:p>
            <w:pPr>
              <w:ind w:left="300"/>
              <w:spacing w:after="0"/>
              <w:rPr>
                <w:sz w:val="20"/>
                <w:szCs w:val="20"/>
                <w:color w:val="auto"/>
              </w:rPr>
            </w:pPr>
            <w:r>
              <w:rPr>
                <w:rFonts w:ascii="Arial" w:cs="Arial" w:eastAsia="Arial" w:hAnsi="Arial"/>
                <w:sz w:val="18"/>
                <w:szCs w:val="18"/>
                <w:color w:val="auto"/>
              </w:rPr>
              <w:t>Yes, I understand, Dave. The SG&amp;A was pretty odd this quarter, and, you know, that's the theme that I'm getting at.</w:t>
            </w:r>
          </w:p>
        </w:tc>
      </w:tr>
      <w:tr>
        <w:trPr>
          <w:trHeight w:val="473"/>
        </w:trPr>
        <w:tc>
          <w:tcPr>
            <w:tcW w:w="142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10000" w:type="dxa"/>
            <w:vAlign w:val="bottom"/>
          </w:tcPr>
          <w:p>
            <w:pPr>
              <w:ind w:left="300"/>
              <w:spacing w:after="0"/>
              <w:rPr>
                <w:sz w:val="20"/>
                <w:szCs w:val="20"/>
                <w:color w:val="auto"/>
              </w:rPr>
            </w:pPr>
            <w:r>
              <w:rPr>
                <w:rFonts w:ascii="Arial" w:cs="Arial" w:eastAsia="Arial" w:hAnsi="Arial"/>
                <w:sz w:val="18"/>
                <w:szCs w:val="18"/>
                <w:color w:val="auto"/>
              </w:rPr>
              <w:t>Yes, yes.</w:t>
            </w:r>
          </w:p>
        </w:tc>
      </w:tr>
      <w:tr>
        <w:trPr>
          <w:trHeight w:val="473"/>
        </w:trPr>
        <w:tc>
          <w:tcPr>
            <w:tcW w:w="1420" w:type="dxa"/>
            <w:vAlign w:val="bottom"/>
          </w:tcPr>
          <w:p>
            <w:pPr>
              <w:ind w:left="40"/>
              <w:spacing w:after="0"/>
              <w:rPr>
                <w:sz w:val="20"/>
                <w:szCs w:val="20"/>
                <w:color w:val="auto"/>
              </w:rPr>
            </w:pPr>
            <w:r>
              <w:rPr>
                <w:rFonts w:ascii="Arial" w:cs="Arial" w:eastAsia="Arial" w:hAnsi="Arial"/>
                <w:sz w:val="18"/>
                <w:szCs w:val="18"/>
                <w:color w:val="auto"/>
              </w:rPr>
              <w:t>Brian Marckx:</w:t>
            </w:r>
          </w:p>
        </w:tc>
        <w:tc>
          <w:tcPr>
            <w:tcW w:w="10000" w:type="dxa"/>
            <w:vAlign w:val="bottom"/>
          </w:tcPr>
          <w:p>
            <w:pPr>
              <w:ind w:left="300"/>
              <w:spacing w:after="0"/>
              <w:rPr>
                <w:sz w:val="20"/>
                <w:szCs w:val="20"/>
                <w:color w:val="auto"/>
              </w:rPr>
            </w:pPr>
            <w:r>
              <w:rPr>
                <w:rFonts w:ascii="Arial" w:cs="Arial" w:eastAsia="Arial" w:hAnsi="Arial"/>
                <w:sz w:val="18"/>
                <w:szCs w:val="18"/>
                <w:color w:val="auto"/>
              </w:rPr>
              <w:t>So just tell me why it's so (inaudible) this quarter.</w:t>
            </w:r>
          </w:p>
        </w:tc>
      </w:tr>
      <w:tr>
        <w:trPr>
          <w:trHeight w:val="458"/>
        </w:trPr>
        <w:tc>
          <w:tcPr>
            <w:tcW w:w="142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10000" w:type="dxa"/>
            <w:vAlign w:val="bottom"/>
          </w:tcPr>
          <w:p>
            <w:pPr>
              <w:ind w:left="300"/>
              <w:spacing w:after="0"/>
              <w:rPr>
                <w:sz w:val="20"/>
                <w:szCs w:val="20"/>
                <w:color w:val="auto"/>
              </w:rPr>
            </w:pPr>
            <w:r>
              <w:rPr>
                <w:rFonts w:ascii="Arial" w:cs="Arial" w:eastAsia="Arial" w:hAnsi="Arial"/>
                <w:sz w:val="18"/>
                <w:szCs w:val="18"/>
                <w:color w:val="auto"/>
                <w:w w:val="92"/>
              </w:rPr>
              <w:t>Yes. Yes, I mean, clearly there was compensation due to former executive. So we see it as being, you know - the fact is that we see</w:t>
            </w:r>
          </w:p>
        </w:tc>
      </w:tr>
      <w:tr>
        <w:trPr>
          <w:trHeight w:val="216"/>
        </w:trPr>
        <w:tc>
          <w:tcPr>
            <w:tcW w:w="1420" w:type="dxa"/>
            <w:vAlign w:val="bottom"/>
          </w:tcPr>
          <w:p>
            <w:pPr>
              <w:spacing w:after="0"/>
              <w:rPr>
                <w:sz w:val="18"/>
                <w:szCs w:val="18"/>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w w:val="92"/>
              </w:rPr>
              <w:t>this potentially, you know, obviously stock options being a bonus for our current management based on their success. But as far as</w:t>
            </w:r>
          </w:p>
        </w:tc>
      </w:tr>
      <w:tr>
        <w:trPr>
          <w:trHeight w:val="230"/>
        </w:trPr>
        <w:tc>
          <w:tcPr>
            <w:tcW w:w="1420" w:type="dxa"/>
            <w:vAlign w:val="bottom"/>
          </w:tcPr>
          <w:p>
            <w:pPr>
              <w:spacing w:after="0"/>
              <w:rPr>
                <w:sz w:val="20"/>
                <w:szCs w:val="20"/>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rPr>
              <w:t>percentage of revenue and things, we see that being much smaller moving forward.</w:t>
            </w:r>
          </w:p>
        </w:tc>
      </w:tr>
      <w:tr>
        <w:trPr>
          <w:trHeight w:val="458"/>
        </w:trPr>
        <w:tc>
          <w:tcPr>
            <w:tcW w:w="1420" w:type="dxa"/>
            <w:vAlign w:val="bottom"/>
          </w:tcPr>
          <w:p>
            <w:pPr>
              <w:ind w:left="40"/>
              <w:spacing w:after="0"/>
              <w:rPr>
                <w:sz w:val="20"/>
                <w:szCs w:val="20"/>
                <w:color w:val="auto"/>
              </w:rPr>
            </w:pPr>
            <w:r>
              <w:rPr>
                <w:rFonts w:ascii="Arial" w:cs="Arial" w:eastAsia="Arial" w:hAnsi="Arial"/>
                <w:sz w:val="18"/>
                <w:szCs w:val="18"/>
                <w:color w:val="auto"/>
              </w:rPr>
              <w:t>Brian Marckx:</w:t>
            </w:r>
          </w:p>
        </w:tc>
        <w:tc>
          <w:tcPr>
            <w:tcW w:w="10000" w:type="dxa"/>
            <w:vAlign w:val="bottom"/>
          </w:tcPr>
          <w:p>
            <w:pPr>
              <w:ind w:left="300"/>
              <w:spacing w:after="0"/>
              <w:rPr>
                <w:sz w:val="20"/>
                <w:szCs w:val="20"/>
                <w:color w:val="auto"/>
              </w:rPr>
            </w:pPr>
            <w:r>
              <w:rPr>
                <w:rFonts w:ascii="Arial" w:cs="Arial" w:eastAsia="Arial" w:hAnsi="Arial"/>
                <w:sz w:val="18"/>
                <w:szCs w:val="18"/>
                <w:color w:val="auto"/>
                <w:w w:val="97"/>
              </w:rPr>
              <w:t>OK, all right. Despite sort of the hiccups in Q1, and, all right, you know, hiccup is a relative term. I used that as a relative term</w:t>
            </w:r>
          </w:p>
        </w:tc>
      </w:tr>
      <w:tr>
        <w:trPr>
          <w:trHeight w:val="216"/>
        </w:trPr>
        <w:tc>
          <w:tcPr>
            <w:tcW w:w="1420" w:type="dxa"/>
            <w:vAlign w:val="bottom"/>
          </w:tcPr>
          <w:p>
            <w:pPr>
              <w:spacing w:after="0"/>
              <w:rPr>
                <w:sz w:val="18"/>
                <w:szCs w:val="18"/>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w w:val="91"/>
              </w:rPr>
              <w:t>because you guys have grown revenue very consistently and impressively. So, Q1, although it was up essentially 100 percent, it was</w:t>
            </w:r>
          </w:p>
        </w:tc>
      </w:tr>
      <w:tr>
        <w:trPr>
          <w:trHeight w:val="216"/>
        </w:trPr>
        <w:tc>
          <w:tcPr>
            <w:tcW w:w="1420" w:type="dxa"/>
            <w:vAlign w:val="bottom"/>
          </w:tcPr>
          <w:p>
            <w:pPr>
              <w:spacing w:after="0"/>
              <w:rPr>
                <w:sz w:val="18"/>
                <w:szCs w:val="18"/>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w w:val="94"/>
              </w:rPr>
              <w:t>down relative to what, maybe what it could have been, had the kind of the extenuating circumstance not occurred. In your opinion</w:t>
            </w:r>
          </w:p>
        </w:tc>
      </w:tr>
      <w:tr>
        <w:trPr>
          <w:trHeight w:val="230"/>
        </w:trPr>
        <w:tc>
          <w:tcPr>
            <w:tcW w:w="1420" w:type="dxa"/>
            <w:vAlign w:val="bottom"/>
          </w:tcPr>
          <w:p>
            <w:pPr>
              <w:spacing w:after="0"/>
              <w:rPr>
                <w:sz w:val="20"/>
                <w:szCs w:val="20"/>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rPr>
              <w:t>based on what you see in the business, do you think you can double revenue in the current year?</w:t>
            </w:r>
          </w:p>
        </w:tc>
      </w:tr>
      <w:tr>
        <w:trPr>
          <w:trHeight w:val="458"/>
        </w:trPr>
        <w:tc>
          <w:tcPr>
            <w:tcW w:w="142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10000" w:type="dxa"/>
            <w:vAlign w:val="bottom"/>
          </w:tcPr>
          <w:p>
            <w:pPr>
              <w:ind w:left="300"/>
              <w:spacing w:after="0"/>
              <w:rPr>
                <w:sz w:val="20"/>
                <w:szCs w:val="20"/>
                <w:color w:val="auto"/>
              </w:rPr>
            </w:pPr>
            <w:r>
              <w:rPr>
                <w:rFonts w:ascii="Arial" w:cs="Arial" w:eastAsia="Arial" w:hAnsi="Arial"/>
                <w:sz w:val="18"/>
                <w:szCs w:val="18"/>
                <w:color w:val="auto"/>
                <w:w w:val="93"/>
              </w:rPr>
              <w:t>I'm only hesitating because of (just) forward-looking statements. And I see when you look at, you know, us double up transactions</w:t>
            </w:r>
          </w:p>
        </w:tc>
      </w:tr>
      <w:tr>
        <w:trPr>
          <w:trHeight w:val="216"/>
        </w:trPr>
        <w:tc>
          <w:tcPr>
            <w:tcW w:w="1420" w:type="dxa"/>
            <w:vAlign w:val="bottom"/>
          </w:tcPr>
          <w:p>
            <w:pPr>
              <w:spacing w:after="0"/>
              <w:rPr>
                <w:sz w:val="18"/>
                <w:szCs w:val="18"/>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w w:val="94"/>
              </w:rPr>
              <w:t>you can make your own inference about that. It's a question that will - it's almost just the disclosure question in my mind right now</w:t>
            </w:r>
          </w:p>
        </w:tc>
      </w:tr>
      <w:tr>
        <w:trPr>
          <w:trHeight w:val="216"/>
        </w:trPr>
        <w:tc>
          <w:tcPr>
            <w:tcW w:w="1420" w:type="dxa"/>
            <w:vAlign w:val="bottom"/>
          </w:tcPr>
          <w:p>
            <w:pPr>
              <w:spacing w:after="0"/>
              <w:rPr>
                <w:sz w:val="18"/>
                <w:szCs w:val="18"/>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w w:val="93"/>
              </w:rPr>
              <w:t>that I don't know if we're prepared to commit to, so I'd like to hold off on that and if we have more color. I would certainly say that's</w:t>
            </w:r>
          </w:p>
        </w:tc>
      </w:tr>
      <w:tr>
        <w:trPr>
          <w:trHeight w:val="230"/>
        </w:trPr>
        <w:tc>
          <w:tcPr>
            <w:tcW w:w="1420" w:type="dxa"/>
            <w:vAlign w:val="bottom"/>
          </w:tcPr>
          <w:p>
            <w:pPr>
              <w:spacing w:after="0"/>
              <w:rPr>
                <w:sz w:val="20"/>
                <w:szCs w:val="20"/>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rPr>
              <w:t>not beyond certainly - the opportunity certainly exists there.</w:t>
            </w:r>
          </w:p>
        </w:tc>
      </w:tr>
      <w:tr>
        <w:trPr>
          <w:trHeight w:val="405"/>
        </w:trPr>
        <w:tc>
          <w:tcPr>
            <w:tcW w:w="1420" w:type="dxa"/>
            <w:vAlign w:val="bottom"/>
          </w:tcPr>
          <w:p>
            <w:pPr>
              <w:spacing w:after="0"/>
              <w:rPr>
                <w:sz w:val="24"/>
                <w:szCs w:val="24"/>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rPr>
              <w:t>(Crosstalk)</w:t>
            </w:r>
          </w:p>
        </w:tc>
      </w:tr>
      <w:tr>
        <w:trPr>
          <w:trHeight w:val="473"/>
        </w:trPr>
        <w:tc>
          <w:tcPr>
            <w:tcW w:w="1420" w:type="dxa"/>
            <w:vAlign w:val="bottom"/>
          </w:tcPr>
          <w:p>
            <w:pPr>
              <w:ind w:left="40"/>
              <w:spacing w:after="0"/>
              <w:rPr>
                <w:sz w:val="20"/>
                <w:szCs w:val="20"/>
                <w:color w:val="auto"/>
              </w:rPr>
            </w:pPr>
            <w:r>
              <w:rPr>
                <w:rFonts w:ascii="Arial" w:cs="Arial" w:eastAsia="Arial" w:hAnsi="Arial"/>
                <w:sz w:val="18"/>
                <w:szCs w:val="18"/>
                <w:color w:val="auto"/>
              </w:rPr>
              <w:t>Brian Marckx:</w:t>
            </w:r>
          </w:p>
        </w:tc>
        <w:tc>
          <w:tcPr>
            <w:tcW w:w="10000" w:type="dxa"/>
            <w:vAlign w:val="bottom"/>
          </w:tcPr>
          <w:p>
            <w:pPr>
              <w:ind w:left="300"/>
              <w:spacing w:after="0"/>
              <w:rPr>
                <w:sz w:val="20"/>
                <w:szCs w:val="20"/>
                <w:color w:val="auto"/>
              </w:rPr>
            </w:pPr>
            <w:r>
              <w:rPr>
                <w:rFonts w:ascii="Arial" w:cs="Arial" w:eastAsia="Arial" w:hAnsi="Arial"/>
                <w:sz w:val="18"/>
                <w:szCs w:val="18"/>
                <w:color w:val="auto"/>
              </w:rPr>
              <w:t>OK. On the last call, you talked ...</w:t>
            </w:r>
          </w:p>
        </w:tc>
      </w:tr>
      <w:tr>
        <w:trPr>
          <w:trHeight w:val="458"/>
        </w:trPr>
        <w:tc>
          <w:tcPr>
            <w:tcW w:w="142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10000" w:type="dxa"/>
            <w:vAlign w:val="bottom"/>
          </w:tcPr>
          <w:p>
            <w:pPr>
              <w:ind w:left="300"/>
              <w:spacing w:after="0"/>
              <w:rPr>
                <w:sz w:val="20"/>
                <w:szCs w:val="20"/>
                <w:color w:val="auto"/>
              </w:rPr>
            </w:pPr>
            <w:r>
              <w:rPr>
                <w:rFonts w:ascii="Arial" w:cs="Arial" w:eastAsia="Arial" w:hAnsi="Arial"/>
                <w:sz w:val="18"/>
                <w:szCs w:val="18"/>
                <w:color w:val="auto"/>
                <w:w w:val="93"/>
              </w:rPr>
              <w:t>Just again, we've very conservative. Again, just to provide more color, we've been very conservative in terms of not giving first, you</w:t>
            </w:r>
          </w:p>
        </w:tc>
      </w:tr>
      <w:tr>
        <w:trPr>
          <w:trHeight w:val="216"/>
        </w:trPr>
        <w:tc>
          <w:tcPr>
            <w:tcW w:w="1420" w:type="dxa"/>
            <w:vAlign w:val="bottom"/>
          </w:tcPr>
          <w:p>
            <w:pPr>
              <w:spacing w:after="0"/>
              <w:rPr>
                <w:sz w:val="18"/>
                <w:szCs w:val="18"/>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w w:val="98"/>
              </w:rPr>
              <w:t>know, direct revenue share but clearly we're planning on scaling up our network and that's certainly wouldn't be on a (logical</w:t>
            </w:r>
          </w:p>
        </w:tc>
      </w:tr>
      <w:tr>
        <w:trPr>
          <w:trHeight w:val="230"/>
        </w:trPr>
        <w:tc>
          <w:tcPr>
            <w:tcW w:w="1420" w:type="dxa"/>
            <w:vAlign w:val="bottom"/>
          </w:tcPr>
          <w:p>
            <w:pPr>
              <w:spacing w:after="0"/>
              <w:rPr>
                <w:sz w:val="20"/>
                <w:szCs w:val="20"/>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rPr>
              <w:t>thought).</w:t>
            </w:r>
          </w:p>
        </w:tc>
      </w:tr>
      <w:tr>
        <w:trPr>
          <w:trHeight w:val="458"/>
        </w:trPr>
        <w:tc>
          <w:tcPr>
            <w:tcW w:w="1420" w:type="dxa"/>
            <w:vAlign w:val="bottom"/>
          </w:tcPr>
          <w:p>
            <w:pPr>
              <w:ind w:left="40"/>
              <w:spacing w:after="0"/>
              <w:rPr>
                <w:sz w:val="20"/>
                <w:szCs w:val="20"/>
                <w:color w:val="auto"/>
              </w:rPr>
            </w:pPr>
            <w:r>
              <w:rPr>
                <w:rFonts w:ascii="Arial" w:cs="Arial" w:eastAsia="Arial" w:hAnsi="Arial"/>
                <w:sz w:val="18"/>
                <w:szCs w:val="18"/>
                <w:color w:val="auto"/>
              </w:rPr>
              <w:t>Brian Marckx:</w:t>
            </w:r>
          </w:p>
        </w:tc>
        <w:tc>
          <w:tcPr>
            <w:tcW w:w="10000" w:type="dxa"/>
            <w:vAlign w:val="bottom"/>
          </w:tcPr>
          <w:p>
            <w:pPr>
              <w:ind w:left="300"/>
              <w:spacing w:after="0"/>
              <w:rPr>
                <w:sz w:val="20"/>
                <w:szCs w:val="20"/>
                <w:color w:val="auto"/>
              </w:rPr>
            </w:pPr>
            <w:r>
              <w:rPr>
                <w:rFonts w:ascii="Arial" w:cs="Arial" w:eastAsia="Arial" w:hAnsi="Arial"/>
                <w:sz w:val="18"/>
                <w:szCs w:val="18"/>
                <w:color w:val="auto"/>
                <w:w w:val="91"/>
              </w:rPr>
              <w:t>OK. On the last call you talked about a goal of increasing a number of drugs promoted by roughly 35 percent. Is that still a goal? And</w:t>
            </w:r>
          </w:p>
        </w:tc>
      </w:tr>
      <w:tr>
        <w:trPr>
          <w:trHeight w:val="230"/>
        </w:trPr>
        <w:tc>
          <w:tcPr>
            <w:tcW w:w="1420" w:type="dxa"/>
            <w:vAlign w:val="bottom"/>
          </w:tcPr>
          <w:p>
            <w:pPr>
              <w:spacing w:after="0"/>
              <w:rPr>
                <w:sz w:val="20"/>
                <w:szCs w:val="20"/>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rPr>
              <w:t>is that still, I think, you know - do you think that, that's still attainable, I guess?</w:t>
            </w:r>
          </w:p>
        </w:tc>
      </w:tr>
      <w:tr>
        <w:trPr>
          <w:trHeight w:val="458"/>
        </w:trPr>
        <w:tc>
          <w:tcPr>
            <w:tcW w:w="142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10000" w:type="dxa"/>
            <w:vAlign w:val="bottom"/>
          </w:tcPr>
          <w:p>
            <w:pPr>
              <w:ind w:left="300"/>
              <w:spacing w:after="0"/>
              <w:rPr>
                <w:sz w:val="20"/>
                <w:szCs w:val="20"/>
                <w:color w:val="auto"/>
              </w:rPr>
            </w:pPr>
            <w:r>
              <w:rPr>
                <w:rFonts w:ascii="Arial" w:cs="Arial" w:eastAsia="Arial" w:hAnsi="Arial"/>
                <w:sz w:val="18"/>
                <w:szCs w:val="18"/>
                <w:color w:val="auto"/>
                <w:w w:val="92"/>
              </w:rPr>
              <w:t>Yes, I do. I do - I mean we picked up AZ's - AstraZeneca was a big one for us. And, you know, technically, I think they're bringing in</w:t>
            </w:r>
          </w:p>
        </w:tc>
      </w:tr>
      <w:tr>
        <w:trPr>
          <w:trHeight w:val="216"/>
        </w:trPr>
        <w:tc>
          <w:tcPr>
            <w:tcW w:w="1420" w:type="dxa"/>
            <w:vAlign w:val="bottom"/>
          </w:tcPr>
          <w:p>
            <w:pPr>
              <w:spacing w:after="0"/>
              <w:rPr>
                <w:sz w:val="18"/>
                <w:szCs w:val="18"/>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w w:val="97"/>
              </w:rPr>
              <w:t>eight to 13 drugs right there. So, I mean it's - now clearly, when you look at - what drives our businesses? It's pharma and it's</w:t>
            </w:r>
          </w:p>
        </w:tc>
      </w:tr>
      <w:tr>
        <w:trPr>
          <w:trHeight w:val="216"/>
        </w:trPr>
        <w:tc>
          <w:tcPr>
            <w:tcW w:w="1420" w:type="dxa"/>
            <w:vAlign w:val="bottom"/>
          </w:tcPr>
          <w:p>
            <w:pPr>
              <w:spacing w:after="0"/>
              <w:rPr>
                <w:sz w:val="18"/>
                <w:szCs w:val="18"/>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w w:val="92"/>
              </w:rPr>
              <w:t>network, but every drug is not equivalent, obviously, but the blockbuster drugs are, you know, much more important. But I think that</w:t>
            </w:r>
          </w:p>
        </w:tc>
      </w:tr>
      <w:tr>
        <w:trPr>
          <w:trHeight w:val="230"/>
        </w:trPr>
        <w:tc>
          <w:tcPr>
            <w:tcW w:w="1420" w:type="dxa"/>
            <w:vAlign w:val="bottom"/>
          </w:tcPr>
          <w:p>
            <w:pPr>
              <w:spacing w:after="0"/>
              <w:rPr>
                <w:sz w:val="20"/>
                <w:szCs w:val="20"/>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rPr>
              <w:t>the - I can see us - we're clearly on line to do that.</w:t>
            </w:r>
          </w:p>
        </w:tc>
      </w:tr>
      <w:tr>
        <w:trPr>
          <w:trHeight w:val="473"/>
        </w:trPr>
        <w:tc>
          <w:tcPr>
            <w:tcW w:w="1420" w:type="dxa"/>
            <w:vAlign w:val="bottom"/>
          </w:tcPr>
          <w:p>
            <w:pPr>
              <w:ind w:left="40"/>
              <w:spacing w:after="0"/>
              <w:rPr>
                <w:sz w:val="20"/>
                <w:szCs w:val="20"/>
                <w:color w:val="auto"/>
              </w:rPr>
            </w:pPr>
            <w:r>
              <w:rPr>
                <w:rFonts w:ascii="Arial" w:cs="Arial" w:eastAsia="Arial" w:hAnsi="Arial"/>
                <w:sz w:val="18"/>
                <w:szCs w:val="18"/>
                <w:color w:val="auto"/>
              </w:rPr>
              <w:t>Brian Marckx:</w:t>
            </w:r>
          </w:p>
        </w:tc>
        <w:tc>
          <w:tcPr>
            <w:tcW w:w="10000" w:type="dxa"/>
            <w:vAlign w:val="bottom"/>
          </w:tcPr>
          <w:p>
            <w:pPr>
              <w:ind w:left="300"/>
              <w:spacing w:after="0"/>
              <w:rPr>
                <w:sz w:val="20"/>
                <w:szCs w:val="20"/>
                <w:color w:val="auto"/>
              </w:rPr>
            </w:pPr>
            <w:r>
              <w:rPr>
                <w:rFonts w:ascii="Arial" w:cs="Arial" w:eastAsia="Arial" w:hAnsi="Arial"/>
                <w:sz w:val="18"/>
                <w:szCs w:val="18"/>
                <w:color w:val="auto"/>
              </w:rPr>
              <w:t>OK.</w:t>
            </w:r>
          </w:p>
        </w:tc>
      </w:tr>
      <w:tr>
        <w:trPr>
          <w:trHeight w:val="458"/>
        </w:trPr>
        <w:tc>
          <w:tcPr>
            <w:tcW w:w="142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10000" w:type="dxa"/>
            <w:vAlign w:val="bottom"/>
          </w:tcPr>
          <w:p>
            <w:pPr>
              <w:ind w:left="300"/>
              <w:spacing w:after="0"/>
              <w:rPr>
                <w:sz w:val="20"/>
                <w:szCs w:val="20"/>
                <w:color w:val="auto"/>
              </w:rPr>
            </w:pPr>
            <w:r>
              <w:rPr>
                <w:rFonts w:ascii="Arial" w:cs="Arial" w:eastAsia="Arial" w:hAnsi="Arial"/>
                <w:sz w:val="18"/>
                <w:szCs w:val="18"/>
                <w:color w:val="auto"/>
                <w:w w:val="91"/>
              </w:rPr>
              <w:t>The other thing I'd like to bring to is we sponsored this first Pharma EHR conference. And we spent two days as the lead - I mean our</w:t>
            </w:r>
          </w:p>
        </w:tc>
      </w:tr>
      <w:tr>
        <w:trPr>
          <w:trHeight w:val="216"/>
        </w:trPr>
        <w:tc>
          <w:tcPr>
            <w:tcW w:w="1420" w:type="dxa"/>
            <w:vAlign w:val="bottom"/>
          </w:tcPr>
          <w:p>
            <w:pPr>
              <w:spacing w:after="0"/>
              <w:rPr>
                <w:sz w:val="18"/>
                <w:szCs w:val="18"/>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w w:val="95"/>
              </w:rPr>
              <w:t>- you know, we were the key sponsor, DrFirst also sponsored with us. And we just had terrific, terrific interaction as well as, you</w:t>
            </w:r>
          </w:p>
        </w:tc>
      </w:tr>
      <w:tr>
        <w:trPr>
          <w:trHeight w:val="216"/>
        </w:trPr>
        <w:tc>
          <w:tcPr>
            <w:tcW w:w="1420" w:type="dxa"/>
            <w:vAlign w:val="bottom"/>
          </w:tcPr>
          <w:p>
            <w:pPr>
              <w:spacing w:after="0"/>
              <w:rPr>
                <w:sz w:val="18"/>
                <w:szCs w:val="18"/>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w w:val="96"/>
              </w:rPr>
              <w:t>know, the ability to really tell our story most importantly to our current clients, and I think it was referenced. But literally, we had</w:t>
            </w:r>
          </w:p>
        </w:tc>
      </w:tr>
      <w:tr>
        <w:trPr>
          <w:trHeight w:val="216"/>
        </w:trPr>
        <w:tc>
          <w:tcPr>
            <w:tcW w:w="1420" w:type="dxa"/>
            <w:vAlign w:val="bottom"/>
          </w:tcPr>
          <w:p>
            <w:pPr>
              <w:spacing w:after="0"/>
              <w:rPr>
                <w:sz w:val="18"/>
                <w:szCs w:val="18"/>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w w:val="91"/>
              </w:rPr>
              <w:t>some of the largest pharma companies on panels talking about SampleMD, SampleMD, SampleMD did this, SampleMD did this, and</w:t>
            </w:r>
          </w:p>
        </w:tc>
      </w:tr>
      <w:tr>
        <w:trPr>
          <w:trHeight w:val="216"/>
        </w:trPr>
        <w:tc>
          <w:tcPr>
            <w:tcW w:w="1420" w:type="dxa"/>
            <w:vAlign w:val="bottom"/>
          </w:tcPr>
          <w:p>
            <w:pPr>
              <w:spacing w:after="0"/>
              <w:rPr>
                <w:sz w:val="18"/>
                <w:szCs w:val="18"/>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w w:val="93"/>
              </w:rPr>
              <w:t>I really feel like the market is really at the tipping point. And our whole key point was if you're not doing eCoupons in the EHR. This</w:t>
            </w:r>
          </w:p>
        </w:tc>
      </w:tr>
      <w:tr>
        <w:trPr>
          <w:trHeight w:val="230"/>
        </w:trPr>
        <w:tc>
          <w:tcPr>
            <w:tcW w:w="1420" w:type="dxa"/>
            <w:vAlign w:val="bottom"/>
          </w:tcPr>
          <w:p>
            <w:pPr>
              <w:spacing w:after="0"/>
              <w:rPr>
                <w:sz w:val="20"/>
                <w:szCs w:val="20"/>
                <w:color w:val="auto"/>
              </w:rPr>
            </w:pPr>
          </w:p>
        </w:tc>
        <w:tc>
          <w:tcPr>
            <w:tcW w:w="10000" w:type="dxa"/>
            <w:vAlign w:val="bottom"/>
          </w:tcPr>
          <w:p>
            <w:pPr>
              <w:ind w:left="300"/>
              <w:spacing w:after="0"/>
              <w:rPr>
                <w:sz w:val="20"/>
                <w:szCs w:val="20"/>
                <w:color w:val="auto"/>
              </w:rPr>
            </w:pPr>
            <w:r>
              <w:rPr>
                <w:rFonts w:ascii="Arial" w:cs="Arial" w:eastAsia="Arial" w:hAnsi="Arial"/>
                <w:sz w:val="18"/>
                <w:szCs w:val="18"/>
                <w:color w:val="auto"/>
              </w:rPr>
              <w:t>was not my quote. This was a quote from a leading pharma company. "If you are behind, you better get in the game."</w:t>
            </w:r>
          </w:p>
        </w:tc>
      </w:tr>
      <w:tr>
        <w:trPr>
          <w:trHeight w:val="675"/>
        </w:trPr>
        <w:tc>
          <w:tcPr>
            <w:tcW w:w="142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r>
        <w:trPr>
          <w:trHeight w:val="224"/>
        </w:trPr>
        <w:tc>
          <w:tcPr>
            <w:tcW w:w="1420" w:type="dxa"/>
            <w:vAlign w:val="bottom"/>
          </w:tcPr>
          <w:p>
            <w:pPr>
              <w:spacing w:after="0"/>
              <w:rPr>
                <w:sz w:val="19"/>
                <w:szCs w:val="19"/>
                <w:color w:val="auto"/>
              </w:rPr>
            </w:pPr>
          </w:p>
        </w:tc>
        <w:tc>
          <w:tcPr>
            <w:tcW w:w="10000" w:type="dxa"/>
            <w:vAlign w:val="bottom"/>
          </w:tcPr>
          <w:p>
            <w:pPr>
              <w:ind w:left="424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20"/>
          </w:cols>
          <w:pgMar w:left="240" w:top="665" w:right="2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ind w:left="40"/>
              <w:spacing w:after="0"/>
              <w:rPr>
                <w:sz w:val="20"/>
                <w:szCs w:val="20"/>
                <w:color w:val="auto"/>
              </w:rPr>
            </w:pPr>
            <w:r>
              <w:rPr>
                <w:rFonts w:ascii="Arial" w:cs="Arial" w:eastAsia="Arial" w:hAnsi="Arial"/>
                <w:sz w:val="18"/>
                <w:szCs w:val="18"/>
                <w:color w:val="auto"/>
              </w:rPr>
              <w:t>Brian Marckx:</w:t>
            </w:r>
          </w:p>
        </w:tc>
        <w:tc>
          <w:tcPr>
            <w:tcW w:w="9860" w:type="dxa"/>
            <w:vAlign w:val="bottom"/>
          </w:tcPr>
          <w:p>
            <w:pPr>
              <w:ind w:left="160"/>
              <w:spacing w:after="0"/>
              <w:rPr>
                <w:sz w:val="20"/>
                <w:szCs w:val="20"/>
                <w:color w:val="auto"/>
              </w:rPr>
            </w:pPr>
            <w:r>
              <w:rPr>
                <w:rFonts w:ascii="Arial" w:cs="Arial" w:eastAsia="Arial" w:hAnsi="Arial"/>
                <w:sz w:val="18"/>
                <w:szCs w:val="18"/>
                <w:color w:val="auto"/>
                <w:w w:val="96"/>
              </w:rPr>
              <w:t>Yes. You know, I think the perception is that you guys have done a fantastic job. Certainly, we've grown on the top line and the</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4"/>
              </w:rPr>
              <w:t>numbers sort of speak for themselves. It's kind of the one-off, you know, one-off expenses here and there that sort of slow things</w:t>
            </w:r>
          </w:p>
        </w:tc>
      </w:tr>
      <w:tr>
        <w:trPr>
          <w:trHeight w:val="230"/>
        </w:trPr>
        <w:tc>
          <w:tcPr>
            <w:tcW w:w="1560" w:type="dxa"/>
            <w:vAlign w:val="bottom"/>
          </w:tcPr>
          <w:p>
            <w:pPr>
              <w:spacing w:after="0"/>
              <w:rPr>
                <w:sz w:val="20"/>
                <w:szCs w:val="20"/>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rPr>
              <w:t>down. Once you guys can, you know, streamline everything and the top line continuous to grow, I think you guys ...</w:t>
            </w:r>
          </w:p>
        </w:tc>
      </w:tr>
      <w:tr>
        <w:trPr>
          <w:trHeight w:val="473"/>
        </w:trPr>
        <w:tc>
          <w:tcPr>
            <w:tcW w:w="156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860" w:type="dxa"/>
            <w:vAlign w:val="bottom"/>
          </w:tcPr>
          <w:p>
            <w:pPr>
              <w:ind w:left="160"/>
              <w:spacing w:after="0"/>
              <w:rPr>
                <w:sz w:val="20"/>
                <w:szCs w:val="20"/>
                <w:color w:val="auto"/>
              </w:rPr>
            </w:pPr>
            <w:r>
              <w:rPr>
                <w:rFonts w:ascii="Arial" w:cs="Arial" w:eastAsia="Arial" w:hAnsi="Arial"/>
                <w:sz w:val="18"/>
                <w:szCs w:val="18"/>
                <w:color w:val="auto"/>
              </w:rPr>
              <w:t>Yes, I mean, surely obviously, the LDM lawsuit was the big impact.</w:t>
            </w:r>
          </w:p>
        </w:tc>
      </w:tr>
      <w:tr>
        <w:trPr>
          <w:trHeight w:val="473"/>
        </w:trPr>
        <w:tc>
          <w:tcPr>
            <w:tcW w:w="1560" w:type="dxa"/>
            <w:vAlign w:val="bottom"/>
          </w:tcPr>
          <w:p>
            <w:pPr>
              <w:ind w:left="40"/>
              <w:spacing w:after="0"/>
              <w:rPr>
                <w:sz w:val="20"/>
                <w:szCs w:val="20"/>
                <w:color w:val="auto"/>
              </w:rPr>
            </w:pPr>
            <w:r>
              <w:rPr>
                <w:rFonts w:ascii="Arial" w:cs="Arial" w:eastAsia="Arial" w:hAnsi="Arial"/>
                <w:sz w:val="18"/>
                <w:szCs w:val="18"/>
                <w:color w:val="auto"/>
              </w:rPr>
              <w:t>Brian Marckx:</w:t>
            </w:r>
          </w:p>
        </w:tc>
        <w:tc>
          <w:tcPr>
            <w:tcW w:w="9860" w:type="dxa"/>
            <w:vAlign w:val="bottom"/>
          </w:tcPr>
          <w:p>
            <w:pPr>
              <w:ind w:left="160"/>
              <w:spacing w:after="0"/>
              <w:rPr>
                <w:sz w:val="20"/>
                <w:szCs w:val="20"/>
                <w:color w:val="auto"/>
              </w:rPr>
            </w:pPr>
            <w:r>
              <w:rPr>
                <w:rFonts w:ascii="Arial" w:cs="Arial" w:eastAsia="Arial" w:hAnsi="Arial"/>
                <w:sz w:val="18"/>
                <w:szCs w:val="18"/>
                <w:color w:val="auto"/>
              </w:rPr>
              <w:t>Sure.</w:t>
            </w:r>
          </w:p>
        </w:tc>
      </w:tr>
      <w:tr>
        <w:trPr>
          <w:trHeight w:val="458"/>
        </w:trPr>
        <w:tc>
          <w:tcPr>
            <w:tcW w:w="156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860" w:type="dxa"/>
            <w:vAlign w:val="bottom"/>
          </w:tcPr>
          <w:p>
            <w:pPr>
              <w:ind w:left="160"/>
              <w:spacing w:after="0"/>
              <w:rPr>
                <w:sz w:val="20"/>
                <w:szCs w:val="20"/>
                <w:color w:val="auto"/>
              </w:rPr>
            </w:pPr>
            <w:r>
              <w:rPr>
                <w:rFonts w:ascii="Arial" w:cs="Arial" w:eastAsia="Arial" w:hAnsi="Arial"/>
                <w:sz w:val="18"/>
                <w:szCs w:val="18"/>
                <w:color w:val="auto"/>
                <w:w w:val="93"/>
              </w:rPr>
              <w:t>And, you know, in terms of, you know, stock options, we want to compensate our executives including myself correctly. But we see</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2"/>
              </w:rPr>
              <w:t>that clearly being, you know - the top line, obviously, is going to be our biggest growth and why we're going to increase our earnings</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3"/>
              </w:rPr>
              <w:t>(with them). You know and if that grows, our SaaS model, obviously, we're a SaaS model. You know, for all practical purposes, our</w:t>
            </w:r>
          </w:p>
        </w:tc>
      </w:tr>
      <w:tr>
        <w:trPr>
          <w:trHeight w:val="230"/>
        </w:trPr>
        <w:tc>
          <w:tcPr>
            <w:tcW w:w="1560" w:type="dxa"/>
            <w:vAlign w:val="bottom"/>
          </w:tcPr>
          <w:p>
            <w:pPr>
              <w:spacing w:after="0"/>
              <w:rPr>
                <w:sz w:val="20"/>
                <w:szCs w:val="20"/>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rPr>
              <w:t>expenses generally stay the same.</w:t>
            </w:r>
          </w:p>
        </w:tc>
      </w:tr>
      <w:tr>
        <w:trPr>
          <w:trHeight w:val="473"/>
        </w:trPr>
        <w:tc>
          <w:tcPr>
            <w:tcW w:w="1560" w:type="dxa"/>
            <w:vAlign w:val="bottom"/>
          </w:tcPr>
          <w:p>
            <w:pPr>
              <w:ind w:left="40"/>
              <w:spacing w:after="0"/>
              <w:rPr>
                <w:sz w:val="20"/>
                <w:szCs w:val="20"/>
                <w:color w:val="auto"/>
              </w:rPr>
            </w:pPr>
            <w:r>
              <w:rPr>
                <w:rFonts w:ascii="Arial" w:cs="Arial" w:eastAsia="Arial" w:hAnsi="Arial"/>
                <w:sz w:val="18"/>
                <w:szCs w:val="18"/>
                <w:color w:val="auto"/>
              </w:rPr>
              <w:t>Brian Marckx:</w:t>
            </w:r>
          </w:p>
        </w:tc>
        <w:tc>
          <w:tcPr>
            <w:tcW w:w="9860" w:type="dxa"/>
            <w:vAlign w:val="bottom"/>
          </w:tcPr>
          <w:p>
            <w:pPr>
              <w:ind w:left="160"/>
              <w:spacing w:after="0"/>
              <w:rPr>
                <w:sz w:val="20"/>
                <w:szCs w:val="20"/>
                <w:color w:val="auto"/>
              </w:rPr>
            </w:pPr>
            <w:r>
              <w:rPr>
                <w:rFonts w:ascii="Arial" w:cs="Arial" w:eastAsia="Arial" w:hAnsi="Arial"/>
                <w:sz w:val="18"/>
                <w:szCs w:val="18"/>
                <w:color w:val="auto"/>
              </w:rPr>
              <w:t>Yes, yes. Yes, absolutely, yes. And from my viewpoint, you guys have done a great job. So that's all I had. Thanks a lot.</w:t>
            </w:r>
          </w:p>
        </w:tc>
      </w:tr>
      <w:tr>
        <w:trPr>
          <w:trHeight w:val="473"/>
        </w:trPr>
        <w:tc>
          <w:tcPr>
            <w:tcW w:w="156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860" w:type="dxa"/>
            <w:vAlign w:val="bottom"/>
          </w:tcPr>
          <w:p>
            <w:pPr>
              <w:ind w:left="160"/>
              <w:spacing w:after="0"/>
              <w:rPr>
                <w:sz w:val="20"/>
                <w:szCs w:val="20"/>
                <w:color w:val="auto"/>
              </w:rPr>
            </w:pPr>
            <w:r>
              <w:rPr>
                <w:rFonts w:ascii="Arial" w:cs="Arial" w:eastAsia="Arial" w:hAnsi="Arial"/>
                <w:sz w:val="18"/>
                <w:szCs w:val="18"/>
                <w:color w:val="auto"/>
              </w:rPr>
              <w:t>Thank you.</w:t>
            </w:r>
          </w:p>
        </w:tc>
      </w:tr>
      <w:tr>
        <w:trPr>
          <w:trHeight w:val="473"/>
        </w:trPr>
        <w:tc>
          <w:tcPr>
            <w:tcW w:w="1560" w:type="dxa"/>
            <w:vAlign w:val="bottom"/>
          </w:tcPr>
          <w:p>
            <w:pPr>
              <w:ind w:left="40"/>
              <w:spacing w:after="0"/>
              <w:rPr>
                <w:sz w:val="20"/>
                <w:szCs w:val="20"/>
                <w:color w:val="auto"/>
              </w:rPr>
            </w:pPr>
            <w:r>
              <w:rPr>
                <w:rFonts w:ascii="Arial" w:cs="Arial" w:eastAsia="Arial" w:hAnsi="Arial"/>
                <w:sz w:val="18"/>
                <w:szCs w:val="18"/>
                <w:color w:val="auto"/>
              </w:rPr>
              <w:t>Operator:</w:t>
            </w:r>
          </w:p>
        </w:tc>
        <w:tc>
          <w:tcPr>
            <w:tcW w:w="9860" w:type="dxa"/>
            <w:vAlign w:val="bottom"/>
          </w:tcPr>
          <w:p>
            <w:pPr>
              <w:ind w:left="160"/>
              <w:spacing w:after="0"/>
              <w:rPr>
                <w:sz w:val="20"/>
                <w:szCs w:val="20"/>
                <w:color w:val="auto"/>
              </w:rPr>
            </w:pPr>
            <w:r>
              <w:rPr>
                <w:rFonts w:ascii="Arial" w:cs="Arial" w:eastAsia="Arial" w:hAnsi="Arial"/>
                <w:sz w:val="18"/>
                <w:szCs w:val="18"/>
                <w:color w:val="auto"/>
              </w:rPr>
              <w:t>Your next question comes from a line of (Joseph Delahufe), a private investor.</w:t>
            </w:r>
          </w:p>
        </w:tc>
      </w:tr>
      <w:tr>
        <w:trPr>
          <w:trHeight w:val="458"/>
        </w:trPr>
        <w:tc>
          <w:tcPr>
            <w:tcW w:w="1560" w:type="dxa"/>
            <w:vAlign w:val="bottom"/>
          </w:tcPr>
          <w:p>
            <w:pPr>
              <w:ind w:left="40"/>
              <w:spacing w:after="0"/>
              <w:rPr>
                <w:sz w:val="20"/>
                <w:szCs w:val="20"/>
                <w:color w:val="auto"/>
              </w:rPr>
            </w:pPr>
            <w:r>
              <w:rPr>
                <w:rFonts w:ascii="Arial" w:cs="Arial" w:eastAsia="Arial" w:hAnsi="Arial"/>
                <w:sz w:val="18"/>
                <w:szCs w:val="18"/>
                <w:color w:val="auto"/>
                <w:w w:val="98"/>
              </w:rPr>
              <w:t>(Joseph Delahufe):</w:t>
            </w:r>
          </w:p>
        </w:tc>
        <w:tc>
          <w:tcPr>
            <w:tcW w:w="9860" w:type="dxa"/>
            <w:vAlign w:val="bottom"/>
          </w:tcPr>
          <w:p>
            <w:pPr>
              <w:ind w:left="160"/>
              <w:spacing w:after="0"/>
              <w:rPr>
                <w:sz w:val="20"/>
                <w:szCs w:val="20"/>
                <w:color w:val="auto"/>
              </w:rPr>
            </w:pPr>
            <w:r>
              <w:rPr>
                <w:rFonts w:ascii="Arial" w:cs="Arial" w:eastAsia="Arial" w:hAnsi="Arial"/>
                <w:sz w:val="18"/>
                <w:szCs w:val="18"/>
                <w:color w:val="auto"/>
                <w:w w:val="92"/>
              </w:rPr>
              <w:t>Yes, hi, thanks for taking the call. I may have missed it, but did you give the eCoupon distribution number for the first quarter in your</w:t>
            </w:r>
          </w:p>
        </w:tc>
      </w:tr>
      <w:tr>
        <w:trPr>
          <w:trHeight w:val="230"/>
        </w:trPr>
        <w:tc>
          <w:tcPr>
            <w:tcW w:w="1560" w:type="dxa"/>
            <w:vAlign w:val="bottom"/>
          </w:tcPr>
          <w:p>
            <w:pPr>
              <w:spacing w:after="0"/>
              <w:rPr>
                <w:sz w:val="20"/>
                <w:szCs w:val="20"/>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rPr>
              <w:t>prepared remarks?</w:t>
            </w:r>
          </w:p>
        </w:tc>
      </w:tr>
      <w:tr>
        <w:trPr>
          <w:trHeight w:val="458"/>
        </w:trPr>
        <w:tc>
          <w:tcPr>
            <w:tcW w:w="156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860" w:type="dxa"/>
            <w:vAlign w:val="bottom"/>
          </w:tcPr>
          <w:p>
            <w:pPr>
              <w:ind w:left="160"/>
              <w:spacing w:after="0"/>
              <w:rPr>
                <w:sz w:val="20"/>
                <w:szCs w:val="20"/>
                <w:color w:val="auto"/>
              </w:rPr>
            </w:pPr>
            <w:r>
              <w:rPr>
                <w:rFonts w:ascii="Arial" w:cs="Arial" w:eastAsia="Arial" w:hAnsi="Arial"/>
                <w:sz w:val="18"/>
                <w:szCs w:val="18"/>
                <w:color w:val="auto"/>
                <w:w w:val="92"/>
              </w:rPr>
              <w:t>No, we haven't yet. And, you know, it's a question I think we should. We see this is kind of a competitive issue. So, again, we're not</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1"/>
              </w:rPr>
              <w:t>as apparent with that as we have been. But that's kind of why we're, you know, not as - you know, from our viewpoint, we see that as</w:t>
            </w:r>
          </w:p>
        </w:tc>
      </w:tr>
      <w:tr>
        <w:trPr>
          <w:trHeight w:val="230"/>
        </w:trPr>
        <w:tc>
          <w:tcPr>
            <w:tcW w:w="1560" w:type="dxa"/>
            <w:vAlign w:val="bottom"/>
          </w:tcPr>
          <w:p>
            <w:pPr>
              <w:spacing w:after="0"/>
              <w:rPr>
                <w:sz w:val="20"/>
                <w:szCs w:val="20"/>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rPr>
              <w:t>a competitive issue.</w:t>
            </w:r>
          </w:p>
        </w:tc>
      </w:tr>
      <w:tr>
        <w:trPr>
          <w:trHeight w:val="458"/>
        </w:trPr>
        <w:tc>
          <w:tcPr>
            <w:tcW w:w="1560" w:type="dxa"/>
            <w:vAlign w:val="bottom"/>
          </w:tcPr>
          <w:p>
            <w:pPr>
              <w:ind w:left="40"/>
              <w:spacing w:after="0"/>
              <w:rPr>
                <w:sz w:val="20"/>
                <w:szCs w:val="20"/>
                <w:color w:val="auto"/>
              </w:rPr>
            </w:pPr>
            <w:r>
              <w:rPr>
                <w:rFonts w:ascii="Arial" w:cs="Arial" w:eastAsia="Arial" w:hAnsi="Arial"/>
                <w:sz w:val="18"/>
                <w:szCs w:val="18"/>
                <w:color w:val="auto"/>
                <w:w w:val="98"/>
              </w:rPr>
              <w:t>(Joseph Delahufe):</w:t>
            </w:r>
          </w:p>
        </w:tc>
        <w:tc>
          <w:tcPr>
            <w:tcW w:w="9860" w:type="dxa"/>
            <w:vAlign w:val="bottom"/>
          </w:tcPr>
          <w:p>
            <w:pPr>
              <w:ind w:left="160"/>
              <w:spacing w:after="0"/>
              <w:rPr>
                <w:sz w:val="20"/>
                <w:szCs w:val="20"/>
                <w:color w:val="auto"/>
              </w:rPr>
            </w:pPr>
            <w:r>
              <w:rPr>
                <w:rFonts w:ascii="Arial" w:cs="Arial" w:eastAsia="Arial" w:hAnsi="Arial"/>
                <w:sz w:val="18"/>
                <w:szCs w:val="18"/>
                <w:color w:val="auto"/>
                <w:w w:val="97"/>
              </w:rPr>
              <w:t>OK. Earlier in the year one of the goals was to, you know, meet the quarterly distribution number of 1 million distributions, you</w:t>
            </w:r>
          </w:p>
        </w:tc>
      </w:tr>
      <w:tr>
        <w:trPr>
          <w:trHeight w:val="230"/>
        </w:trPr>
        <w:tc>
          <w:tcPr>
            <w:tcW w:w="1560" w:type="dxa"/>
            <w:vAlign w:val="bottom"/>
          </w:tcPr>
          <w:p>
            <w:pPr>
              <w:spacing w:after="0"/>
              <w:rPr>
                <w:sz w:val="20"/>
                <w:szCs w:val="20"/>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rPr>
              <w:t>know, by the third quarter of this year. Is that's still, I guess, the internal goal that you see as ...</w:t>
            </w:r>
          </w:p>
        </w:tc>
      </w:tr>
      <w:tr>
        <w:trPr>
          <w:trHeight w:val="458"/>
        </w:trPr>
        <w:tc>
          <w:tcPr>
            <w:tcW w:w="156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860" w:type="dxa"/>
            <w:vAlign w:val="bottom"/>
          </w:tcPr>
          <w:p>
            <w:pPr>
              <w:ind w:left="160"/>
              <w:spacing w:after="0"/>
              <w:rPr>
                <w:sz w:val="20"/>
                <w:szCs w:val="20"/>
                <w:color w:val="auto"/>
              </w:rPr>
            </w:pPr>
            <w:r>
              <w:rPr>
                <w:rFonts w:ascii="Arial" w:cs="Arial" w:eastAsia="Arial" w:hAnsi="Arial"/>
                <w:sz w:val="18"/>
                <w:szCs w:val="18"/>
                <w:color w:val="auto"/>
                <w:w w:val="93"/>
              </w:rPr>
              <w:t>Yes. I mean I do. Again, that was - I think that, that is in line with my expectations. Again, I'm very conservative when I'm providing</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5"/>
              </w:rPr>
              <w:t>forward-looking, but I mean if you look at the fact that we now have (ehealthline) coming on board. And it's going to take time to</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2"/>
              </w:rPr>
              <w:t>ramp it up. We're trying - we're giving them like five products and seeing the performance and learning from it and optimizing it. But,</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4"/>
              </w:rPr>
              <w:t>you know, they have 25,000 more doctors, you've got 25,000 more at Care360 coming on. We've got LDM's network of some key</w:t>
            </w:r>
          </w:p>
        </w:tc>
      </w:tr>
      <w:tr>
        <w:trPr>
          <w:trHeight w:val="230"/>
        </w:trPr>
        <w:tc>
          <w:tcPr>
            <w:tcW w:w="1560" w:type="dxa"/>
            <w:vAlign w:val="bottom"/>
          </w:tcPr>
          <w:p>
            <w:pPr>
              <w:spacing w:after="0"/>
              <w:rPr>
                <w:sz w:val="20"/>
                <w:szCs w:val="20"/>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rPr>
              <w:t>EHR, not EHR, but e-prescribe platforms that really are exciting.</w:t>
            </w:r>
          </w:p>
        </w:tc>
      </w:tr>
      <w:tr>
        <w:trPr>
          <w:trHeight w:val="391"/>
        </w:trPr>
        <w:tc>
          <w:tcPr>
            <w:tcW w:w="1560" w:type="dxa"/>
            <w:vAlign w:val="bottom"/>
          </w:tcPr>
          <w:p>
            <w:pPr>
              <w:spacing w:after="0"/>
              <w:rPr>
                <w:sz w:val="24"/>
                <w:szCs w:val="24"/>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6"/>
              </w:rPr>
              <w:t>So, again, I feel comfortable with it. And I hope I'm delivering it in third quarter but I feel certainly very comfortable in the fourth</w:t>
            </w:r>
          </w:p>
        </w:tc>
      </w:tr>
      <w:tr>
        <w:trPr>
          <w:trHeight w:val="230"/>
        </w:trPr>
        <w:tc>
          <w:tcPr>
            <w:tcW w:w="1560" w:type="dxa"/>
            <w:vAlign w:val="bottom"/>
          </w:tcPr>
          <w:p>
            <w:pPr>
              <w:spacing w:after="0"/>
              <w:rPr>
                <w:sz w:val="20"/>
                <w:szCs w:val="20"/>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6"/>
              </w:rPr>
              <w:t>quarter. But it's just a matter of rolling these EHRs out, and if their schedule is what they're saying, I think we will likely do that.</w:t>
            </w:r>
          </w:p>
        </w:tc>
      </w:tr>
      <w:tr>
        <w:trPr>
          <w:trHeight w:val="675"/>
        </w:trPr>
        <w:tc>
          <w:tcPr>
            <w:tcW w:w="156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r>
      <w:tr>
        <w:trPr>
          <w:trHeight w:val="224"/>
        </w:trPr>
        <w:tc>
          <w:tcPr>
            <w:tcW w:w="1560" w:type="dxa"/>
            <w:vAlign w:val="bottom"/>
          </w:tcPr>
          <w:p>
            <w:pPr>
              <w:spacing w:after="0"/>
              <w:rPr>
                <w:sz w:val="19"/>
                <w:szCs w:val="19"/>
                <w:color w:val="auto"/>
              </w:rPr>
            </w:pPr>
          </w:p>
        </w:tc>
        <w:tc>
          <w:tcPr>
            <w:tcW w:w="9860" w:type="dxa"/>
            <w:vAlign w:val="bottom"/>
          </w:tcPr>
          <w:p>
            <w:pPr>
              <w:ind w:left="410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665"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ind w:left="40"/>
              <w:spacing w:after="0"/>
              <w:rPr>
                <w:sz w:val="20"/>
                <w:szCs w:val="20"/>
                <w:color w:val="auto"/>
              </w:rPr>
            </w:pPr>
            <w:r>
              <w:rPr>
                <w:rFonts w:ascii="Arial" w:cs="Arial" w:eastAsia="Arial" w:hAnsi="Arial"/>
                <w:sz w:val="18"/>
                <w:szCs w:val="18"/>
                <w:color w:val="auto"/>
                <w:w w:val="98"/>
              </w:rPr>
              <w:t>(Joseph Delahufe):</w:t>
            </w:r>
          </w:p>
        </w:tc>
        <w:tc>
          <w:tcPr>
            <w:tcW w:w="9860" w:type="dxa"/>
            <w:vAlign w:val="bottom"/>
          </w:tcPr>
          <w:p>
            <w:pPr>
              <w:ind w:left="160"/>
              <w:spacing w:after="0"/>
              <w:rPr>
                <w:sz w:val="20"/>
                <w:szCs w:val="20"/>
                <w:color w:val="auto"/>
              </w:rPr>
            </w:pPr>
            <w:r>
              <w:rPr>
                <w:rFonts w:ascii="Arial" w:cs="Arial" w:eastAsia="Arial" w:hAnsi="Arial"/>
                <w:sz w:val="18"/>
                <w:szCs w:val="18"/>
                <w:color w:val="auto"/>
              </w:rPr>
              <w:t>So given, I guess, maybe the new disclosure policy for the investors, I guess how we know (inaudible) ...</w:t>
            </w:r>
          </w:p>
        </w:tc>
      </w:tr>
      <w:tr>
        <w:trPr>
          <w:trHeight w:val="473"/>
        </w:trPr>
        <w:tc>
          <w:tcPr>
            <w:tcW w:w="156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860" w:type="dxa"/>
            <w:vAlign w:val="bottom"/>
          </w:tcPr>
          <w:p>
            <w:pPr>
              <w:ind w:left="160"/>
              <w:spacing w:after="0"/>
              <w:rPr>
                <w:sz w:val="20"/>
                <w:szCs w:val="20"/>
                <w:color w:val="auto"/>
              </w:rPr>
            </w:pPr>
            <w:r>
              <w:rPr>
                <w:rFonts w:ascii="Arial" w:cs="Arial" w:eastAsia="Arial" w:hAnsi="Arial"/>
                <w:sz w:val="18"/>
                <w:szCs w:val="18"/>
                <w:color w:val="auto"/>
              </w:rPr>
              <w:t>Yes, right. Good question. So maybe in this case, we would say if we hit that but it's a good question.</w:t>
            </w:r>
          </w:p>
        </w:tc>
      </w:tr>
      <w:tr>
        <w:trPr>
          <w:trHeight w:val="458"/>
        </w:trPr>
        <w:tc>
          <w:tcPr>
            <w:tcW w:w="1560" w:type="dxa"/>
            <w:vAlign w:val="bottom"/>
          </w:tcPr>
          <w:p>
            <w:pPr>
              <w:ind w:left="40"/>
              <w:spacing w:after="0"/>
              <w:rPr>
                <w:sz w:val="20"/>
                <w:szCs w:val="20"/>
                <w:color w:val="auto"/>
              </w:rPr>
            </w:pPr>
            <w:r>
              <w:rPr>
                <w:rFonts w:ascii="Arial" w:cs="Arial" w:eastAsia="Arial" w:hAnsi="Arial"/>
                <w:sz w:val="18"/>
                <w:szCs w:val="18"/>
                <w:color w:val="auto"/>
                <w:w w:val="98"/>
              </w:rPr>
              <w:t>(Joseph Delahufe):</w:t>
            </w:r>
          </w:p>
        </w:tc>
        <w:tc>
          <w:tcPr>
            <w:tcW w:w="9860" w:type="dxa"/>
            <w:vAlign w:val="bottom"/>
          </w:tcPr>
          <w:p>
            <w:pPr>
              <w:ind w:left="160"/>
              <w:spacing w:after="0"/>
              <w:rPr>
                <w:sz w:val="20"/>
                <w:szCs w:val="20"/>
                <w:color w:val="auto"/>
              </w:rPr>
            </w:pPr>
            <w:r>
              <w:rPr>
                <w:rFonts w:ascii="Arial" w:cs="Arial" w:eastAsia="Arial" w:hAnsi="Arial"/>
                <w:sz w:val="18"/>
                <w:szCs w:val="18"/>
                <w:color w:val="auto"/>
                <w:w w:val="91"/>
              </w:rPr>
              <w:t>Yes. And then as far as you're other non-eCoupon distribution offering, service offerings and whatnot that you guys are trying to ramp</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7"/>
              </w:rPr>
              <w:t>up? Maybe where do we stand on how any of that is going and maybe when those components will become a bigger driver of</w:t>
            </w:r>
          </w:p>
        </w:tc>
      </w:tr>
      <w:tr>
        <w:trPr>
          <w:trHeight w:val="230"/>
        </w:trPr>
        <w:tc>
          <w:tcPr>
            <w:tcW w:w="1560" w:type="dxa"/>
            <w:vAlign w:val="bottom"/>
          </w:tcPr>
          <w:p>
            <w:pPr>
              <w:spacing w:after="0"/>
              <w:rPr>
                <w:sz w:val="20"/>
                <w:szCs w:val="20"/>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rPr>
              <w:t>revenue?</w:t>
            </w:r>
          </w:p>
        </w:tc>
      </w:tr>
      <w:tr>
        <w:trPr>
          <w:trHeight w:val="458"/>
        </w:trPr>
        <w:tc>
          <w:tcPr>
            <w:tcW w:w="156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860" w:type="dxa"/>
            <w:vAlign w:val="bottom"/>
          </w:tcPr>
          <w:p>
            <w:pPr>
              <w:ind w:left="160"/>
              <w:spacing w:after="0"/>
              <w:rPr>
                <w:sz w:val="20"/>
                <w:szCs w:val="20"/>
                <w:color w:val="auto"/>
              </w:rPr>
            </w:pPr>
            <w:r>
              <w:rPr>
                <w:rFonts w:ascii="Arial" w:cs="Arial" w:eastAsia="Arial" w:hAnsi="Arial"/>
                <w:sz w:val="18"/>
                <w:szCs w:val="18"/>
                <w:color w:val="auto"/>
                <w:w w:val="92"/>
              </w:rPr>
              <w:t>Yes, good question. So we've been talking about the requests were up (samples) for a while. And the interesting thing is we're trying</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9"/>
              </w:rPr>
              <w:t>to figure out again where that should be integrated. It's interesting some of our partners now we've asked them to do group</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1"/>
              </w:rPr>
              <w:t>discussions with, you know, not only physicians' test group discussions but also nurses, et cetera. And we're trying to determine, you</w:t>
            </w:r>
          </w:p>
        </w:tc>
      </w:tr>
      <w:tr>
        <w:trPr>
          <w:trHeight w:val="230"/>
        </w:trPr>
        <w:tc>
          <w:tcPr>
            <w:tcW w:w="1560" w:type="dxa"/>
            <w:vAlign w:val="bottom"/>
          </w:tcPr>
          <w:p>
            <w:pPr>
              <w:spacing w:after="0"/>
              <w:rPr>
                <w:sz w:val="20"/>
                <w:szCs w:val="20"/>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rPr>
              <w:t>know, should it be an ePrescribe workflow? Shouldn't be in the login where nurses can get in?</w:t>
            </w:r>
          </w:p>
        </w:tc>
      </w:tr>
      <w:tr>
        <w:trPr>
          <w:trHeight w:val="391"/>
        </w:trPr>
        <w:tc>
          <w:tcPr>
            <w:tcW w:w="1560" w:type="dxa"/>
            <w:vAlign w:val="bottom"/>
          </w:tcPr>
          <w:p>
            <w:pPr>
              <w:spacing w:after="0"/>
              <w:rPr>
                <w:sz w:val="24"/>
                <w:szCs w:val="24"/>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3"/>
              </w:rPr>
              <w:t>And so, we're getting ready to - we expect to launch our first request rep sample of module in one of the EHRs which is likely going</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8"/>
              </w:rPr>
              <w:t>to be (health electronic) in the third quarter and learn from that. So, also again, we're trying to integrate the WPP, Grey, their</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1"/>
              </w:rPr>
              <w:t>technology of the (virtual rep). So we're building out a couple refinements and it's going to be really debated because it is such a huge</w:t>
            </w:r>
          </w:p>
        </w:tc>
      </w:tr>
      <w:tr>
        <w:trPr>
          <w:trHeight w:val="230"/>
        </w:trPr>
        <w:tc>
          <w:tcPr>
            <w:tcW w:w="1560" w:type="dxa"/>
            <w:vAlign w:val="bottom"/>
          </w:tcPr>
          <w:p>
            <w:pPr>
              <w:spacing w:after="0"/>
              <w:rPr>
                <w:sz w:val="20"/>
                <w:szCs w:val="20"/>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rPr>
              <w:t>opportunity to potentially change the industry.</w:t>
            </w:r>
          </w:p>
        </w:tc>
      </w:tr>
      <w:tr>
        <w:trPr>
          <w:trHeight w:val="391"/>
        </w:trPr>
        <w:tc>
          <w:tcPr>
            <w:tcW w:w="1560" w:type="dxa"/>
            <w:vAlign w:val="bottom"/>
          </w:tcPr>
          <w:p>
            <w:pPr>
              <w:spacing w:after="0"/>
              <w:rPr>
                <w:sz w:val="24"/>
                <w:szCs w:val="24"/>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3"/>
              </w:rPr>
              <w:t>That hasn't gone as fast as we want but we think we're learning from it and doing it right because it's one of those things that if you</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2"/>
              </w:rPr>
              <w:t>don't you're going to miss the opportunity. I think the voucher DVM, the veterinarian business, has, again, has been quite surprising</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5"/>
              </w:rPr>
              <w:t>of these very large platforms' excitement and interest in terms of wanting to move forward. Again, we don't have any formalized</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3"/>
              </w:rPr>
              <w:t>contracts right now. But I think based on the discussions, it couldn't be more promising now. Again, we've all been in that situation.</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4"/>
              </w:rPr>
              <w:t>But I think that's the big opportunity. And I think the patient that we feel will gain more and more comfortable with moving from, in</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4"/>
              </w:rPr>
              <w:t>agreement to LDM, to a partnership, and we see opportunities very soon ideally in the no later than third quarter to really ramp up</w:t>
            </w:r>
          </w:p>
        </w:tc>
      </w:tr>
      <w:tr>
        <w:trPr>
          <w:trHeight w:val="230"/>
        </w:trPr>
        <w:tc>
          <w:tcPr>
            <w:tcW w:w="1560" w:type="dxa"/>
            <w:vAlign w:val="bottom"/>
          </w:tcPr>
          <w:p>
            <w:pPr>
              <w:spacing w:after="0"/>
              <w:rPr>
                <w:sz w:val="20"/>
                <w:szCs w:val="20"/>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rPr>
              <w:t>their sponsored patient education (inaudible).</w:t>
            </w:r>
          </w:p>
        </w:tc>
      </w:tr>
      <w:tr>
        <w:trPr>
          <w:trHeight w:val="458"/>
        </w:trPr>
        <w:tc>
          <w:tcPr>
            <w:tcW w:w="1560" w:type="dxa"/>
            <w:vAlign w:val="bottom"/>
          </w:tcPr>
          <w:p>
            <w:pPr>
              <w:ind w:left="40"/>
              <w:spacing w:after="0"/>
              <w:rPr>
                <w:sz w:val="20"/>
                <w:szCs w:val="20"/>
                <w:color w:val="auto"/>
              </w:rPr>
            </w:pPr>
            <w:r>
              <w:rPr>
                <w:rFonts w:ascii="Arial" w:cs="Arial" w:eastAsia="Arial" w:hAnsi="Arial"/>
                <w:sz w:val="18"/>
                <w:szCs w:val="18"/>
                <w:color w:val="auto"/>
                <w:w w:val="98"/>
              </w:rPr>
              <w:t>(Joseph Delahufe):</w:t>
            </w:r>
          </w:p>
        </w:tc>
        <w:tc>
          <w:tcPr>
            <w:tcW w:w="9860" w:type="dxa"/>
            <w:vAlign w:val="bottom"/>
          </w:tcPr>
          <w:p>
            <w:pPr>
              <w:ind w:left="160"/>
              <w:spacing w:after="0"/>
              <w:rPr>
                <w:sz w:val="20"/>
                <w:szCs w:val="20"/>
                <w:color w:val="auto"/>
              </w:rPr>
            </w:pPr>
            <w:r>
              <w:rPr>
                <w:rFonts w:ascii="Arial" w:cs="Arial" w:eastAsia="Arial" w:hAnsi="Arial"/>
                <w:sz w:val="18"/>
                <w:szCs w:val="18"/>
                <w:color w:val="auto"/>
                <w:w w:val="97"/>
              </w:rPr>
              <w:t>And back to the Quest 360 deal, I was kind of like the first caller, not quite sure how that fits into things given they're a testing</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3"/>
              </w:rPr>
              <w:t>diagnostic sort of company. Is this something we're - I really didn't know that they had an EHR platform, so to speak, but, is this - I</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3"/>
              </w:rPr>
              <w:t>mean everyone knows Quest is a big player in the health care industry. Is this something that could be as meaningful as one of the</w:t>
            </w:r>
          </w:p>
        </w:tc>
      </w:tr>
      <w:tr>
        <w:trPr>
          <w:trHeight w:val="230"/>
        </w:trPr>
        <w:tc>
          <w:tcPr>
            <w:tcW w:w="1560" w:type="dxa"/>
            <w:vAlign w:val="bottom"/>
          </w:tcPr>
          <w:p>
            <w:pPr>
              <w:spacing w:after="0"/>
              <w:rPr>
                <w:sz w:val="20"/>
                <w:szCs w:val="20"/>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rPr>
              <w:t>other leading EHR platform (inaudible)...</w:t>
            </w:r>
          </w:p>
        </w:tc>
      </w:tr>
      <w:tr>
        <w:trPr>
          <w:trHeight w:val="458"/>
        </w:trPr>
        <w:tc>
          <w:tcPr>
            <w:tcW w:w="156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860" w:type="dxa"/>
            <w:vAlign w:val="bottom"/>
          </w:tcPr>
          <w:p>
            <w:pPr>
              <w:ind w:left="160"/>
              <w:spacing w:after="0"/>
              <w:rPr>
                <w:sz w:val="20"/>
                <w:szCs w:val="20"/>
                <w:color w:val="auto"/>
              </w:rPr>
            </w:pPr>
            <w:r>
              <w:rPr>
                <w:rFonts w:ascii="Arial" w:cs="Arial" w:eastAsia="Arial" w:hAnsi="Arial"/>
                <w:sz w:val="18"/>
                <w:szCs w:val="18"/>
                <w:color w:val="auto"/>
                <w:w w:val="91"/>
              </w:rPr>
              <w:t>Yes, they can absolutely be as meaningful. I mean they are - Quest is the top likely 10 EHR by itself, let alone its complete networks.</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1"/>
              </w:rPr>
              <w:t>So, the big - step number one is to integrate our services within the Quest EHR ePrescribe. Step number two is to look at other ways</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2"/>
              </w:rPr>
              <w:t>that we conserve (settings) to support throughout their entire network. And that something that has been discussed at a very macro</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7"/>
              </w:rPr>
              <w:t>level with them, but clearly we're focused on the initial integration. So, at the end of the day, I think there's a lot of opportunity</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3"/>
              </w:rPr>
              <w:t>outside of their EHR. And I think we have, (we're fortunate), very, very good relationships with that organization with our credibility</w:t>
            </w:r>
          </w:p>
        </w:tc>
      </w:tr>
      <w:tr>
        <w:trPr>
          <w:trHeight w:val="230"/>
        </w:trPr>
        <w:tc>
          <w:tcPr>
            <w:tcW w:w="1560" w:type="dxa"/>
            <w:vAlign w:val="bottom"/>
          </w:tcPr>
          <w:p>
            <w:pPr>
              <w:spacing w:after="0"/>
              <w:rPr>
                <w:sz w:val="20"/>
                <w:szCs w:val="20"/>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2"/>
              </w:rPr>
              <w:t>of understanding the market. Our technology expertise and our technology teams interacting with theirs in a very favorable manner.</w:t>
            </w:r>
          </w:p>
        </w:tc>
      </w:tr>
      <w:tr>
        <w:trPr>
          <w:trHeight w:val="391"/>
        </w:trPr>
        <w:tc>
          <w:tcPr>
            <w:tcW w:w="1560" w:type="dxa"/>
            <w:vAlign w:val="bottom"/>
          </w:tcPr>
          <w:p>
            <w:pPr>
              <w:spacing w:after="0"/>
              <w:rPr>
                <w:sz w:val="24"/>
                <w:szCs w:val="24"/>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4"/>
              </w:rPr>
              <w:t>So, again, at a minimum, they're going to an impact on their ePrescribing, eCoupon, ePatient education business. Can we look at</w:t>
            </w:r>
          </w:p>
        </w:tc>
      </w:tr>
      <w:tr>
        <w:trPr>
          <w:trHeight w:val="230"/>
        </w:trPr>
        <w:tc>
          <w:tcPr>
            <w:tcW w:w="1560" w:type="dxa"/>
            <w:vAlign w:val="bottom"/>
          </w:tcPr>
          <w:p>
            <w:pPr>
              <w:spacing w:after="0"/>
              <w:rPr>
                <w:sz w:val="20"/>
                <w:szCs w:val="20"/>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rPr>
              <w:t>other touch points collectively together? I'm very hopeful.</w:t>
            </w:r>
          </w:p>
        </w:tc>
      </w:tr>
      <w:tr>
        <w:trPr>
          <w:trHeight w:val="675"/>
        </w:trPr>
        <w:tc>
          <w:tcPr>
            <w:tcW w:w="156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r>
      <w:tr>
        <w:trPr>
          <w:trHeight w:val="224"/>
        </w:trPr>
        <w:tc>
          <w:tcPr>
            <w:tcW w:w="1560" w:type="dxa"/>
            <w:vAlign w:val="bottom"/>
          </w:tcPr>
          <w:p>
            <w:pPr>
              <w:spacing w:after="0"/>
              <w:rPr>
                <w:sz w:val="19"/>
                <w:szCs w:val="19"/>
                <w:color w:val="auto"/>
              </w:rPr>
            </w:pPr>
          </w:p>
        </w:tc>
        <w:tc>
          <w:tcPr>
            <w:tcW w:w="9860" w:type="dxa"/>
            <w:vAlign w:val="bottom"/>
          </w:tcPr>
          <w:p>
            <w:pPr>
              <w:ind w:left="4100"/>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20"/>
          </w:cols>
          <w:pgMar w:left="240" w:top="665"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ind w:left="40"/>
              <w:spacing w:after="0"/>
              <w:rPr>
                <w:sz w:val="20"/>
                <w:szCs w:val="20"/>
                <w:color w:val="auto"/>
              </w:rPr>
            </w:pPr>
            <w:r>
              <w:rPr>
                <w:rFonts w:ascii="Arial" w:cs="Arial" w:eastAsia="Arial" w:hAnsi="Arial"/>
                <w:sz w:val="18"/>
                <w:szCs w:val="18"/>
                <w:color w:val="auto"/>
                <w:w w:val="98"/>
              </w:rPr>
              <w:t>(Joseph Delahufe):</w:t>
            </w:r>
          </w:p>
        </w:tc>
        <w:tc>
          <w:tcPr>
            <w:tcW w:w="9860" w:type="dxa"/>
            <w:vAlign w:val="bottom"/>
          </w:tcPr>
          <w:p>
            <w:pPr>
              <w:ind w:left="160"/>
              <w:spacing w:after="0"/>
              <w:rPr>
                <w:sz w:val="20"/>
                <w:szCs w:val="20"/>
                <w:color w:val="auto"/>
              </w:rPr>
            </w:pPr>
            <w:r>
              <w:rPr>
                <w:rFonts w:ascii="Arial" w:cs="Arial" w:eastAsia="Arial" w:hAnsi="Arial"/>
                <w:sz w:val="18"/>
                <w:szCs w:val="18"/>
                <w:color w:val="auto"/>
              </w:rPr>
              <w:t>Yes, OK. And last thing is any insight on any possible (uplifting) of the company going forward?</w:t>
            </w:r>
          </w:p>
        </w:tc>
      </w:tr>
      <w:tr>
        <w:trPr>
          <w:trHeight w:val="458"/>
        </w:trPr>
        <w:tc>
          <w:tcPr>
            <w:tcW w:w="156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860" w:type="dxa"/>
            <w:vAlign w:val="bottom"/>
          </w:tcPr>
          <w:p>
            <w:pPr>
              <w:ind w:left="160"/>
              <w:spacing w:after="0"/>
              <w:rPr>
                <w:sz w:val="20"/>
                <w:szCs w:val="20"/>
                <w:color w:val="auto"/>
              </w:rPr>
            </w:pPr>
            <w:r>
              <w:rPr>
                <w:rFonts w:ascii="Arial" w:cs="Arial" w:eastAsia="Arial" w:hAnsi="Arial"/>
                <w:sz w:val="18"/>
                <w:szCs w:val="18"/>
                <w:color w:val="auto"/>
                <w:w w:val="94"/>
              </w:rPr>
              <w:t>Well, good question. It hasn't been in our focus right now, but I think that, you know, as we continue to ramp up our revenues and</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6"/>
              </w:rPr>
              <w:t>meet the qualifications, I think this is something that we really want Doug to look at. You know, Doug is - he interviews multiple</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2"/>
              </w:rPr>
              <w:t>candidates and we were really impressed with Doug's calm and focus, but his expertise. I mean he was with a very, very recognized</w:t>
            </w:r>
          </w:p>
        </w:tc>
      </w:tr>
      <w:tr>
        <w:trPr>
          <w:trHeight w:val="230"/>
        </w:trPr>
        <w:tc>
          <w:tcPr>
            <w:tcW w:w="1560" w:type="dxa"/>
            <w:vAlign w:val="bottom"/>
          </w:tcPr>
          <w:p>
            <w:pPr>
              <w:spacing w:after="0"/>
              <w:rPr>
                <w:sz w:val="20"/>
                <w:szCs w:val="20"/>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rPr>
              <w:t>regional firm, a public firm, in terms of - it's escaping me, Doug, help me again.</w:t>
            </w:r>
          </w:p>
        </w:tc>
      </w:tr>
      <w:tr>
        <w:trPr>
          <w:trHeight w:val="473"/>
        </w:trPr>
        <w:tc>
          <w:tcPr>
            <w:tcW w:w="1560" w:type="dxa"/>
            <w:vAlign w:val="bottom"/>
          </w:tcPr>
          <w:p>
            <w:pPr>
              <w:ind w:left="40"/>
              <w:spacing w:after="0"/>
              <w:rPr>
                <w:sz w:val="20"/>
                <w:szCs w:val="20"/>
                <w:color w:val="auto"/>
              </w:rPr>
            </w:pPr>
            <w:r>
              <w:rPr>
                <w:rFonts w:ascii="Arial" w:cs="Arial" w:eastAsia="Arial" w:hAnsi="Arial"/>
                <w:sz w:val="18"/>
                <w:szCs w:val="18"/>
                <w:color w:val="auto"/>
              </w:rPr>
              <w:t>Douglas Baker:</w:t>
            </w:r>
          </w:p>
        </w:tc>
        <w:tc>
          <w:tcPr>
            <w:tcW w:w="9860" w:type="dxa"/>
            <w:vAlign w:val="bottom"/>
          </w:tcPr>
          <w:p>
            <w:pPr>
              <w:ind w:left="160"/>
              <w:spacing w:after="0"/>
              <w:rPr>
                <w:sz w:val="20"/>
                <w:szCs w:val="20"/>
                <w:color w:val="auto"/>
              </w:rPr>
            </w:pPr>
            <w:r>
              <w:rPr>
                <w:rFonts w:ascii="Arial" w:cs="Arial" w:eastAsia="Arial" w:hAnsi="Arial"/>
                <w:sz w:val="18"/>
                <w:szCs w:val="18"/>
                <w:color w:val="auto"/>
              </w:rPr>
              <w:t>Plante Moran.</w:t>
            </w:r>
          </w:p>
        </w:tc>
      </w:tr>
      <w:tr>
        <w:trPr>
          <w:trHeight w:val="458"/>
        </w:trPr>
        <w:tc>
          <w:tcPr>
            <w:tcW w:w="156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860" w:type="dxa"/>
            <w:vAlign w:val="bottom"/>
          </w:tcPr>
          <w:p>
            <w:pPr>
              <w:ind w:left="160"/>
              <w:spacing w:after="0"/>
              <w:rPr>
                <w:sz w:val="20"/>
                <w:szCs w:val="20"/>
                <w:color w:val="auto"/>
              </w:rPr>
            </w:pPr>
            <w:r>
              <w:rPr>
                <w:rFonts w:ascii="Arial" w:cs="Arial" w:eastAsia="Arial" w:hAnsi="Arial"/>
                <w:sz w:val="18"/>
                <w:szCs w:val="18"/>
                <w:color w:val="auto"/>
                <w:w w:val="96"/>
              </w:rPr>
              <w:t>Plante Moran, which is in the Greater Detroit area; very, very well recognized. And then his background and his education, we</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5"/>
              </w:rPr>
              <w:t>thought he was the perfect fit for our organization. And I think that's going to be something that we want Doug to focus on. And,</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2"/>
              </w:rPr>
              <w:t>Doug, I don't know if you have any further comments regarding that. Don't feel obligated but this would be something that we clearly</w:t>
            </w:r>
          </w:p>
        </w:tc>
      </w:tr>
      <w:tr>
        <w:trPr>
          <w:trHeight w:val="230"/>
        </w:trPr>
        <w:tc>
          <w:tcPr>
            <w:tcW w:w="1560" w:type="dxa"/>
            <w:vAlign w:val="bottom"/>
          </w:tcPr>
          <w:p>
            <w:pPr>
              <w:spacing w:after="0"/>
              <w:rPr>
                <w:sz w:val="20"/>
                <w:szCs w:val="20"/>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rPr>
              <w:t>want to do as we continue to grow our organization to meet those requirements.</w:t>
            </w:r>
          </w:p>
        </w:tc>
      </w:tr>
      <w:tr>
        <w:trPr>
          <w:trHeight w:val="473"/>
        </w:trPr>
        <w:tc>
          <w:tcPr>
            <w:tcW w:w="1560" w:type="dxa"/>
            <w:vAlign w:val="bottom"/>
          </w:tcPr>
          <w:p>
            <w:pPr>
              <w:ind w:left="40"/>
              <w:spacing w:after="0"/>
              <w:rPr>
                <w:sz w:val="20"/>
                <w:szCs w:val="20"/>
                <w:color w:val="auto"/>
              </w:rPr>
            </w:pPr>
            <w:r>
              <w:rPr>
                <w:rFonts w:ascii="Arial" w:cs="Arial" w:eastAsia="Arial" w:hAnsi="Arial"/>
                <w:sz w:val="18"/>
                <w:szCs w:val="18"/>
                <w:color w:val="auto"/>
                <w:w w:val="98"/>
              </w:rPr>
              <w:t>(Joseph Delahufe):</w:t>
            </w:r>
          </w:p>
        </w:tc>
        <w:tc>
          <w:tcPr>
            <w:tcW w:w="9860" w:type="dxa"/>
            <w:vAlign w:val="bottom"/>
          </w:tcPr>
          <w:p>
            <w:pPr>
              <w:ind w:left="160"/>
              <w:spacing w:after="0"/>
              <w:rPr>
                <w:sz w:val="20"/>
                <w:szCs w:val="20"/>
                <w:color w:val="auto"/>
              </w:rPr>
            </w:pPr>
            <w:r>
              <w:rPr>
                <w:rFonts w:ascii="Arial" w:cs="Arial" w:eastAsia="Arial" w:hAnsi="Arial"/>
                <w:sz w:val="18"/>
                <w:szCs w:val="18"/>
                <w:color w:val="auto"/>
              </w:rPr>
              <w:t>OK. And is that something you would think maybe over the next year can happen, or you're looking a little further out?</w:t>
            </w:r>
          </w:p>
        </w:tc>
      </w:tr>
      <w:tr>
        <w:trPr>
          <w:trHeight w:val="458"/>
        </w:trPr>
        <w:tc>
          <w:tcPr>
            <w:tcW w:w="156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860" w:type="dxa"/>
            <w:vAlign w:val="bottom"/>
          </w:tcPr>
          <w:p>
            <w:pPr>
              <w:ind w:left="160"/>
              <w:spacing w:after="0"/>
              <w:rPr>
                <w:sz w:val="20"/>
                <w:szCs w:val="20"/>
                <w:color w:val="auto"/>
              </w:rPr>
            </w:pPr>
            <w:r>
              <w:rPr>
                <w:rFonts w:ascii="Arial" w:cs="Arial" w:eastAsia="Arial" w:hAnsi="Arial"/>
                <w:sz w:val="18"/>
                <w:szCs w:val="18"/>
                <w:color w:val="auto"/>
                <w:w w:val="92"/>
              </w:rPr>
              <w:t>It could happen to next year depending on, you know, our growth that we, you know, the opportunity for this business to continue to</w:t>
            </w:r>
          </w:p>
        </w:tc>
      </w:tr>
      <w:tr>
        <w:trPr>
          <w:trHeight w:val="230"/>
        </w:trPr>
        <w:tc>
          <w:tcPr>
            <w:tcW w:w="1560" w:type="dxa"/>
            <w:vAlign w:val="bottom"/>
          </w:tcPr>
          <w:p>
            <w:pPr>
              <w:spacing w:after="0"/>
              <w:rPr>
                <w:sz w:val="20"/>
                <w:szCs w:val="20"/>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rPr>
              <w:t>escalate. But I don't we're giving any projections on. I just want you to know it's on our radar screen.</w:t>
            </w:r>
          </w:p>
        </w:tc>
      </w:tr>
      <w:tr>
        <w:trPr>
          <w:trHeight w:val="473"/>
        </w:trPr>
        <w:tc>
          <w:tcPr>
            <w:tcW w:w="1560" w:type="dxa"/>
            <w:vAlign w:val="bottom"/>
          </w:tcPr>
          <w:p>
            <w:pPr>
              <w:ind w:left="40"/>
              <w:spacing w:after="0"/>
              <w:rPr>
                <w:sz w:val="20"/>
                <w:szCs w:val="20"/>
                <w:color w:val="auto"/>
              </w:rPr>
            </w:pPr>
            <w:r>
              <w:rPr>
                <w:rFonts w:ascii="Arial" w:cs="Arial" w:eastAsia="Arial" w:hAnsi="Arial"/>
                <w:sz w:val="18"/>
                <w:szCs w:val="18"/>
                <w:color w:val="auto"/>
                <w:w w:val="98"/>
              </w:rPr>
              <w:t>(Joseph Delahufe):</w:t>
            </w:r>
          </w:p>
        </w:tc>
        <w:tc>
          <w:tcPr>
            <w:tcW w:w="9860" w:type="dxa"/>
            <w:vAlign w:val="bottom"/>
          </w:tcPr>
          <w:p>
            <w:pPr>
              <w:ind w:left="160"/>
              <w:spacing w:after="0"/>
              <w:rPr>
                <w:sz w:val="20"/>
                <w:szCs w:val="20"/>
                <w:color w:val="auto"/>
              </w:rPr>
            </w:pPr>
            <w:r>
              <w:rPr>
                <w:rFonts w:ascii="Arial" w:cs="Arial" w:eastAsia="Arial" w:hAnsi="Arial"/>
                <w:sz w:val="18"/>
                <w:szCs w:val="18"/>
                <w:color w:val="auto"/>
              </w:rPr>
              <w:t>(Got you).</w:t>
            </w:r>
          </w:p>
        </w:tc>
      </w:tr>
      <w:tr>
        <w:trPr>
          <w:trHeight w:val="458"/>
        </w:trPr>
        <w:tc>
          <w:tcPr>
            <w:tcW w:w="156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860" w:type="dxa"/>
            <w:vAlign w:val="bottom"/>
          </w:tcPr>
          <w:p>
            <w:pPr>
              <w:ind w:left="160"/>
              <w:spacing w:after="0"/>
              <w:rPr>
                <w:sz w:val="20"/>
                <w:szCs w:val="20"/>
                <w:color w:val="auto"/>
              </w:rPr>
            </w:pPr>
            <w:r>
              <w:rPr>
                <w:rFonts w:ascii="Arial" w:cs="Arial" w:eastAsia="Arial" w:hAnsi="Arial"/>
                <w:sz w:val="18"/>
                <w:szCs w:val="18"/>
                <w:color w:val="auto"/>
                <w:w w:val="93"/>
              </w:rPr>
              <w:t>And it's an important - very, very important question you're asking. And frankly, it hasn't gotten a lot of attention right now because,</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2"/>
              </w:rPr>
              <w:t>you know, as we ramp up, it becomes more, it becomes even more of a likely option. The first time it can become an option whether</w:t>
            </w:r>
          </w:p>
        </w:tc>
      </w:tr>
      <w:tr>
        <w:trPr>
          <w:trHeight w:val="230"/>
        </w:trPr>
        <w:tc>
          <w:tcPr>
            <w:tcW w:w="1560" w:type="dxa"/>
            <w:vAlign w:val="bottom"/>
          </w:tcPr>
          <w:p>
            <w:pPr>
              <w:spacing w:after="0"/>
              <w:rPr>
                <w:sz w:val="20"/>
                <w:szCs w:val="20"/>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rPr>
              <w:t>it's AMEX or just moving NASDAQ. We want to take full advantage of it, so.</w:t>
            </w:r>
          </w:p>
        </w:tc>
      </w:tr>
      <w:tr>
        <w:trPr>
          <w:trHeight w:val="473"/>
        </w:trPr>
        <w:tc>
          <w:tcPr>
            <w:tcW w:w="1560" w:type="dxa"/>
            <w:vAlign w:val="bottom"/>
          </w:tcPr>
          <w:p>
            <w:pPr>
              <w:ind w:left="40"/>
              <w:spacing w:after="0"/>
              <w:rPr>
                <w:sz w:val="20"/>
                <w:szCs w:val="20"/>
                <w:color w:val="auto"/>
              </w:rPr>
            </w:pPr>
            <w:r>
              <w:rPr>
                <w:rFonts w:ascii="Arial" w:cs="Arial" w:eastAsia="Arial" w:hAnsi="Arial"/>
                <w:sz w:val="18"/>
                <w:szCs w:val="18"/>
                <w:color w:val="auto"/>
                <w:w w:val="98"/>
              </w:rPr>
              <w:t>(Joseph Delahufe):</w:t>
            </w:r>
          </w:p>
        </w:tc>
        <w:tc>
          <w:tcPr>
            <w:tcW w:w="9860" w:type="dxa"/>
            <w:vAlign w:val="bottom"/>
          </w:tcPr>
          <w:p>
            <w:pPr>
              <w:ind w:left="160"/>
              <w:spacing w:after="0"/>
              <w:rPr>
                <w:sz w:val="20"/>
                <w:szCs w:val="20"/>
                <w:color w:val="auto"/>
              </w:rPr>
            </w:pPr>
            <w:r>
              <w:rPr>
                <w:rFonts w:ascii="Arial" w:cs="Arial" w:eastAsia="Arial" w:hAnsi="Arial"/>
                <w:sz w:val="18"/>
                <w:szCs w:val="18"/>
                <w:color w:val="auto"/>
              </w:rPr>
              <w:t>OK, we're good. Thank you.</w:t>
            </w:r>
          </w:p>
        </w:tc>
      </w:tr>
      <w:tr>
        <w:trPr>
          <w:trHeight w:val="473"/>
        </w:trPr>
        <w:tc>
          <w:tcPr>
            <w:tcW w:w="156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860" w:type="dxa"/>
            <w:vAlign w:val="bottom"/>
          </w:tcPr>
          <w:p>
            <w:pPr>
              <w:ind w:left="160"/>
              <w:spacing w:after="0"/>
              <w:rPr>
                <w:sz w:val="20"/>
                <w:szCs w:val="20"/>
                <w:color w:val="auto"/>
              </w:rPr>
            </w:pPr>
            <w:r>
              <w:rPr>
                <w:rFonts w:ascii="Arial" w:cs="Arial" w:eastAsia="Arial" w:hAnsi="Arial"/>
                <w:sz w:val="18"/>
                <w:szCs w:val="18"/>
                <w:color w:val="auto"/>
              </w:rPr>
              <w:t>Sure.</w:t>
            </w:r>
          </w:p>
        </w:tc>
      </w:tr>
      <w:tr>
        <w:trPr>
          <w:trHeight w:val="473"/>
        </w:trPr>
        <w:tc>
          <w:tcPr>
            <w:tcW w:w="1560" w:type="dxa"/>
            <w:vAlign w:val="bottom"/>
          </w:tcPr>
          <w:p>
            <w:pPr>
              <w:ind w:left="40"/>
              <w:spacing w:after="0"/>
              <w:rPr>
                <w:sz w:val="20"/>
                <w:szCs w:val="20"/>
                <w:color w:val="auto"/>
              </w:rPr>
            </w:pPr>
            <w:r>
              <w:rPr>
                <w:rFonts w:ascii="Arial" w:cs="Arial" w:eastAsia="Arial" w:hAnsi="Arial"/>
                <w:sz w:val="18"/>
                <w:szCs w:val="18"/>
                <w:color w:val="auto"/>
              </w:rPr>
              <w:t>Operator:</w:t>
            </w:r>
          </w:p>
        </w:tc>
        <w:tc>
          <w:tcPr>
            <w:tcW w:w="9860" w:type="dxa"/>
            <w:vAlign w:val="bottom"/>
          </w:tcPr>
          <w:p>
            <w:pPr>
              <w:ind w:left="160"/>
              <w:spacing w:after="0"/>
              <w:rPr>
                <w:sz w:val="20"/>
                <w:szCs w:val="20"/>
                <w:color w:val="auto"/>
              </w:rPr>
            </w:pPr>
            <w:r>
              <w:rPr>
                <w:rFonts w:ascii="Arial" w:cs="Arial" w:eastAsia="Arial" w:hAnsi="Arial"/>
                <w:sz w:val="18"/>
                <w:szCs w:val="18"/>
                <w:color w:val="auto"/>
              </w:rPr>
              <w:t>Your next question comes from the lineup of (Michael Blend), a private investor.</w:t>
            </w:r>
          </w:p>
        </w:tc>
      </w:tr>
      <w:tr>
        <w:trPr>
          <w:trHeight w:val="473"/>
        </w:trPr>
        <w:tc>
          <w:tcPr>
            <w:tcW w:w="1560" w:type="dxa"/>
            <w:vAlign w:val="bottom"/>
          </w:tcPr>
          <w:p>
            <w:pPr>
              <w:ind w:left="40"/>
              <w:spacing w:after="0"/>
              <w:rPr>
                <w:sz w:val="20"/>
                <w:szCs w:val="20"/>
                <w:color w:val="auto"/>
              </w:rPr>
            </w:pPr>
            <w:r>
              <w:rPr>
                <w:rFonts w:ascii="Arial" w:cs="Arial" w:eastAsia="Arial" w:hAnsi="Arial"/>
                <w:sz w:val="18"/>
                <w:szCs w:val="18"/>
                <w:color w:val="auto"/>
              </w:rPr>
              <w:t>(Michael Blend):</w:t>
            </w:r>
          </w:p>
        </w:tc>
        <w:tc>
          <w:tcPr>
            <w:tcW w:w="9860" w:type="dxa"/>
            <w:vAlign w:val="bottom"/>
          </w:tcPr>
          <w:p>
            <w:pPr>
              <w:ind w:left="160"/>
              <w:spacing w:after="0"/>
              <w:rPr>
                <w:sz w:val="20"/>
                <w:szCs w:val="20"/>
                <w:color w:val="auto"/>
              </w:rPr>
            </w:pPr>
            <w:r>
              <w:rPr>
                <w:rFonts w:ascii="Arial" w:cs="Arial" w:eastAsia="Arial" w:hAnsi="Arial"/>
                <w:sz w:val="18"/>
                <w:szCs w:val="18"/>
                <w:color w:val="auto"/>
              </w:rPr>
              <w:t>Hey, gentlemen, can you extrapolate a little bit on LDM margin impacts?</w:t>
            </w:r>
          </w:p>
        </w:tc>
      </w:tr>
      <w:tr>
        <w:trPr>
          <w:trHeight w:val="473"/>
        </w:trPr>
        <w:tc>
          <w:tcPr>
            <w:tcW w:w="156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860" w:type="dxa"/>
            <w:vAlign w:val="bottom"/>
          </w:tcPr>
          <w:p>
            <w:pPr>
              <w:ind w:left="160"/>
              <w:spacing w:after="0"/>
              <w:rPr>
                <w:sz w:val="20"/>
                <w:szCs w:val="20"/>
                <w:color w:val="auto"/>
              </w:rPr>
            </w:pPr>
            <w:r>
              <w:rPr>
                <w:rFonts w:ascii="Arial" w:cs="Arial" w:eastAsia="Arial" w:hAnsi="Arial"/>
                <w:sz w:val="18"/>
                <w:szCs w:val="18"/>
                <w:color w:val="auto"/>
              </w:rPr>
              <w:t>The LDM, pardon me?</w:t>
            </w:r>
          </w:p>
        </w:tc>
      </w:tr>
      <w:tr>
        <w:trPr>
          <w:trHeight w:val="473"/>
        </w:trPr>
        <w:tc>
          <w:tcPr>
            <w:tcW w:w="1560" w:type="dxa"/>
            <w:vAlign w:val="bottom"/>
          </w:tcPr>
          <w:p>
            <w:pPr>
              <w:ind w:left="40"/>
              <w:spacing w:after="0"/>
              <w:rPr>
                <w:sz w:val="20"/>
                <w:szCs w:val="20"/>
                <w:color w:val="auto"/>
              </w:rPr>
            </w:pPr>
            <w:r>
              <w:rPr>
                <w:rFonts w:ascii="Arial" w:cs="Arial" w:eastAsia="Arial" w:hAnsi="Arial"/>
                <w:sz w:val="18"/>
                <w:szCs w:val="18"/>
                <w:color w:val="auto"/>
              </w:rPr>
              <w:t>(Michael Blend):</w:t>
            </w:r>
          </w:p>
        </w:tc>
        <w:tc>
          <w:tcPr>
            <w:tcW w:w="9860" w:type="dxa"/>
            <w:vAlign w:val="bottom"/>
          </w:tcPr>
          <w:p>
            <w:pPr>
              <w:ind w:left="160"/>
              <w:spacing w:after="0"/>
              <w:rPr>
                <w:sz w:val="20"/>
                <w:szCs w:val="20"/>
                <w:color w:val="auto"/>
              </w:rPr>
            </w:pPr>
            <w:r>
              <w:rPr>
                <w:rFonts w:ascii="Arial" w:cs="Arial" w:eastAsia="Arial" w:hAnsi="Arial"/>
                <w:sz w:val="18"/>
                <w:szCs w:val="18"/>
                <w:color w:val="auto"/>
              </w:rPr>
              <w:t>Margin impacts settlement agreement with them?</w:t>
            </w:r>
          </w:p>
        </w:tc>
      </w:tr>
      <w:tr>
        <w:trPr>
          <w:trHeight w:val="458"/>
        </w:trPr>
        <w:tc>
          <w:tcPr>
            <w:tcW w:w="156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860" w:type="dxa"/>
            <w:vAlign w:val="bottom"/>
          </w:tcPr>
          <w:p>
            <w:pPr>
              <w:ind w:left="160"/>
              <w:spacing w:after="0"/>
              <w:rPr>
                <w:sz w:val="20"/>
                <w:szCs w:val="20"/>
                <w:color w:val="auto"/>
              </w:rPr>
            </w:pPr>
            <w:r>
              <w:rPr>
                <w:rFonts w:ascii="Arial" w:cs="Arial" w:eastAsia="Arial" w:hAnsi="Arial"/>
                <w:sz w:val="18"/>
                <w:szCs w:val="18"/>
                <w:color w:val="auto"/>
                <w:w w:val="92"/>
              </w:rPr>
              <w:t>Yes, I mean clearly, they get the portion of our revenue for transaction. But that's a shared transaction for both us and our EHR. So,</w:t>
            </w:r>
          </w:p>
        </w:tc>
      </w:tr>
      <w:tr>
        <w:trPr>
          <w:trHeight w:val="216"/>
        </w:trPr>
        <w:tc>
          <w:tcPr>
            <w:tcW w:w="1560" w:type="dxa"/>
            <w:vAlign w:val="bottom"/>
          </w:tcPr>
          <w:p>
            <w:pPr>
              <w:spacing w:after="0"/>
              <w:rPr>
                <w:sz w:val="18"/>
                <w:szCs w:val="18"/>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4"/>
              </w:rPr>
              <w:t>we think the margin impact is - frankly, I think we're going to have a positive net gain out of this because they're bringing us more</w:t>
            </w:r>
          </w:p>
        </w:tc>
      </w:tr>
      <w:tr>
        <w:trPr>
          <w:trHeight w:val="230"/>
        </w:trPr>
        <w:tc>
          <w:tcPr>
            <w:tcW w:w="1560" w:type="dxa"/>
            <w:vAlign w:val="bottom"/>
          </w:tcPr>
          <w:p>
            <w:pPr>
              <w:spacing w:after="0"/>
              <w:rPr>
                <w:sz w:val="20"/>
                <w:szCs w:val="20"/>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1"/>
              </w:rPr>
              <w:t>physicians for us to drive our programs (through). And then we can certainly even make up that difference alone in patient education.</w:t>
            </w:r>
          </w:p>
        </w:tc>
      </w:tr>
      <w:tr>
        <w:trPr>
          <w:trHeight w:val="391"/>
        </w:trPr>
        <w:tc>
          <w:tcPr>
            <w:tcW w:w="1560" w:type="dxa"/>
            <w:vAlign w:val="bottom"/>
          </w:tcPr>
          <w:p>
            <w:pPr>
              <w:spacing w:after="0"/>
              <w:rPr>
                <w:sz w:val="24"/>
                <w:szCs w:val="24"/>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w w:val="95"/>
              </w:rPr>
              <w:t>So, the net effect of LDM should be a positive net gain for us. That's the key point I want to make. And if you (want me) expand</w:t>
            </w:r>
          </w:p>
        </w:tc>
      </w:tr>
      <w:tr>
        <w:trPr>
          <w:trHeight w:val="230"/>
        </w:trPr>
        <w:tc>
          <w:tcPr>
            <w:tcW w:w="1560" w:type="dxa"/>
            <w:vAlign w:val="bottom"/>
          </w:tcPr>
          <w:p>
            <w:pPr>
              <w:spacing w:after="0"/>
              <w:rPr>
                <w:sz w:val="20"/>
                <w:szCs w:val="20"/>
                <w:color w:val="auto"/>
              </w:rPr>
            </w:pPr>
          </w:p>
        </w:tc>
        <w:tc>
          <w:tcPr>
            <w:tcW w:w="9860" w:type="dxa"/>
            <w:vAlign w:val="bottom"/>
          </w:tcPr>
          <w:p>
            <w:pPr>
              <w:ind w:left="160"/>
              <w:spacing w:after="0"/>
              <w:rPr>
                <w:sz w:val="20"/>
                <w:szCs w:val="20"/>
                <w:color w:val="auto"/>
              </w:rPr>
            </w:pPr>
            <w:r>
              <w:rPr>
                <w:rFonts w:ascii="Arial" w:cs="Arial" w:eastAsia="Arial" w:hAnsi="Arial"/>
                <w:sz w:val="18"/>
                <w:szCs w:val="18"/>
                <w:color w:val="auto"/>
              </w:rPr>
              <w:t>further on that, I can but hopefully that's reasonably clear what I'm saying.</w:t>
            </w:r>
          </w:p>
        </w:tc>
      </w:tr>
      <w:tr>
        <w:trPr>
          <w:trHeight w:val="675"/>
        </w:trPr>
        <w:tc>
          <w:tcPr>
            <w:tcW w:w="1560" w:type="dxa"/>
            <w:vAlign w:val="bottom"/>
            <w:tcBorders>
              <w:bottom w:val="single" w:sz="8" w:color="auto"/>
            </w:tcBorders>
          </w:tcPr>
          <w:p>
            <w:pPr>
              <w:spacing w:after="0"/>
              <w:rPr>
                <w:sz w:val="24"/>
                <w:szCs w:val="24"/>
                <w:color w:val="auto"/>
              </w:rPr>
            </w:pPr>
          </w:p>
        </w:tc>
        <w:tc>
          <w:tcPr>
            <w:tcW w:w="9860" w:type="dxa"/>
            <w:vAlign w:val="bottom"/>
            <w:tcBorders>
              <w:bottom w:val="single" w:sz="8" w:color="auto"/>
            </w:tcBorders>
          </w:tcPr>
          <w:p>
            <w:pPr>
              <w:spacing w:after="0"/>
              <w:rPr>
                <w:sz w:val="24"/>
                <w:szCs w:val="24"/>
                <w:color w:val="auto"/>
              </w:rPr>
            </w:pPr>
          </w:p>
        </w:tc>
      </w:tr>
      <w:tr>
        <w:trPr>
          <w:trHeight w:val="224"/>
        </w:trPr>
        <w:tc>
          <w:tcPr>
            <w:tcW w:w="1560" w:type="dxa"/>
            <w:vAlign w:val="bottom"/>
          </w:tcPr>
          <w:p>
            <w:pPr>
              <w:spacing w:after="0"/>
              <w:rPr>
                <w:sz w:val="19"/>
                <w:szCs w:val="19"/>
                <w:color w:val="auto"/>
              </w:rPr>
            </w:pPr>
          </w:p>
        </w:tc>
        <w:tc>
          <w:tcPr>
            <w:tcW w:w="9860" w:type="dxa"/>
            <w:vAlign w:val="bottom"/>
          </w:tcPr>
          <w:p>
            <w:pPr>
              <w:ind w:left="406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20"/>
          </w:cols>
          <w:pgMar w:left="240" w:top="665" w:right="2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ind w:left="40"/>
              <w:spacing w:after="0"/>
              <w:rPr>
                <w:sz w:val="20"/>
                <w:szCs w:val="20"/>
                <w:color w:val="auto"/>
              </w:rPr>
            </w:pPr>
            <w:r>
              <w:rPr>
                <w:rFonts w:ascii="Arial" w:cs="Arial" w:eastAsia="Arial" w:hAnsi="Arial"/>
                <w:sz w:val="18"/>
                <w:szCs w:val="18"/>
                <w:color w:val="auto"/>
              </w:rPr>
              <w:t>(Michael Blend):</w:t>
            </w:r>
          </w:p>
        </w:tc>
        <w:tc>
          <w:tcPr>
            <w:tcW w:w="9920" w:type="dxa"/>
            <w:vAlign w:val="bottom"/>
          </w:tcPr>
          <w:p>
            <w:pPr>
              <w:ind w:left="220"/>
              <w:spacing w:after="0"/>
              <w:rPr>
                <w:sz w:val="20"/>
                <w:szCs w:val="20"/>
                <w:color w:val="auto"/>
              </w:rPr>
            </w:pPr>
            <w:r>
              <w:rPr>
                <w:rFonts w:ascii="Arial" w:cs="Arial" w:eastAsia="Arial" w:hAnsi="Arial"/>
                <w:sz w:val="18"/>
                <w:szCs w:val="18"/>
                <w:color w:val="auto"/>
              </w:rPr>
              <w:t>OK, I got it. Thanks.</w:t>
            </w:r>
          </w:p>
        </w:tc>
      </w:tr>
      <w:tr>
        <w:trPr>
          <w:trHeight w:val="473"/>
        </w:trPr>
        <w:tc>
          <w:tcPr>
            <w:tcW w:w="150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20" w:type="dxa"/>
            <w:vAlign w:val="bottom"/>
          </w:tcPr>
          <w:p>
            <w:pPr>
              <w:ind w:left="220"/>
              <w:spacing w:after="0"/>
              <w:rPr>
                <w:sz w:val="20"/>
                <w:szCs w:val="20"/>
                <w:color w:val="auto"/>
              </w:rPr>
            </w:pPr>
            <w:r>
              <w:rPr>
                <w:rFonts w:ascii="Arial" w:cs="Arial" w:eastAsia="Arial" w:hAnsi="Arial"/>
                <w:sz w:val="18"/>
                <w:szCs w:val="18"/>
                <w:color w:val="auto"/>
              </w:rPr>
              <w:t>Sure.</w:t>
            </w:r>
          </w:p>
        </w:tc>
      </w:tr>
      <w:tr>
        <w:trPr>
          <w:trHeight w:val="473"/>
        </w:trPr>
        <w:tc>
          <w:tcPr>
            <w:tcW w:w="1500" w:type="dxa"/>
            <w:vAlign w:val="bottom"/>
          </w:tcPr>
          <w:p>
            <w:pPr>
              <w:ind w:left="40"/>
              <w:spacing w:after="0"/>
              <w:rPr>
                <w:sz w:val="20"/>
                <w:szCs w:val="20"/>
                <w:color w:val="auto"/>
              </w:rPr>
            </w:pPr>
            <w:r>
              <w:rPr>
                <w:rFonts w:ascii="Arial" w:cs="Arial" w:eastAsia="Arial" w:hAnsi="Arial"/>
                <w:sz w:val="18"/>
                <w:szCs w:val="18"/>
                <w:color w:val="auto"/>
              </w:rPr>
              <w:t>Operator:</w:t>
            </w:r>
          </w:p>
        </w:tc>
        <w:tc>
          <w:tcPr>
            <w:tcW w:w="9920" w:type="dxa"/>
            <w:vAlign w:val="bottom"/>
          </w:tcPr>
          <w:p>
            <w:pPr>
              <w:ind w:left="220"/>
              <w:spacing w:after="0"/>
              <w:rPr>
                <w:sz w:val="20"/>
                <w:szCs w:val="20"/>
                <w:color w:val="auto"/>
              </w:rPr>
            </w:pPr>
            <w:r>
              <w:rPr>
                <w:rFonts w:ascii="Arial" w:cs="Arial" w:eastAsia="Arial" w:hAnsi="Arial"/>
                <w:sz w:val="18"/>
                <w:szCs w:val="18"/>
                <w:color w:val="auto"/>
              </w:rPr>
              <w:t>Your next question ...</w:t>
            </w:r>
          </w:p>
        </w:tc>
      </w:tr>
      <w:tr>
        <w:trPr>
          <w:trHeight w:val="473"/>
        </w:trPr>
        <w:tc>
          <w:tcPr>
            <w:tcW w:w="1500" w:type="dxa"/>
            <w:vAlign w:val="bottom"/>
          </w:tcPr>
          <w:p>
            <w:pPr>
              <w:ind w:left="40"/>
              <w:spacing w:after="0"/>
              <w:rPr>
                <w:sz w:val="20"/>
                <w:szCs w:val="20"/>
                <w:color w:val="auto"/>
              </w:rPr>
            </w:pPr>
            <w:r>
              <w:rPr>
                <w:rFonts w:ascii="Arial" w:cs="Arial" w:eastAsia="Arial" w:hAnsi="Arial"/>
                <w:sz w:val="18"/>
                <w:szCs w:val="18"/>
                <w:color w:val="auto"/>
              </w:rPr>
              <w:t>David Lester:</w:t>
            </w:r>
          </w:p>
        </w:tc>
        <w:tc>
          <w:tcPr>
            <w:tcW w:w="9920" w:type="dxa"/>
            <w:vAlign w:val="bottom"/>
          </w:tcPr>
          <w:p>
            <w:pPr>
              <w:ind w:left="220"/>
              <w:spacing w:after="0"/>
              <w:rPr>
                <w:sz w:val="20"/>
                <w:szCs w:val="20"/>
                <w:color w:val="auto"/>
              </w:rPr>
            </w:pPr>
            <w:r>
              <w:rPr>
                <w:rFonts w:ascii="Arial" w:cs="Arial" w:eastAsia="Arial" w:hAnsi="Arial"/>
                <w:sz w:val="18"/>
                <w:szCs w:val="18"/>
                <w:color w:val="auto"/>
              </w:rPr>
              <w:t>We're a little bit overtime but if it's helpful, we can stay on a little longer.</w:t>
            </w:r>
          </w:p>
        </w:tc>
      </w:tr>
      <w:tr>
        <w:trPr>
          <w:trHeight w:val="473"/>
        </w:trPr>
        <w:tc>
          <w:tcPr>
            <w:tcW w:w="1500" w:type="dxa"/>
            <w:vAlign w:val="bottom"/>
          </w:tcPr>
          <w:p>
            <w:pPr>
              <w:ind w:left="40"/>
              <w:spacing w:after="0"/>
              <w:rPr>
                <w:sz w:val="20"/>
                <w:szCs w:val="20"/>
                <w:color w:val="auto"/>
              </w:rPr>
            </w:pPr>
            <w:r>
              <w:rPr>
                <w:rFonts w:ascii="Arial" w:cs="Arial" w:eastAsia="Arial" w:hAnsi="Arial"/>
                <w:sz w:val="18"/>
                <w:szCs w:val="18"/>
                <w:color w:val="auto"/>
              </w:rPr>
              <w:t>Operator:</w:t>
            </w:r>
          </w:p>
        </w:tc>
        <w:tc>
          <w:tcPr>
            <w:tcW w:w="9920" w:type="dxa"/>
            <w:vAlign w:val="bottom"/>
          </w:tcPr>
          <w:p>
            <w:pPr>
              <w:ind w:left="220"/>
              <w:spacing w:after="0"/>
              <w:rPr>
                <w:sz w:val="20"/>
                <w:szCs w:val="20"/>
                <w:color w:val="auto"/>
              </w:rPr>
            </w:pPr>
            <w:r>
              <w:rPr>
                <w:rFonts w:ascii="Arial" w:cs="Arial" w:eastAsia="Arial" w:hAnsi="Arial"/>
                <w:sz w:val="18"/>
                <w:szCs w:val="18"/>
                <w:color w:val="auto"/>
              </w:rPr>
              <w:t>Your next question comes from Harvey Poppel with Poptech, LP.</w:t>
            </w:r>
          </w:p>
        </w:tc>
      </w:tr>
      <w:tr>
        <w:trPr>
          <w:trHeight w:val="473"/>
        </w:trPr>
        <w:tc>
          <w:tcPr>
            <w:tcW w:w="1500" w:type="dxa"/>
            <w:vAlign w:val="bottom"/>
          </w:tcPr>
          <w:p>
            <w:pPr>
              <w:ind w:left="40"/>
              <w:spacing w:after="0"/>
              <w:rPr>
                <w:sz w:val="20"/>
                <w:szCs w:val="20"/>
                <w:color w:val="auto"/>
              </w:rPr>
            </w:pPr>
            <w:r>
              <w:rPr>
                <w:rFonts w:ascii="Arial" w:cs="Arial" w:eastAsia="Arial" w:hAnsi="Arial"/>
                <w:sz w:val="18"/>
                <w:szCs w:val="18"/>
                <w:color w:val="auto"/>
              </w:rPr>
              <w:t>Harvey Poppel:</w:t>
            </w:r>
          </w:p>
        </w:tc>
        <w:tc>
          <w:tcPr>
            <w:tcW w:w="9920" w:type="dxa"/>
            <w:vAlign w:val="bottom"/>
          </w:tcPr>
          <w:p>
            <w:pPr>
              <w:ind w:left="220"/>
              <w:spacing w:after="0"/>
              <w:rPr>
                <w:sz w:val="20"/>
                <w:szCs w:val="20"/>
                <w:color w:val="auto"/>
              </w:rPr>
            </w:pPr>
            <w:r>
              <w:rPr>
                <w:rFonts w:ascii="Arial" w:cs="Arial" w:eastAsia="Arial" w:hAnsi="Arial"/>
                <w:sz w:val="18"/>
                <w:szCs w:val="18"/>
                <w:color w:val="auto"/>
              </w:rPr>
              <w:t>Hi, Dave. Just a couple of follow-up questions. First, anything new on your joint venture with Grey?</w:t>
            </w:r>
          </w:p>
        </w:tc>
      </w:tr>
      <w:tr>
        <w:trPr>
          <w:trHeight w:val="458"/>
        </w:trPr>
        <w:tc>
          <w:tcPr>
            <w:tcW w:w="150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20" w:type="dxa"/>
            <w:vAlign w:val="bottom"/>
          </w:tcPr>
          <w:p>
            <w:pPr>
              <w:ind w:left="220"/>
              <w:spacing w:after="0"/>
              <w:rPr>
                <w:sz w:val="20"/>
                <w:szCs w:val="20"/>
                <w:color w:val="auto"/>
              </w:rPr>
            </w:pPr>
            <w:r>
              <w:rPr>
                <w:rFonts w:ascii="Arial" w:cs="Arial" w:eastAsia="Arial" w:hAnsi="Arial"/>
                <w:sz w:val="18"/>
                <w:szCs w:val="18"/>
                <w:color w:val="auto"/>
                <w:w w:val="91"/>
              </w:rPr>
              <w:t>Yes, I would say what's new is that it's moving beyond Grey. On Tuesday, we're going out to meet for our second meeting with all the</w:t>
            </w:r>
          </w:p>
        </w:tc>
      </w:tr>
      <w:tr>
        <w:trPr>
          <w:trHeight w:val="216"/>
        </w:trPr>
        <w:tc>
          <w:tcPr>
            <w:tcW w:w="1500" w:type="dxa"/>
            <w:vAlign w:val="bottom"/>
          </w:tcPr>
          <w:p>
            <w:pPr>
              <w:spacing w:after="0"/>
              <w:rPr>
                <w:sz w:val="18"/>
                <w:szCs w:val="18"/>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w w:val="92"/>
              </w:rPr>
              <w:t>executives at Sudler, which is the sister agency to Grey. So, it's clearly moving beyond Grey which is what our hope was and kudos</w:t>
            </w:r>
          </w:p>
        </w:tc>
      </w:tr>
      <w:tr>
        <w:trPr>
          <w:trHeight w:val="230"/>
        </w:trPr>
        <w:tc>
          <w:tcPr>
            <w:tcW w:w="1500" w:type="dxa"/>
            <w:vAlign w:val="bottom"/>
          </w:tcPr>
          <w:p>
            <w:pPr>
              <w:spacing w:after="0"/>
              <w:rPr>
                <w:sz w:val="20"/>
                <w:szCs w:val="20"/>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rPr>
              <w:t>and credit for Grey supporting that.</w:t>
            </w:r>
          </w:p>
        </w:tc>
      </w:tr>
      <w:tr>
        <w:trPr>
          <w:trHeight w:val="391"/>
        </w:trPr>
        <w:tc>
          <w:tcPr>
            <w:tcW w:w="1500" w:type="dxa"/>
            <w:vAlign w:val="bottom"/>
          </w:tcPr>
          <w:p>
            <w:pPr>
              <w:spacing w:after="0"/>
              <w:rPr>
                <w:sz w:val="24"/>
                <w:szCs w:val="24"/>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w w:val="91"/>
              </w:rPr>
              <w:t>And we have just trained Grey staff on our eCoupon and messaging and patient education capabilities, and we expect to do the same</w:t>
            </w:r>
          </w:p>
        </w:tc>
      </w:tr>
      <w:tr>
        <w:trPr>
          <w:trHeight w:val="216"/>
        </w:trPr>
        <w:tc>
          <w:tcPr>
            <w:tcW w:w="1500" w:type="dxa"/>
            <w:vAlign w:val="bottom"/>
          </w:tcPr>
          <w:p>
            <w:pPr>
              <w:spacing w:after="0"/>
              <w:rPr>
                <w:sz w:val="18"/>
                <w:szCs w:val="18"/>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w w:val="95"/>
              </w:rPr>
              <w:t>at Sudler. They also have another big pharmaceutical division that has expressed an interest. So, I think they've been very, very</w:t>
            </w:r>
          </w:p>
        </w:tc>
      </w:tr>
      <w:tr>
        <w:trPr>
          <w:trHeight w:val="216"/>
        </w:trPr>
        <w:tc>
          <w:tcPr>
            <w:tcW w:w="1500" w:type="dxa"/>
            <w:vAlign w:val="bottom"/>
          </w:tcPr>
          <w:p>
            <w:pPr>
              <w:spacing w:after="0"/>
              <w:rPr>
                <w:sz w:val="18"/>
                <w:szCs w:val="18"/>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w w:val="97"/>
              </w:rPr>
              <w:t>supportive. We also brought them into some of our clients like Eli Lilly and are working together to literally work with Eli Lilly's</w:t>
            </w:r>
          </w:p>
        </w:tc>
      </w:tr>
      <w:tr>
        <w:trPr>
          <w:trHeight w:val="230"/>
        </w:trPr>
        <w:tc>
          <w:tcPr>
            <w:tcW w:w="1500" w:type="dxa"/>
            <w:vAlign w:val="bottom"/>
          </w:tcPr>
          <w:p>
            <w:pPr>
              <w:spacing w:after="0"/>
              <w:rPr>
                <w:sz w:val="20"/>
                <w:szCs w:val="20"/>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rPr>
              <w:t>senior management team to develop an overall EHR strategy collectively together between OPTIMIZERx, WPP, and Lilly.</w:t>
            </w:r>
          </w:p>
        </w:tc>
      </w:tr>
      <w:tr>
        <w:trPr>
          <w:trHeight w:val="391"/>
        </w:trPr>
        <w:tc>
          <w:tcPr>
            <w:tcW w:w="1500" w:type="dxa"/>
            <w:vAlign w:val="bottom"/>
          </w:tcPr>
          <w:p>
            <w:pPr>
              <w:spacing w:after="0"/>
              <w:rPr>
                <w:sz w:val="24"/>
                <w:szCs w:val="24"/>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w w:val="90"/>
              </w:rPr>
              <w:t>So, I think we're at very early stages of this, but the partnership has been - communication has been outstanding. We're focusing them</w:t>
            </w:r>
          </w:p>
        </w:tc>
      </w:tr>
      <w:tr>
        <w:trPr>
          <w:trHeight w:val="216"/>
        </w:trPr>
        <w:tc>
          <w:tcPr>
            <w:tcW w:w="1500" w:type="dxa"/>
            <w:vAlign w:val="bottom"/>
          </w:tcPr>
          <w:p>
            <w:pPr>
              <w:spacing w:after="0"/>
              <w:rPr>
                <w:sz w:val="18"/>
                <w:szCs w:val="18"/>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w w:val="92"/>
              </w:rPr>
              <w:t>on (early) target. Let's start with eCoupons. Let's get that going a little quicker. But the opportunity of partnering has really been well</w:t>
            </w:r>
          </w:p>
        </w:tc>
      </w:tr>
      <w:tr>
        <w:trPr>
          <w:trHeight w:val="230"/>
        </w:trPr>
        <w:tc>
          <w:tcPr>
            <w:tcW w:w="1500" w:type="dxa"/>
            <w:vAlign w:val="bottom"/>
          </w:tcPr>
          <w:p>
            <w:pPr>
              <w:spacing w:after="0"/>
              <w:rPr>
                <w:sz w:val="20"/>
                <w:szCs w:val="20"/>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rPr>
              <w:t>received with a couple of our (inaudible) clients.</w:t>
            </w:r>
          </w:p>
        </w:tc>
      </w:tr>
      <w:tr>
        <w:trPr>
          <w:trHeight w:val="391"/>
        </w:trPr>
        <w:tc>
          <w:tcPr>
            <w:tcW w:w="1500" w:type="dxa"/>
            <w:vAlign w:val="bottom"/>
          </w:tcPr>
          <w:p>
            <w:pPr>
              <w:spacing w:after="0"/>
              <w:rPr>
                <w:sz w:val="24"/>
                <w:szCs w:val="24"/>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w w:val="93"/>
              </w:rPr>
              <w:t>So, I think it's kind of really the second half of the year become very important (now). When we talked to our key sales guide, they</w:t>
            </w:r>
          </w:p>
        </w:tc>
      </w:tr>
      <w:tr>
        <w:trPr>
          <w:trHeight w:val="216"/>
        </w:trPr>
        <w:tc>
          <w:tcPr>
            <w:tcW w:w="1500" w:type="dxa"/>
            <w:vAlign w:val="bottom"/>
          </w:tcPr>
          <w:p>
            <w:pPr>
              <w:spacing w:after="0"/>
              <w:rPr>
                <w:sz w:val="18"/>
                <w:szCs w:val="18"/>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w w:val="94"/>
              </w:rPr>
              <w:t>say, "Dave, we've got so much on our plate right now." You know, clearly, we want to go after the right products and then in some</w:t>
            </w:r>
          </w:p>
        </w:tc>
      </w:tr>
      <w:tr>
        <w:trPr>
          <w:trHeight w:val="230"/>
        </w:trPr>
        <w:tc>
          <w:tcPr>
            <w:tcW w:w="1500" w:type="dxa"/>
            <w:vAlign w:val="bottom"/>
          </w:tcPr>
          <w:p>
            <w:pPr>
              <w:spacing w:after="0"/>
              <w:rPr>
                <w:sz w:val="20"/>
                <w:szCs w:val="20"/>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rPr>
              <w:t>cases, some of the products we're bringing in are much smaller, et cetera. But there's still a lot opportunities.</w:t>
            </w:r>
          </w:p>
        </w:tc>
      </w:tr>
      <w:tr>
        <w:trPr>
          <w:trHeight w:val="391"/>
        </w:trPr>
        <w:tc>
          <w:tcPr>
            <w:tcW w:w="1500" w:type="dxa"/>
            <w:vAlign w:val="bottom"/>
          </w:tcPr>
          <w:p>
            <w:pPr>
              <w:spacing w:after="0"/>
              <w:rPr>
                <w:sz w:val="24"/>
                <w:szCs w:val="24"/>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w w:val="90"/>
              </w:rPr>
              <w:t>So, there's a little bit of understanding that's taken place, but the commitment to the partnership on WPP, Grey side has been fantastic.</w:t>
            </w:r>
          </w:p>
        </w:tc>
      </w:tr>
      <w:tr>
        <w:trPr>
          <w:trHeight w:val="230"/>
        </w:trPr>
        <w:tc>
          <w:tcPr>
            <w:tcW w:w="1500" w:type="dxa"/>
            <w:vAlign w:val="bottom"/>
          </w:tcPr>
          <w:p>
            <w:pPr>
              <w:spacing w:after="0"/>
              <w:rPr>
                <w:sz w:val="20"/>
                <w:szCs w:val="20"/>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rPr>
              <w:t>And I think it's got us long term (inaudible) as further in our existing clients and lead to revenue growth.</w:t>
            </w:r>
          </w:p>
        </w:tc>
      </w:tr>
      <w:tr>
        <w:trPr>
          <w:trHeight w:val="473"/>
        </w:trPr>
        <w:tc>
          <w:tcPr>
            <w:tcW w:w="1500" w:type="dxa"/>
            <w:vAlign w:val="bottom"/>
          </w:tcPr>
          <w:p>
            <w:pPr>
              <w:ind w:left="40"/>
              <w:spacing w:after="0"/>
              <w:rPr>
                <w:sz w:val="20"/>
                <w:szCs w:val="20"/>
                <w:color w:val="auto"/>
              </w:rPr>
            </w:pPr>
            <w:r>
              <w:rPr>
                <w:rFonts w:ascii="Arial" w:cs="Arial" w:eastAsia="Arial" w:hAnsi="Arial"/>
                <w:sz w:val="18"/>
                <w:szCs w:val="18"/>
                <w:color w:val="auto"/>
              </w:rPr>
              <w:t>Harvey Poppel:</w:t>
            </w:r>
          </w:p>
        </w:tc>
        <w:tc>
          <w:tcPr>
            <w:tcW w:w="9920" w:type="dxa"/>
            <w:vAlign w:val="bottom"/>
          </w:tcPr>
          <w:p>
            <w:pPr>
              <w:ind w:left="220"/>
              <w:spacing w:after="0"/>
              <w:rPr>
                <w:sz w:val="20"/>
                <w:szCs w:val="20"/>
                <w:color w:val="auto"/>
              </w:rPr>
            </w:pPr>
            <w:r>
              <w:rPr>
                <w:rFonts w:ascii="Arial" w:cs="Arial" w:eastAsia="Arial" w:hAnsi="Arial"/>
                <w:sz w:val="18"/>
                <w:szCs w:val="18"/>
                <w:color w:val="auto"/>
              </w:rPr>
              <w:t>Right. And final question is I saw the 10-Q finally hit. Is there going to be or was there a press release?</w:t>
            </w:r>
          </w:p>
        </w:tc>
      </w:tr>
      <w:tr>
        <w:trPr>
          <w:trHeight w:val="458"/>
        </w:trPr>
        <w:tc>
          <w:tcPr>
            <w:tcW w:w="150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20" w:type="dxa"/>
            <w:vAlign w:val="bottom"/>
          </w:tcPr>
          <w:p>
            <w:pPr>
              <w:ind w:left="220"/>
              <w:spacing w:after="0"/>
              <w:rPr>
                <w:sz w:val="20"/>
                <w:szCs w:val="20"/>
                <w:color w:val="auto"/>
              </w:rPr>
            </w:pPr>
            <w:r>
              <w:rPr>
                <w:rFonts w:ascii="Arial" w:cs="Arial" w:eastAsia="Arial" w:hAnsi="Arial"/>
                <w:sz w:val="18"/>
                <w:szCs w:val="18"/>
                <w:color w:val="auto"/>
                <w:w w:val="96"/>
              </w:rPr>
              <w:t>No, we - in this case, again, we thought we would have the conference call, you know, again, we could follow up but the press</w:t>
            </w:r>
          </w:p>
        </w:tc>
      </w:tr>
      <w:tr>
        <w:trPr>
          <w:trHeight w:val="216"/>
        </w:trPr>
        <w:tc>
          <w:tcPr>
            <w:tcW w:w="1500" w:type="dxa"/>
            <w:vAlign w:val="bottom"/>
          </w:tcPr>
          <w:p>
            <w:pPr>
              <w:spacing w:after="0"/>
              <w:rPr>
                <w:sz w:val="18"/>
                <w:szCs w:val="18"/>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w w:val="94"/>
              </w:rPr>
              <w:t>release, you know. I think we have some very exciting news so I think it would make sense to do a press release. So, I think it's a</w:t>
            </w:r>
          </w:p>
        </w:tc>
      </w:tr>
      <w:tr>
        <w:trPr>
          <w:trHeight w:val="216"/>
        </w:trPr>
        <w:tc>
          <w:tcPr>
            <w:tcW w:w="1500" w:type="dxa"/>
            <w:vAlign w:val="bottom"/>
          </w:tcPr>
          <w:p>
            <w:pPr>
              <w:spacing w:after="0"/>
              <w:rPr>
                <w:sz w:val="18"/>
                <w:szCs w:val="18"/>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w w:val="97"/>
              </w:rPr>
              <w:t>great suggestion and - but right now, literally, sometimes in our organization, we're moving so fast that, but we want obviously</w:t>
            </w:r>
          </w:p>
        </w:tc>
      </w:tr>
      <w:tr>
        <w:trPr>
          <w:trHeight w:val="230"/>
        </w:trPr>
        <w:tc>
          <w:tcPr>
            <w:tcW w:w="1500" w:type="dxa"/>
            <w:vAlign w:val="bottom"/>
          </w:tcPr>
          <w:p>
            <w:pPr>
              <w:spacing w:after="0"/>
              <w:rPr>
                <w:sz w:val="20"/>
                <w:szCs w:val="20"/>
                <w:color w:val="auto"/>
              </w:rPr>
            </w:pPr>
          </w:p>
        </w:tc>
        <w:tc>
          <w:tcPr>
            <w:tcW w:w="9920" w:type="dxa"/>
            <w:vAlign w:val="bottom"/>
          </w:tcPr>
          <w:p>
            <w:pPr>
              <w:ind w:left="220"/>
              <w:spacing w:after="0"/>
              <w:rPr>
                <w:sz w:val="20"/>
                <w:szCs w:val="20"/>
                <w:color w:val="auto"/>
              </w:rPr>
            </w:pPr>
            <w:r>
              <w:rPr>
                <w:rFonts w:ascii="Arial" w:cs="Arial" w:eastAsia="Arial" w:hAnsi="Arial"/>
                <w:sz w:val="18"/>
                <w:szCs w:val="18"/>
                <w:color w:val="auto"/>
              </w:rPr>
              <w:t>address the good news that we have here. So, I think - are you recommending a follow-up press release?</w:t>
            </w:r>
          </w:p>
        </w:tc>
      </w:tr>
      <w:tr>
        <w:trPr>
          <w:trHeight w:val="675"/>
        </w:trPr>
        <w:tc>
          <w:tcPr>
            <w:tcW w:w="150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r>
        <w:trPr>
          <w:trHeight w:val="224"/>
        </w:trPr>
        <w:tc>
          <w:tcPr>
            <w:tcW w:w="1500" w:type="dxa"/>
            <w:vAlign w:val="bottom"/>
          </w:tcPr>
          <w:p>
            <w:pPr>
              <w:spacing w:after="0"/>
              <w:rPr>
                <w:sz w:val="19"/>
                <w:szCs w:val="19"/>
                <w:color w:val="auto"/>
              </w:rPr>
            </w:pPr>
          </w:p>
        </w:tc>
        <w:tc>
          <w:tcPr>
            <w:tcW w:w="9920" w:type="dxa"/>
            <w:vAlign w:val="bottom"/>
          </w:tcPr>
          <w:p>
            <w:pPr>
              <w:ind w:left="412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665"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ind w:left="40"/>
              <w:spacing w:after="0"/>
              <w:rPr>
                <w:sz w:val="20"/>
                <w:szCs w:val="20"/>
                <w:color w:val="auto"/>
              </w:rPr>
            </w:pPr>
            <w:r>
              <w:rPr>
                <w:rFonts w:ascii="Arial" w:cs="Arial" w:eastAsia="Arial" w:hAnsi="Arial"/>
                <w:sz w:val="18"/>
                <w:szCs w:val="18"/>
                <w:color w:val="auto"/>
              </w:rPr>
              <w:t>Harvey Poppel:</w:t>
            </w:r>
          </w:p>
        </w:tc>
        <w:tc>
          <w:tcPr>
            <w:tcW w:w="9980" w:type="dxa"/>
            <w:vAlign w:val="bottom"/>
          </w:tcPr>
          <w:p>
            <w:pPr>
              <w:ind w:left="280"/>
              <w:spacing w:after="0"/>
              <w:rPr>
                <w:sz w:val="20"/>
                <w:szCs w:val="20"/>
                <w:color w:val="auto"/>
              </w:rPr>
            </w:pPr>
            <w:r>
              <w:rPr>
                <w:rFonts w:ascii="Arial" w:cs="Arial" w:eastAsia="Arial" w:hAnsi="Arial"/>
                <w:sz w:val="18"/>
                <w:szCs w:val="18"/>
                <w:color w:val="auto"/>
                <w:w w:val="94"/>
              </w:rPr>
              <w:t>Well, I think it's useful as kind of (leaves) an open question as to why you didn't have one even if its only a summary of the 10-Q.</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5"/>
              </w:rPr>
              <w:t>And there are - I mean there's so much color that comes out on this call, some of which I think certainly would make a very good</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material for other investors who may not be inclined to listen in on call.</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rPr>
              <w:t>OK.</w:t>
            </w:r>
          </w:p>
        </w:tc>
      </w:tr>
      <w:tr>
        <w:trPr>
          <w:trHeight w:val="405"/>
        </w:trPr>
        <w:tc>
          <w:tcPr>
            <w:tcW w:w="1440" w:type="dxa"/>
            <w:vAlign w:val="bottom"/>
          </w:tcPr>
          <w:p>
            <w:pPr>
              <w:spacing w:after="0"/>
              <w:rPr>
                <w:sz w:val="24"/>
                <w:szCs w:val="24"/>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(Crosstalk)</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rPr>
              <w:t>That's a good question and we appreciate your feedback.</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Operator:</w:t>
            </w:r>
          </w:p>
        </w:tc>
        <w:tc>
          <w:tcPr>
            <w:tcW w:w="9980" w:type="dxa"/>
            <w:vAlign w:val="bottom"/>
          </w:tcPr>
          <w:p>
            <w:pPr>
              <w:ind w:left="280"/>
              <w:spacing w:after="0"/>
              <w:rPr>
                <w:sz w:val="20"/>
                <w:szCs w:val="20"/>
                <w:color w:val="auto"/>
              </w:rPr>
            </w:pPr>
            <w:r>
              <w:rPr>
                <w:rFonts w:ascii="Arial" w:cs="Arial" w:eastAsia="Arial" w:hAnsi="Arial"/>
                <w:sz w:val="18"/>
                <w:szCs w:val="18"/>
                <w:color w:val="auto"/>
              </w:rPr>
              <w:t>Your next question comes from Kevin Tracey with Oberon Asset Management.</w:t>
            </w:r>
          </w:p>
        </w:tc>
      </w:tr>
      <w:tr>
        <w:trPr>
          <w:trHeight w:val="458"/>
        </w:trPr>
        <w:tc>
          <w:tcPr>
            <w:tcW w:w="1440" w:type="dxa"/>
            <w:vAlign w:val="bottom"/>
          </w:tcPr>
          <w:p>
            <w:pPr>
              <w:ind w:left="40"/>
              <w:spacing w:after="0"/>
              <w:rPr>
                <w:sz w:val="20"/>
                <w:szCs w:val="20"/>
                <w:color w:val="auto"/>
              </w:rPr>
            </w:pPr>
            <w:r>
              <w:rPr>
                <w:rFonts w:ascii="Arial" w:cs="Arial" w:eastAsia="Arial" w:hAnsi="Arial"/>
                <w:sz w:val="18"/>
                <w:szCs w:val="18"/>
                <w:color w:val="auto"/>
              </w:rPr>
              <w:t>Kevin Tracey:</w:t>
            </w: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Thank you for taking my question. What should we expect for management's share ownership in the future? I was surprised to see a</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5"/>
              </w:rPr>
              <w:t>significant amount share sold recently especially given this is what seems to be exciting for your quarters coming. Should we all</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expect management to retain their (high insider) shareholding in the future.</w:t>
            </w:r>
          </w:p>
        </w:tc>
      </w:tr>
      <w:tr>
        <w:trPr>
          <w:trHeight w:val="458"/>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Yes, I can speak from myself. I have a little color and my reason is two points number. Number one, there was a significant amount of</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5"/>
              </w:rPr>
              <w:t>interest after the raise for additional stock and kind coincided with my personal situation of having three kids in college. And, you</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1"/>
              </w:rPr>
              <w:t>know, the demand was much greater than what we want was. But at the end of the day, I felt that the investor group is very long term.</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5"/>
              </w:rPr>
              <w:t>I felt that it was appropriate to meet my financial needs. (Certainly you're not taking) out of the company but to sell the portion of</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8"/>
              </w:rPr>
              <w:t>stock. But clearly I'm very long term and have a significant amount of stock that I plan to certainly not move in any near term</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(future).</w:t>
            </w:r>
          </w:p>
        </w:tc>
      </w:tr>
      <w:tr>
        <w:trPr>
          <w:trHeight w:val="391"/>
        </w:trPr>
        <w:tc>
          <w:tcPr>
            <w:tcW w:w="1440" w:type="dxa"/>
            <w:vAlign w:val="bottom"/>
          </w:tcPr>
          <w:p>
            <w:pPr>
              <w:spacing w:after="0"/>
              <w:rPr>
                <w:sz w:val="24"/>
                <w:szCs w:val="24"/>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Dave Lester, I don't know what your comments are and I don't know if Terry Hamilton is on the call today, but maybe you can speak</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to that.</w:t>
            </w:r>
          </w:p>
        </w:tc>
      </w:tr>
      <w:tr>
        <w:trPr>
          <w:trHeight w:val="458"/>
        </w:trPr>
        <w:tc>
          <w:tcPr>
            <w:tcW w:w="1440" w:type="dxa"/>
            <w:vAlign w:val="bottom"/>
          </w:tcPr>
          <w:p>
            <w:pPr>
              <w:ind w:left="40"/>
              <w:spacing w:after="0"/>
              <w:rPr>
                <w:sz w:val="20"/>
                <w:szCs w:val="20"/>
                <w:color w:val="auto"/>
              </w:rPr>
            </w:pPr>
            <w:r>
              <w:rPr>
                <w:rFonts w:ascii="Arial" w:cs="Arial" w:eastAsia="Arial" w:hAnsi="Arial"/>
                <w:sz w:val="18"/>
                <w:szCs w:val="18"/>
                <w:color w:val="auto"/>
              </w:rPr>
              <w:t>David Lester:</w:t>
            </w: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Yes. I mean I have, you know, no intention much like Dave, you know, after frankly putting a lot into the last five years here without,</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5"/>
              </w:rPr>
              <w:t>you know, anything - having, you know, put kids through college and some of the expenses that ramped up during the course of</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4"/>
              </w:rPr>
              <w:t>ramping this out. For me, this was a one-time opportunity to (step). But like Dave, I made it to long haul committed to making this,</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whole thing working, yes. I don't see (inaudible).</w:t>
            </w:r>
          </w:p>
        </w:tc>
      </w:tr>
      <w:tr>
        <w:trPr>
          <w:trHeight w:val="458"/>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w w:val="95"/>
              </w:rPr>
              <w:t>Well, as you know, I think I've given color is that if you look at my stat portfolio, it's, you know, it was 90 percent OPTIMIZERx, if</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you will, so, on my net equity; so, you know, it would be roughly (80).</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Kevin Tracey:</w:t>
            </w:r>
          </w:p>
        </w:tc>
        <w:tc>
          <w:tcPr>
            <w:tcW w:w="9980" w:type="dxa"/>
            <w:vAlign w:val="bottom"/>
          </w:tcPr>
          <w:p>
            <w:pPr>
              <w:ind w:left="280"/>
              <w:spacing w:after="0"/>
              <w:rPr>
                <w:sz w:val="20"/>
                <w:szCs w:val="20"/>
                <w:color w:val="auto"/>
              </w:rPr>
            </w:pPr>
            <w:r>
              <w:rPr>
                <w:rFonts w:ascii="Arial" w:cs="Arial" w:eastAsia="Arial" w:hAnsi="Arial"/>
                <w:sz w:val="18"/>
                <w:szCs w:val="18"/>
                <w:color w:val="auto"/>
              </w:rPr>
              <w:t>OK. Well, great. Thank you.</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rPr>
              <w:t>Sure.</w:t>
            </w:r>
          </w:p>
        </w:tc>
      </w:tr>
      <w:tr>
        <w:trPr>
          <w:trHeight w:val="473"/>
        </w:trPr>
        <w:tc>
          <w:tcPr>
            <w:tcW w:w="1440" w:type="dxa"/>
            <w:vAlign w:val="bottom"/>
          </w:tcPr>
          <w:p>
            <w:pPr>
              <w:ind w:left="40"/>
              <w:spacing w:after="0"/>
              <w:rPr>
                <w:sz w:val="20"/>
                <w:szCs w:val="20"/>
                <w:color w:val="auto"/>
              </w:rPr>
            </w:pPr>
            <w:r>
              <w:rPr>
                <w:rFonts w:ascii="Arial" w:cs="Arial" w:eastAsia="Arial" w:hAnsi="Arial"/>
                <w:sz w:val="18"/>
                <w:szCs w:val="18"/>
                <w:color w:val="auto"/>
              </w:rPr>
              <w:t>Operator:</w:t>
            </w:r>
          </w:p>
        </w:tc>
        <w:tc>
          <w:tcPr>
            <w:tcW w:w="9980" w:type="dxa"/>
            <w:vAlign w:val="bottom"/>
          </w:tcPr>
          <w:p>
            <w:pPr>
              <w:ind w:left="280"/>
              <w:spacing w:after="0"/>
              <w:rPr>
                <w:sz w:val="20"/>
                <w:szCs w:val="20"/>
                <w:color w:val="auto"/>
              </w:rPr>
            </w:pPr>
            <w:r>
              <w:rPr>
                <w:rFonts w:ascii="Arial" w:cs="Arial" w:eastAsia="Arial" w:hAnsi="Arial"/>
                <w:sz w:val="18"/>
                <w:szCs w:val="18"/>
                <w:color w:val="auto"/>
              </w:rPr>
              <w:t>We have reached the allotted time for questions. I'll turn it back over to management for closing remarks.</w:t>
            </w:r>
          </w:p>
        </w:tc>
      </w:tr>
      <w:tr>
        <w:trPr>
          <w:trHeight w:val="458"/>
        </w:trPr>
        <w:tc>
          <w:tcPr>
            <w:tcW w:w="1440" w:type="dxa"/>
            <w:vAlign w:val="bottom"/>
          </w:tcPr>
          <w:p>
            <w:pPr>
              <w:ind w:left="40"/>
              <w:spacing w:after="0"/>
              <w:rPr>
                <w:sz w:val="20"/>
                <w:szCs w:val="20"/>
                <w:color w:val="auto"/>
              </w:rPr>
            </w:pPr>
            <w:r>
              <w:rPr>
                <w:rFonts w:ascii="Arial" w:cs="Arial" w:eastAsia="Arial" w:hAnsi="Arial"/>
                <w:sz w:val="18"/>
                <w:szCs w:val="18"/>
                <w:color w:val="auto"/>
              </w:rPr>
              <w:t>David Harrell:</w:t>
            </w:r>
          </w:p>
        </w:tc>
        <w:tc>
          <w:tcPr>
            <w:tcW w:w="9980" w:type="dxa"/>
            <w:vAlign w:val="bottom"/>
          </w:tcPr>
          <w:p>
            <w:pPr>
              <w:ind w:left="280"/>
              <w:spacing w:after="0"/>
              <w:rPr>
                <w:sz w:val="20"/>
                <w:szCs w:val="20"/>
                <w:color w:val="auto"/>
              </w:rPr>
            </w:pPr>
            <w:r>
              <w:rPr>
                <w:rFonts w:ascii="Arial" w:cs="Arial" w:eastAsia="Arial" w:hAnsi="Arial"/>
                <w:sz w:val="18"/>
                <w:szCs w:val="18"/>
                <w:color w:val="auto"/>
                <w:w w:val="92"/>
              </w:rPr>
              <w:t>So, I just, again, want to thank everybody for, you know, support. We're very, very excited about the growth. Anytime, you have, you</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5"/>
              </w:rPr>
              <w:t>know, market that's changing so quickly, I want you to know that we're, A, very, very dedicated. Our teamwork's extremely hard.</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5"/>
              </w:rPr>
              <w:t>We're very excited about Doug coming on. We're looking in expanding our board of directors, too, and I'm sure we'll have some</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6"/>
              </w:rPr>
              <w:t>exciting announcement's upcoming regarding that, and we think we have great group of investors. And we thank everybody for</w:t>
            </w:r>
          </w:p>
        </w:tc>
      </w:tr>
      <w:tr>
        <w:trPr>
          <w:trHeight w:val="216"/>
        </w:trPr>
        <w:tc>
          <w:tcPr>
            <w:tcW w:w="1440" w:type="dxa"/>
            <w:vAlign w:val="bottom"/>
          </w:tcPr>
          <w:p>
            <w:pPr>
              <w:spacing w:after="0"/>
              <w:rPr>
                <w:sz w:val="18"/>
                <w:szCs w:val="18"/>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w w:val="94"/>
              </w:rPr>
              <w:t>taking the time now today, but, you know, to all your feedback and guidance as well. We certainly don't have all the answers, but</w:t>
            </w:r>
          </w:p>
        </w:tc>
      </w:tr>
      <w:tr>
        <w:trPr>
          <w:trHeight w:val="230"/>
        </w:trPr>
        <w:tc>
          <w:tcPr>
            <w:tcW w:w="1440" w:type="dxa"/>
            <w:vAlign w:val="bottom"/>
          </w:tcPr>
          <w:p>
            <w:pPr>
              <w:spacing w:after="0"/>
              <w:rPr>
                <w:sz w:val="20"/>
                <w:szCs w:val="20"/>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we're very committed in working very hard and we're very excited about the future. Thank you.</w:t>
            </w:r>
          </w:p>
        </w:tc>
      </w:tr>
      <w:tr>
        <w:trPr>
          <w:trHeight w:val="257"/>
        </w:trPr>
        <w:tc>
          <w:tcPr>
            <w:tcW w:w="1440" w:type="dxa"/>
            <w:vAlign w:val="bottom"/>
          </w:tcPr>
          <w:p>
            <w:pPr>
              <w:ind w:left="40"/>
              <w:spacing w:after="0"/>
              <w:rPr>
                <w:sz w:val="20"/>
                <w:szCs w:val="20"/>
                <w:color w:val="auto"/>
              </w:rPr>
            </w:pPr>
            <w:r>
              <w:rPr>
                <w:rFonts w:ascii="Arial" w:cs="Arial" w:eastAsia="Arial" w:hAnsi="Arial"/>
                <w:sz w:val="18"/>
                <w:szCs w:val="18"/>
                <w:color w:val="auto"/>
              </w:rPr>
              <w:t>Operator:</w:t>
            </w:r>
          </w:p>
        </w:tc>
        <w:tc>
          <w:tcPr>
            <w:tcW w:w="9980" w:type="dxa"/>
            <w:vAlign w:val="bottom"/>
          </w:tcPr>
          <w:p>
            <w:pPr>
              <w:ind w:left="280"/>
              <w:spacing w:after="0"/>
              <w:rPr>
                <w:sz w:val="20"/>
                <w:szCs w:val="20"/>
                <w:color w:val="auto"/>
              </w:rPr>
            </w:pPr>
            <w:r>
              <w:rPr>
                <w:rFonts w:ascii="Arial" w:cs="Arial" w:eastAsia="Arial" w:hAnsi="Arial"/>
                <w:sz w:val="18"/>
                <w:szCs w:val="18"/>
                <w:color w:val="auto"/>
              </w:rPr>
              <w:t>Thank you. This concludes today's conference call. You may now disconnect.</w:t>
            </w:r>
          </w:p>
        </w:tc>
      </w:tr>
      <w:tr>
        <w:trPr>
          <w:trHeight w:val="635"/>
        </w:trPr>
        <w:tc>
          <w:tcPr>
            <w:tcW w:w="1440" w:type="dxa"/>
            <w:vAlign w:val="bottom"/>
          </w:tcPr>
          <w:p>
            <w:pPr>
              <w:spacing w:after="0"/>
              <w:rPr>
                <w:sz w:val="24"/>
                <w:szCs w:val="24"/>
                <w:color w:val="auto"/>
              </w:rPr>
            </w:pPr>
          </w:p>
        </w:tc>
        <w:tc>
          <w:tcPr>
            <w:tcW w:w="9980" w:type="dxa"/>
            <w:vAlign w:val="bottom"/>
          </w:tcPr>
          <w:p>
            <w:pPr>
              <w:ind w:left="280"/>
              <w:spacing w:after="0"/>
              <w:rPr>
                <w:sz w:val="20"/>
                <w:szCs w:val="20"/>
                <w:color w:val="auto"/>
              </w:rPr>
            </w:pPr>
            <w:r>
              <w:rPr>
                <w:rFonts w:ascii="Arial" w:cs="Arial" w:eastAsia="Arial" w:hAnsi="Arial"/>
                <w:sz w:val="18"/>
                <w:szCs w:val="18"/>
                <w:color w:val="auto"/>
              </w:rPr>
              <w:t>END</w:t>
            </w:r>
          </w:p>
        </w:tc>
      </w:tr>
      <w:tr>
        <w:trPr>
          <w:trHeight w:val="405"/>
        </w:trPr>
        <w:tc>
          <w:tcPr>
            <w:tcW w:w="1440" w:type="dxa"/>
            <w:vAlign w:val="bottom"/>
            <w:tcBorders>
              <w:bottom w:val="single" w:sz="8" w:color="auto"/>
            </w:tcBorders>
          </w:tcPr>
          <w:p>
            <w:pPr>
              <w:spacing w:after="0"/>
              <w:rPr>
                <w:sz w:val="24"/>
                <w:szCs w:val="24"/>
                <w:color w:val="auto"/>
              </w:rPr>
            </w:pPr>
          </w:p>
        </w:tc>
        <w:tc>
          <w:tcPr>
            <w:tcW w:w="9980" w:type="dxa"/>
            <w:vAlign w:val="bottom"/>
            <w:tcBorders>
              <w:bottom w:val="single" w:sz="8" w:color="auto"/>
            </w:tcBorders>
          </w:tcPr>
          <w:p>
            <w:pPr>
              <w:spacing w:after="0"/>
              <w:rPr>
                <w:sz w:val="24"/>
                <w:szCs w:val="24"/>
                <w:color w:val="auto"/>
              </w:rPr>
            </w:pPr>
          </w:p>
        </w:tc>
      </w:tr>
      <w:tr>
        <w:trPr>
          <w:trHeight w:val="224"/>
        </w:trPr>
        <w:tc>
          <w:tcPr>
            <w:tcW w:w="1440" w:type="dxa"/>
            <w:vAlign w:val="bottom"/>
          </w:tcPr>
          <w:p>
            <w:pPr>
              <w:spacing w:after="0"/>
              <w:rPr>
                <w:sz w:val="19"/>
                <w:szCs w:val="19"/>
                <w:color w:val="auto"/>
              </w:rPr>
            </w:pPr>
          </w:p>
        </w:tc>
        <w:tc>
          <w:tcPr>
            <w:tcW w:w="9980" w:type="dxa"/>
            <w:vAlign w:val="bottom"/>
          </w:tcPr>
          <w:p>
            <w:pPr>
              <w:ind w:left="418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665" w:right="239" w:bottom="1440" w:gutter="0" w:footer="0" w:header="0"/>
        </w:sectPr>
      </w:pPr>
    </w:p>
    <w:bookmarkStart w:id="15" w:name="page16"/>
    <w:bookmarkEnd w:id="15"/>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2019-12-07T19:52:35Z</dcterms:created>
  <dcterms:modified xsi:type="dcterms:W3CDTF">2019-12-07T19:52:35Z</dcterms:modified>
</cp:coreProperties>
</file>