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407 SIXTH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w:t>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February 11, 2009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i w:val="1"/>
          <w:iCs w:val="1"/>
          <w:u w:val="single" w:color="auto"/>
          <w:color w:val="auto"/>
        </w:rPr>
        <w:t>REVISED RESPONSE LETTER</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David Orlic, Special Counsel</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30,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333-455280</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Orlic,</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By letter dated February 9, 2009, the staff of the Securities and Exchange Commission (the “Staff”) issued comments on the Company’s amended Registration Statement on Form S-1 (the “Registration Statement”). Below are the Company’s responses to the Staff’s comments. For ease of reference, each response is preceded by the Staff’s comment.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We note your response to comment 2 of our letter dated January 13, 2009 and reissue in part. Given that you awarded stock options to Mr. Harrell during 2008, please provide the information required by the Instruction to Item 402 (n)(2)(vi) and by Item 402 (o)(4) of Regulation S-K in regard to the option award. Please also provide, pursuant to Item 402 (p), a table showing Outstanding Equity Awards at Fiscal Year End for December 31, 2008 to reflect Mr. Harrell’s award, or tell us why the table is not required. Finally, please update your Director’s compensation discussion for the year ended December 31, 2008.</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amended its Registration Statement to reflect the above referenced comments.</w:t>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3" w:lineRule="exact"/>
        <w:rPr>
          <w:sz w:val="24"/>
          <w:szCs w:val="24"/>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all of its filings;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changes to disclosure in response to the Commission’s comments do not foreclose the Commission from taking any action with respect to the filing; and</w:t>
      </w:r>
    </w:p>
    <w:p>
      <w:pPr>
        <w:ind w:left="66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further comments or questions, please feel free to contact me at any time.</w:t>
      </w:r>
    </w:p>
    <w:p>
      <w:pPr>
        <w:spacing w:after="0" w:line="200" w:lineRule="exact"/>
        <w:rPr>
          <w:sz w:val="24"/>
          <w:szCs w:val="24"/>
          <w:color w:val="auto"/>
        </w:rPr>
      </w:pPr>
    </w:p>
    <w:p>
      <w:pPr>
        <w:spacing w:after="0" w:line="34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79" w:lineRule="exact"/>
        <w:rPr>
          <w:sz w:val="24"/>
          <w:szCs w:val="24"/>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/s/ Dave Harrell</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Dave Harrell</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THIS IS ADDED TO OUR MD&amp;A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 TABLES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 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Salary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Bonus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Awards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Awards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91,000(1)</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James Vandeberg</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w w:val="99"/>
              </w:rPr>
              <w:t>Former Chief Executive Officer of RFID Ltd.</w:t>
            </w:r>
          </w:p>
        </w:tc>
        <w:tc>
          <w:tcPr>
            <w:tcW w:w="10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433"/>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Options to purchase 100,000 shares of Common Stock valued at $0.91 per share with an exercise price of $1.00 per share. Please see our Management’s Discussion and Analysis for a discussion on the valuation of our options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1"/>
              </w:rPr>
              <w:t>Director Compensation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Changes in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Pension Value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Non-Equity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Nonqualified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Incentive Plan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Deferred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Fees Earned 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Compensation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Pain In Cash</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Awards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Awards ($)</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Earnings($)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136,500(1)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Thomas Majerowicz</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18,200(2)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660" w:hanging="433"/>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150,000 options to purchase common stock valued at $0.91 per share with an exercise price of $1.00 per share. 150,000 options were oustanding at the end of our fiscal 2008 year. Please see our Management’s Discussion and Analysis for a discussion on the valuation of our common stock.</w:t>
      </w:r>
    </w:p>
    <w:p>
      <w:pPr>
        <w:jc w:val="both"/>
        <w:ind w:left="660" w:hanging="4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20,000 options to purchase common stock valued at $0.91 per share with an exercise price of $1.00 per share. 20,000 options were outstanding at the end of our fiscal 2008 year. Please see our Management’s Discussion and Analysis for a discussion on the valuation of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rPr>
              <w:t>Stock Awards</w:t>
            </w: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or Units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Shares or</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Underlying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Units of</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Stock That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Unexercisable</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20" w:type="dxa"/>
            <w:vAlign w:val="bottom"/>
            <w:shd w:val="clear" w:color="auto" w:fill="EEEEEE"/>
          </w:tcPr>
          <w:p>
            <w:pPr>
              <w:spacing w:after="0"/>
              <w:rPr>
                <w:sz w:val="21"/>
                <w:szCs w:val="21"/>
                <w:color w:val="auto"/>
              </w:rPr>
            </w:pPr>
          </w:p>
        </w:tc>
        <w:tc>
          <w:tcPr>
            <w:tcW w:w="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100,000 (1)</w:t>
            </w:r>
          </w:p>
        </w:tc>
        <w:tc>
          <w:tcPr>
            <w:tcW w:w="120" w:type="dxa"/>
            <w:vAlign w:val="bottom"/>
            <w:shd w:val="clear" w:color="auto" w:fill="EEEEEE"/>
          </w:tcPr>
          <w:p>
            <w:pPr>
              <w:spacing w:after="0"/>
              <w:rPr>
                <w:sz w:val="21"/>
                <w:szCs w:val="21"/>
                <w:color w:val="auto"/>
              </w:rPr>
            </w:pPr>
          </w:p>
        </w:tc>
        <w:tc>
          <w:tcPr>
            <w:tcW w:w="1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EEEEEE"/>
          </w:tcPr>
          <w:p>
            <w:pPr>
              <w:spacing w:after="0"/>
              <w:rPr>
                <w:sz w:val="21"/>
                <w:szCs w:val="21"/>
                <w:color w:val="auto"/>
              </w:rPr>
            </w:pPr>
          </w:p>
        </w:tc>
        <w:tc>
          <w:tcPr>
            <w:tcW w:w="10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EEEEE"/>
          </w:tcPr>
          <w:p>
            <w:pPr>
              <w:spacing w:after="0"/>
              <w:rPr>
                <w:sz w:val="21"/>
                <w:szCs w:val="21"/>
                <w:color w:val="auto"/>
              </w:rPr>
            </w:pPr>
          </w:p>
        </w:tc>
        <w:tc>
          <w:tcPr>
            <w:tcW w:w="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1"/>
                <w:szCs w:val="21"/>
                <w:color w:val="auto"/>
              </w:rPr>
            </w:pPr>
          </w:p>
        </w:tc>
        <w:tc>
          <w:tcPr>
            <w:tcW w:w="1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0" w:type="dxa"/>
            <w:vAlign w:val="bottom"/>
            <w:shd w:val="clear" w:color="auto" w:fill="EEEEEE"/>
          </w:tcPr>
          <w:p>
            <w:pPr>
              <w:spacing w:after="0"/>
              <w:rPr>
                <w:sz w:val="21"/>
                <w:szCs w:val="21"/>
                <w:color w:val="auto"/>
              </w:rPr>
            </w:pPr>
          </w:p>
        </w:tc>
        <w:tc>
          <w:tcPr>
            <w:tcW w:w="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EEEEE"/>
          </w:tcPr>
          <w:p>
            <w:pPr>
              <w:spacing w:after="0"/>
              <w:rPr>
                <w:sz w:val="21"/>
                <w:szCs w:val="21"/>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EEEEEE"/>
          </w:tcPr>
          <w:p>
            <w:pPr>
              <w:spacing w:after="0"/>
              <w:rPr>
                <w:sz w:val="21"/>
                <w:szCs w:val="21"/>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21"/>
                <w:szCs w:val="21"/>
                <w:color w:val="auto"/>
              </w:rPr>
            </w:pPr>
          </w:p>
        </w:tc>
        <w:tc>
          <w:tcPr>
            <w:tcW w:w="1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150,000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Vernon Hartman</w:t>
            </w:r>
          </w:p>
        </w:tc>
        <w:tc>
          <w:tcPr>
            <w:tcW w:w="104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2"/>
              </w:rPr>
              <w:t>50,000 (1)</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2"/>
                <w:szCs w:val="22"/>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Andrew Dahl</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Jay Pinney, MD</w:t>
            </w:r>
          </w:p>
        </w:tc>
        <w:tc>
          <w:tcPr>
            <w:tcW w:w="104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2"/>
              </w:rPr>
              <w:t>25,000 (1)</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2"/>
                <w:szCs w:val="22"/>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Thomas Majerowicz</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hanging="4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options fully vested on the date of grant.</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2019-12-11T04:44:48Z</dcterms:created>
  <dcterms:modified xsi:type="dcterms:W3CDTF">2019-12-11T04:44:48Z</dcterms:modified>
</cp:coreProperties>
</file>